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434729" w14:textId="77777777" w:rsidR="003E1A58" w:rsidRPr="0012294F" w:rsidRDefault="003E1A58" w:rsidP="00034272">
      <w:pPr>
        <w:spacing w:after="0" w:line="240" w:lineRule="auto"/>
        <w:jc w:val="both"/>
        <w:rPr>
          <w:rFonts w:ascii="Arial" w:hAnsi="Arial" w:cs="Arial"/>
          <w:color w:val="000000" w:themeColor="text1"/>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12294F" w14:paraId="53C5E8A9" w14:textId="77777777" w:rsidTr="00D7053E">
        <w:tc>
          <w:tcPr>
            <w:tcW w:w="4508" w:type="dxa"/>
          </w:tcPr>
          <w:p w14:paraId="710DBB45" w14:textId="77777777" w:rsidR="00381966" w:rsidRPr="0012294F" w:rsidRDefault="00381966" w:rsidP="00034272">
            <w:pPr>
              <w:jc w:val="both"/>
              <w:rPr>
                <w:rFonts w:ascii="Arial" w:hAnsi="Arial" w:cs="Arial"/>
                <w:color w:val="000000" w:themeColor="text1"/>
                <w:sz w:val="20"/>
                <w:szCs w:val="20"/>
              </w:rPr>
            </w:pPr>
            <w:r w:rsidRPr="0012294F">
              <w:rPr>
                <w:rFonts w:ascii="Arial" w:hAnsi="Arial" w:cs="Arial"/>
                <w:noProof/>
                <w:color w:val="000000" w:themeColor="text1"/>
                <w:sz w:val="20"/>
                <w:szCs w:val="20"/>
                <w:lang w:eastAsia="en-GB"/>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6BDE80F2" w:rsidR="00381966" w:rsidRPr="0012294F" w:rsidRDefault="00381966" w:rsidP="00034272">
            <w:pPr>
              <w:jc w:val="right"/>
              <w:rPr>
                <w:rFonts w:ascii="Arial" w:hAnsi="Arial" w:cs="Arial"/>
                <w:color w:val="000000" w:themeColor="text1"/>
                <w:sz w:val="20"/>
                <w:szCs w:val="20"/>
              </w:rPr>
            </w:pPr>
          </w:p>
        </w:tc>
      </w:tr>
      <w:tr w:rsidR="007363D7" w:rsidRPr="0012294F" w14:paraId="6F41A74F" w14:textId="77777777" w:rsidTr="00D7053E">
        <w:tc>
          <w:tcPr>
            <w:tcW w:w="4508" w:type="dxa"/>
          </w:tcPr>
          <w:p w14:paraId="6A7B7502" w14:textId="77777777" w:rsidR="00381966" w:rsidRPr="0012294F" w:rsidRDefault="00381966" w:rsidP="00034272">
            <w:pPr>
              <w:jc w:val="both"/>
              <w:rPr>
                <w:rFonts w:ascii="Arial" w:hAnsi="Arial" w:cs="Arial"/>
                <w:noProof/>
                <w:color w:val="000000" w:themeColor="text1"/>
                <w:sz w:val="20"/>
                <w:szCs w:val="20"/>
                <w:lang w:eastAsia="it-IT"/>
              </w:rPr>
            </w:pPr>
          </w:p>
        </w:tc>
        <w:tc>
          <w:tcPr>
            <w:tcW w:w="4508" w:type="dxa"/>
          </w:tcPr>
          <w:p w14:paraId="1D44B0DC" w14:textId="7ED0E22C" w:rsidR="00381966" w:rsidRPr="0012294F" w:rsidDel="00574A2D" w:rsidRDefault="00B301DB" w:rsidP="00034272">
            <w:pPr>
              <w:jc w:val="right"/>
              <w:rPr>
                <w:rFonts w:ascii="Arial" w:hAnsi="Arial" w:cs="Arial"/>
                <w:color w:val="000000" w:themeColor="text1"/>
                <w:sz w:val="20"/>
                <w:szCs w:val="20"/>
              </w:rPr>
            </w:pPr>
            <w:r>
              <w:rPr>
                <w:rFonts w:ascii="Arial" w:hAnsi="Arial" w:cs="Arial"/>
                <w:color w:val="000000" w:themeColor="text1"/>
                <w:sz w:val="20"/>
                <w:szCs w:val="20"/>
              </w:rPr>
              <w:t>May</w:t>
            </w:r>
            <w:r w:rsidR="00DE7527">
              <w:rPr>
                <w:rFonts w:ascii="Arial" w:hAnsi="Arial" w:cs="Arial"/>
                <w:color w:val="000000" w:themeColor="text1"/>
                <w:sz w:val="20"/>
                <w:szCs w:val="20"/>
              </w:rPr>
              <w:t xml:space="preserve"> 2020</w:t>
            </w:r>
          </w:p>
        </w:tc>
      </w:tr>
    </w:tbl>
    <w:p w14:paraId="44BC752A" w14:textId="77777777" w:rsidR="003E1A58" w:rsidRPr="0012294F" w:rsidRDefault="003E1A58" w:rsidP="00034272">
      <w:pPr>
        <w:spacing w:after="0" w:line="240" w:lineRule="auto"/>
        <w:jc w:val="both"/>
        <w:rPr>
          <w:rFonts w:ascii="Arial" w:hAnsi="Arial" w:cs="Arial"/>
          <w:color w:val="000000" w:themeColor="text1"/>
          <w:sz w:val="24"/>
          <w:szCs w:val="24"/>
        </w:rPr>
      </w:pPr>
    </w:p>
    <w:p w14:paraId="0CE7A2A7" w14:textId="77777777" w:rsidR="003E1A58" w:rsidRPr="0012294F" w:rsidRDefault="003E1A58" w:rsidP="00034272">
      <w:pPr>
        <w:spacing w:after="0" w:line="240" w:lineRule="auto"/>
        <w:jc w:val="both"/>
        <w:rPr>
          <w:rFonts w:ascii="Arial" w:hAnsi="Arial" w:cs="Arial"/>
          <w:color w:val="000000" w:themeColor="text1"/>
          <w:sz w:val="24"/>
          <w:szCs w:val="24"/>
        </w:rPr>
      </w:pPr>
    </w:p>
    <w:p w14:paraId="2D57A4B4" w14:textId="77777777"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Strategic Research and Innovation Agenda 2021-27</w:t>
      </w:r>
    </w:p>
    <w:p w14:paraId="1656648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5B98C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400452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29691074"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EA90995"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5E171FE"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4DF0772"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5B2D8916" w14:textId="10B9D50B" w:rsidR="00BA34C8" w:rsidRPr="0012294F" w:rsidRDefault="00BA34C8" w:rsidP="00034272">
      <w:pPr>
        <w:spacing w:after="0" w:line="240" w:lineRule="auto"/>
        <w:jc w:val="center"/>
        <w:rPr>
          <w:rFonts w:ascii="Arial" w:hAnsi="Arial" w:cs="Arial"/>
          <w:b/>
          <w:color w:val="000000" w:themeColor="text1"/>
          <w:sz w:val="28"/>
          <w:szCs w:val="28"/>
        </w:rPr>
      </w:pPr>
      <w:r w:rsidRPr="0012294F">
        <w:rPr>
          <w:rFonts w:ascii="Arial" w:hAnsi="Arial" w:cs="Arial"/>
          <w:b/>
          <w:color w:val="000000" w:themeColor="text1"/>
          <w:sz w:val="28"/>
          <w:szCs w:val="28"/>
        </w:rPr>
        <w:t xml:space="preserve">European Technology </w:t>
      </w:r>
      <w:r w:rsidR="00D7053E" w:rsidRPr="0012294F">
        <w:rPr>
          <w:rFonts w:ascii="Arial" w:hAnsi="Arial" w:cs="Arial"/>
          <w:b/>
          <w:color w:val="000000" w:themeColor="text1"/>
          <w:sz w:val="28"/>
          <w:szCs w:val="28"/>
        </w:rPr>
        <w:t>P</w:t>
      </w:r>
      <w:r w:rsidRPr="0012294F">
        <w:rPr>
          <w:rFonts w:ascii="Arial" w:hAnsi="Arial" w:cs="Arial"/>
          <w:b/>
          <w:color w:val="000000" w:themeColor="text1"/>
          <w:sz w:val="28"/>
          <w:szCs w:val="28"/>
        </w:rPr>
        <w:t>latform Net</w:t>
      </w:r>
      <w:r w:rsidR="00B62E44" w:rsidRPr="0012294F">
        <w:rPr>
          <w:rFonts w:ascii="Arial" w:hAnsi="Arial" w:cs="Arial"/>
          <w:b/>
          <w:color w:val="000000" w:themeColor="text1"/>
          <w:sz w:val="28"/>
          <w:szCs w:val="28"/>
        </w:rPr>
        <w:t>W</w:t>
      </w:r>
      <w:r w:rsidRPr="0012294F">
        <w:rPr>
          <w:rFonts w:ascii="Arial" w:hAnsi="Arial" w:cs="Arial"/>
          <w:b/>
          <w:color w:val="000000" w:themeColor="text1"/>
          <w:sz w:val="28"/>
          <w:szCs w:val="28"/>
        </w:rPr>
        <w:t>orld2020</w:t>
      </w:r>
    </w:p>
    <w:p w14:paraId="7CF107AD" w14:textId="6FC87BBC" w:rsidR="00BA34C8" w:rsidRPr="0012294F" w:rsidRDefault="00BA34C8" w:rsidP="00034272">
      <w:pPr>
        <w:spacing w:after="0" w:line="240" w:lineRule="auto"/>
        <w:jc w:val="center"/>
        <w:rPr>
          <w:rFonts w:ascii="Arial" w:hAnsi="Arial" w:cs="Arial"/>
          <w:b/>
          <w:color w:val="000000" w:themeColor="text1"/>
          <w:sz w:val="28"/>
          <w:szCs w:val="28"/>
        </w:rPr>
      </w:pPr>
    </w:p>
    <w:p w14:paraId="45C06D4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22C6F19"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DAEB7B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32CA088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BB6CE63"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F18522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3157A9D"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A0DB306" w14:textId="77777777" w:rsidR="00BA34C8" w:rsidRPr="0012294F" w:rsidRDefault="003E4A6E" w:rsidP="00034272">
      <w:pPr>
        <w:spacing w:after="0" w:line="240" w:lineRule="auto"/>
        <w:jc w:val="center"/>
        <w:rPr>
          <w:rFonts w:ascii="Arial" w:hAnsi="Arial" w:cs="Arial"/>
          <w:b/>
          <w:color w:val="000000" w:themeColor="text1"/>
          <w:sz w:val="40"/>
          <w:szCs w:val="28"/>
        </w:rPr>
      </w:pPr>
      <w:bookmarkStart w:id="0" w:name="_Hlk510025775"/>
      <w:r w:rsidRPr="0012294F">
        <w:rPr>
          <w:rFonts w:ascii="Arial" w:hAnsi="Arial" w:cs="Arial"/>
          <w:b/>
          <w:color w:val="000000" w:themeColor="text1"/>
          <w:sz w:val="40"/>
          <w:szCs w:val="28"/>
        </w:rPr>
        <w:t>“</w:t>
      </w:r>
      <w:r w:rsidR="00BB33CF" w:rsidRPr="0012294F">
        <w:rPr>
          <w:rFonts w:ascii="Arial" w:hAnsi="Arial" w:cs="Arial"/>
          <w:b/>
          <w:color w:val="000000" w:themeColor="text1"/>
          <w:sz w:val="40"/>
          <w:szCs w:val="28"/>
        </w:rPr>
        <w:t xml:space="preserve">Smart </w:t>
      </w:r>
      <w:r w:rsidR="00896D7D" w:rsidRPr="0012294F">
        <w:rPr>
          <w:rFonts w:ascii="Arial" w:hAnsi="Arial" w:cs="Arial"/>
          <w:b/>
          <w:color w:val="000000" w:themeColor="text1"/>
          <w:sz w:val="40"/>
          <w:szCs w:val="28"/>
        </w:rPr>
        <w:t>Networks</w:t>
      </w:r>
      <w:r w:rsidR="00BB33CF" w:rsidRPr="0012294F">
        <w:rPr>
          <w:rFonts w:ascii="Arial" w:hAnsi="Arial" w:cs="Arial"/>
          <w:b/>
          <w:color w:val="000000" w:themeColor="text1"/>
          <w:sz w:val="40"/>
          <w:szCs w:val="28"/>
        </w:rPr>
        <w:t xml:space="preserve"> in the context of NGI</w:t>
      </w:r>
      <w:bookmarkEnd w:id="0"/>
      <w:r w:rsidR="00BB33CF" w:rsidRPr="0012294F">
        <w:rPr>
          <w:rFonts w:ascii="Arial" w:hAnsi="Arial" w:cs="Arial"/>
          <w:b/>
          <w:color w:val="000000" w:themeColor="text1"/>
          <w:sz w:val="40"/>
          <w:szCs w:val="28"/>
        </w:rPr>
        <w:t>”</w:t>
      </w:r>
    </w:p>
    <w:p w14:paraId="0A99CCCB"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49523288"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695A61"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1BD264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00739446"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6D0BE05F" w14:textId="77777777" w:rsidR="00BA34C8" w:rsidRPr="0012294F" w:rsidRDefault="00BA34C8" w:rsidP="00034272">
      <w:pPr>
        <w:spacing w:after="0" w:line="240" w:lineRule="auto"/>
        <w:jc w:val="center"/>
        <w:rPr>
          <w:rFonts w:ascii="Arial" w:hAnsi="Arial" w:cs="Arial"/>
          <w:b/>
          <w:color w:val="000000" w:themeColor="text1"/>
          <w:sz w:val="28"/>
          <w:szCs w:val="28"/>
        </w:rPr>
      </w:pPr>
    </w:p>
    <w:p w14:paraId="7BAB9D63" w14:textId="2002F30D" w:rsidR="00BA34C8" w:rsidRPr="0012294F" w:rsidRDefault="00DE7527" w:rsidP="00034272">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2020</w:t>
      </w:r>
    </w:p>
    <w:p w14:paraId="01C1D488" w14:textId="77777777" w:rsidR="00BA34C8" w:rsidRPr="0012294F" w:rsidRDefault="00BA34C8" w:rsidP="00034272">
      <w:pPr>
        <w:spacing w:line="240" w:lineRule="auto"/>
        <w:rPr>
          <w:rFonts w:ascii="Arial" w:hAnsi="Arial" w:cs="Arial"/>
          <w:b/>
          <w:color w:val="000000" w:themeColor="text1"/>
          <w:sz w:val="28"/>
          <w:szCs w:val="28"/>
        </w:rPr>
      </w:pPr>
      <w:r w:rsidRPr="0012294F">
        <w:rPr>
          <w:rFonts w:ascii="Arial" w:hAnsi="Arial" w:cs="Arial"/>
          <w:b/>
          <w:color w:val="000000" w:themeColor="text1"/>
          <w:sz w:val="28"/>
          <w:szCs w:val="28"/>
        </w:rPr>
        <w:br w:type="page"/>
      </w:r>
    </w:p>
    <w:p w14:paraId="040318BC" w14:textId="77777777" w:rsidR="00196B63" w:rsidRPr="0012294F" w:rsidRDefault="00196B63" w:rsidP="00034272">
      <w:pPr>
        <w:spacing w:after="0" w:line="240" w:lineRule="auto"/>
        <w:jc w:val="center"/>
        <w:rPr>
          <w:rFonts w:ascii="Arial" w:hAnsi="Arial" w:cs="Arial"/>
          <w:b/>
          <w:color w:val="000000" w:themeColor="text1"/>
          <w:sz w:val="24"/>
          <w:szCs w:val="24"/>
        </w:rPr>
      </w:pPr>
      <w:r w:rsidRPr="0012294F">
        <w:rPr>
          <w:rFonts w:ascii="Arial" w:hAnsi="Arial" w:cs="Arial"/>
          <w:b/>
          <w:color w:val="000000" w:themeColor="text1"/>
          <w:sz w:val="24"/>
          <w:szCs w:val="24"/>
        </w:rPr>
        <w:lastRenderedPageBreak/>
        <w:t>Table of Content</w:t>
      </w:r>
      <w:r w:rsidR="00BA34C8" w:rsidRPr="0012294F">
        <w:rPr>
          <w:rFonts w:ascii="Arial" w:hAnsi="Arial" w:cs="Arial"/>
          <w:b/>
          <w:color w:val="000000" w:themeColor="text1"/>
          <w:sz w:val="24"/>
          <w:szCs w:val="24"/>
        </w:rPr>
        <w:t>s</w:t>
      </w:r>
    </w:p>
    <w:p w14:paraId="05D8A80A" w14:textId="77777777" w:rsidR="00196B63" w:rsidRPr="00B24646" w:rsidRDefault="00196B63" w:rsidP="00034272">
      <w:pPr>
        <w:spacing w:after="0" w:line="240" w:lineRule="auto"/>
        <w:jc w:val="both"/>
        <w:rPr>
          <w:rFonts w:ascii="Arial" w:hAnsi="Arial" w:cs="Arial"/>
          <w:color w:val="000000" w:themeColor="text1"/>
        </w:rPr>
      </w:pPr>
    </w:p>
    <w:sdt>
      <w:sdtPr>
        <w:rPr>
          <w:rFonts w:asciiTheme="minorHAnsi" w:eastAsiaTheme="minorHAnsi" w:hAnsiTheme="minorHAnsi" w:cstheme="minorBidi"/>
          <w:bCs w:val="0"/>
          <w:noProof w:val="0"/>
          <w:color w:val="auto"/>
          <w:szCs w:val="22"/>
          <w:lang w:val="en-GB" w:eastAsia="en-US"/>
        </w:rPr>
        <w:id w:val="-1079523871"/>
        <w:docPartObj>
          <w:docPartGallery w:val="Table of Contents"/>
          <w:docPartUnique/>
        </w:docPartObj>
      </w:sdtPr>
      <w:sdtEndPr>
        <w:rPr>
          <w:rFonts w:ascii="Arial" w:hAnsi="Arial" w:cs="Arial"/>
          <w:sz w:val="20"/>
          <w:szCs w:val="20"/>
        </w:rPr>
      </w:sdtEndPr>
      <w:sdtContent>
        <w:p w14:paraId="4CC98B35" w14:textId="1F17332A" w:rsidR="00A53696" w:rsidRPr="00A53696" w:rsidRDefault="00DE7527">
          <w:pPr>
            <w:pStyle w:val="TOC1"/>
            <w:rPr>
              <w:rFonts w:asciiTheme="minorHAnsi" w:eastAsiaTheme="minorEastAsia" w:hAnsiTheme="minorHAnsi" w:cstheme="minorBidi"/>
              <w:bCs w:val="0"/>
              <w:color w:val="auto"/>
              <w:sz w:val="20"/>
              <w:szCs w:val="22"/>
              <w:lang w:val="en-GB" w:eastAsia="en-GB"/>
            </w:rPr>
          </w:pPr>
          <w:r w:rsidRPr="00A53696">
            <w:rPr>
              <w:sz w:val="18"/>
              <w:szCs w:val="20"/>
            </w:rPr>
            <w:fldChar w:fldCharType="begin"/>
          </w:r>
          <w:r w:rsidRPr="00A53696">
            <w:rPr>
              <w:sz w:val="18"/>
              <w:szCs w:val="20"/>
            </w:rPr>
            <w:instrText xml:space="preserve"> TOC \o "1-3" \h \z \u </w:instrText>
          </w:r>
          <w:r w:rsidRPr="00A53696">
            <w:rPr>
              <w:sz w:val="18"/>
              <w:szCs w:val="20"/>
            </w:rPr>
            <w:fldChar w:fldCharType="separate"/>
          </w:r>
          <w:hyperlink w:anchor="_Toc42177210" w:history="1">
            <w:r w:rsidR="00A53696" w:rsidRPr="00A53696">
              <w:rPr>
                <w:rStyle w:val="Hyperlink"/>
                <w:sz w:val="20"/>
              </w:rPr>
              <w:t>1.</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Introduction</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_Toc42177210 \h </w:instrText>
            </w:r>
            <w:r w:rsidR="00A53696" w:rsidRPr="00A53696">
              <w:rPr>
                <w:webHidden/>
                <w:sz w:val="20"/>
              </w:rPr>
            </w:r>
            <w:r w:rsidR="00A53696" w:rsidRPr="00A53696">
              <w:rPr>
                <w:webHidden/>
                <w:sz w:val="20"/>
              </w:rPr>
              <w:fldChar w:fldCharType="separate"/>
            </w:r>
            <w:r w:rsidR="003F0180">
              <w:rPr>
                <w:webHidden/>
                <w:sz w:val="20"/>
              </w:rPr>
              <w:t>6</w:t>
            </w:r>
            <w:r w:rsidR="00A53696" w:rsidRPr="00A53696">
              <w:rPr>
                <w:webHidden/>
                <w:sz w:val="20"/>
              </w:rPr>
              <w:fldChar w:fldCharType="end"/>
            </w:r>
          </w:hyperlink>
        </w:p>
        <w:p w14:paraId="6AEE50AF" w14:textId="5939D3A0" w:rsidR="00A53696" w:rsidRPr="00A53696" w:rsidRDefault="000C66C8">
          <w:pPr>
            <w:pStyle w:val="TOC2"/>
            <w:rPr>
              <w:rFonts w:asciiTheme="minorHAnsi" w:eastAsiaTheme="minorEastAsia" w:hAnsiTheme="minorHAnsi" w:cstheme="minorBidi"/>
              <w:b w:val="0"/>
              <w:color w:val="auto"/>
              <w:sz w:val="20"/>
              <w:lang w:eastAsia="en-GB"/>
            </w:rPr>
          </w:pPr>
          <w:hyperlink w:anchor="_Toc42177211" w:history="1">
            <w:r w:rsidR="00A53696" w:rsidRPr="00A53696">
              <w:rPr>
                <w:rStyle w:val="Hyperlink"/>
                <w:b w:val="0"/>
                <w:sz w:val="20"/>
              </w:rPr>
              <w:t>1.1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Global Megatrends – Societal Challenges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_Toc42177211 \h </w:instrText>
            </w:r>
            <w:r w:rsidR="00A53696" w:rsidRPr="00A53696">
              <w:rPr>
                <w:b w:val="0"/>
                <w:webHidden/>
                <w:sz w:val="20"/>
              </w:rPr>
            </w:r>
            <w:r w:rsidR="00A53696" w:rsidRPr="00A53696">
              <w:rPr>
                <w:b w:val="0"/>
                <w:webHidden/>
                <w:sz w:val="20"/>
              </w:rPr>
              <w:fldChar w:fldCharType="separate"/>
            </w:r>
            <w:r w:rsidR="003F0180">
              <w:rPr>
                <w:b w:val="0"/>
                <w:webHidden/>
                <w:sz w:val="20"/>
              </w:rPr>
              <w:t>6</w:t>
            </w:r>
            <w:r w:rsidR="00A53696" w:rsidRPr="00A53696">
              <w:rPr>
                <w:b w:val="0"/>
                <w:webHidden/>
                <w:sz w:val="20"/>
              </w:rPr>
              <w:fldChar w:fldCharType="end"/>
            </w:r>
          </w:hyperlink>
        </w:p>
        <w:p w14:paraId="539A4102" w14:textId="1A3D70FA"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12" w:history="1">
            <w:r w:rsidR="00A53696" w:rsidRPr="00A53696">
              <w:rPr>
                <w:rStyle w:val="Hyperlink"/>
                <w:sz w:val="18"/>
                <w:lang w:val="en-US"/>
              </w:rPr>
              <w:t>1.1.1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Trends related to the natural environment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_Toc42177212 \h </w:instrText>
            </w:r>
            <w:r w:rsidR="00A53696" w:rsidRPr="00A53696">
              <w:rPr>
                <w:webHidden/>
                <w:sz w:val="18"/>
              </w:rPr>
            </w:r>
            <w:r w:rsidR="00A53696" w:rsidRPr="00A53696">
              <w:rPr>
                <w:webHidden/>
                <w:sz w:val="18"/>
              </w:rPr>
              <w:fldChar w:fldCharType="separate"/>
            </w:r>
            <w:r w:rsidR="003F0180">
              <w:rPr>
                <w:webHidden/>
                <w:sz w:val="18"/>
              </w:rPr>
              <w:t>7</w:t>
            </w:r>
            <w:r w:rsidR="00A53696" w:rsidRPr="00A53696">
              <w:rPr>
                <w:webHidden/>
                <w:sz w:val="18"/>
              </w:rPr>
              <w:fldChar w:fldCharType="end"/>
            </w:r>
          </w:hyperlink>
        </w:p>
        <w:p w14:paraId="5FBCD83F" w14:textId="741E6B6B"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13" w:history="1">
            <w:r w:rsidR="00A53696" w:rsidRPr="00A53696">
              <w:rPr>
                <w:rStyle w:val="Hyperlink"/>
                <w:sz w:val="18"/>
                <w:lang w:val="en-US"/>
              </w:rPr>
              <w:t>1.1.2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Trends related to the political system</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_Toc42177213 \h </w:instrText>
            </w:r>
            <w:r w:rsidR="00A53696" w:rsidRPr="00A53696">
              <w:rPr>
                <w:webHidden/>
                <w:sz w:val="18"/>
              </w:rPr>
            </w:r>
            <w:r w:rsidR="00A53696" w:rsidRPr="00A53696">
              <w:rPr>
                <w:webHidden/>
                <w:sz w:val="18"/>
              </w:rPr>
              <w:fldChar w:fldCharType="separate"/>
            </w:r>
            <w:r w:rsidR="003F0180">
              <w:rPr>
                <w:webHidden/>
                <w:sz w:val="18"/>
              </w:rPr>
              <w:t>8</w:t>
            </w:r>
            <w:r w:rsidR="00A53696" w:rsidRPr="00A53696">
              <w:rPr>
                <w:webHidden/>
                <w:sz w:val="18"/>
              </w:rPr>
              <w:fldChar w:fldCharType="end"/>
            </w:r>
          </w:hyperlink>
        </w:p>
        <w:p w14:paraId="6AC0BFA7" w14:textId="3685D8AC"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14" w:history="1">
            <w:r w:rsidR="00A53696" w:rsidRPr="00A53696">
              <w:rPr>
                <w:rStyle w:val="Hyperlink"/>
                <w:sz w:val="18"/>
                <w:lang w:val="en-US"/>
              </w:rPr>
              <w:t>1.1.3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Trends related to the education system</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_Toc42177214 \h </w:instrText>
            </w:r>
            <w:r w:rsidR="00A53696" w:rsidRPr="00A53696">
              <w:rPr>
                <w:webHidden/>
                <w:sz w:val="18"/>
              </w:rPr>
            </w:r>
            <w:r w:rsidR="00A53696" w:rsidRPr="00A53696">
              <w:rPr>
                <w:webHidden/>
                <w:sz w:val="18"/>
              </w:rPr>
              <w:fldChar w:fldCharType="separate"/>
            </w:r>
            <w:r w:rsidR="003F0180">
              <w:rPr>
                <w:webHidden/>
                <w:sz w:val="18"/>
              </w:rPr>
              <w:t>9</w:t>
            </w:r>
            <w:r w:rsidR="00A53696" w:rsidRPr="00A53696">
              <w:rPr>
                <w:webHidden/>
                <w:sz w:val="18"/>
              </w:rPr>
              <w:fldChar w:fldCharType="end"/>
            </w:r>
          </w:hyperlink>
        </w:p>
        <w:p w14:paraId="7F85508A" w14:textId="7A02EA3F"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15" w:history="1">
            <w:r w:rsidR="00A53696" w:rsidRPr="00A53696">
              <w:rPr>
                <w:rStyle w:val="Hyperlink"/>
                <w:sz w:val="18"/>
                <w:lang w:val="en-US"/>
              </w:rPr>
              <w:t>1.1.4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Trends related to the economic system</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_Toc42177215 \h </w:instrText>
            </w:r>
            <w:r w:rsidR="00A53696" w:rsidRPr="00A53696">
              <w:rPr>
                <w:webHidden/>
                <w:sz w:val="18"/>
              </w:rPr>
            </w:r>
            <w:r w:rsidR="00A53696" w:rsidRPr="00A53696">
              <w:rPr>
                <w:webHidden/>
                <w:sz w:val="18"/>
              </w:rPr>
              <w:fldChar w:fldCharType="separate"/>
            </w:r>
            <w:r w:rsidR="003F0180">
              <w:rPr>
                <w:webHidden/>
                <w:sz w:val="18"/>
              </w:rPr>
              <w:t>9</w:t>
            </w:r>
            <w:r w:rsidR="00A53696" w:rsidRPr="00A53696">
              <w:rPr>
                <w:webHidden/>
                <w:sz w:val="18"/>
              </w:rPr>
              <w:fldChar w:fldCharType="end"/>
            </w:r>
          </w:hyperlink>
        </w:p>
        <w:p w14:paraId="386FCD66" w14:textId="4DE9C39F"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16" w:history="1">
            <w:r w:rsidR="00A53696" w:rsidRPr="00A53696">
              <w:rPr>
                <w:rStyle w:val="Hyperlink"/>
                <w:sz w:val="18"/>
                <w:lang w:val="en-US"/>
              </w:rPr>
              <w:t>1.1.5</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Trends related to the media-based and culture-based public system</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_Toc42177216 \h </w:instrText>
            </w:r>
            <w:r w:rsidR="00A53696" w:rsidRPr="00A53696">
              <w:rPr>
                <w:webHidden/>
                <w:sz w:val="18"/>
              </w:rPr>
            </w:r>
            <w:r w:rsidR="00A53696" w:rsidRPr="00A53696">
              <w:rPr>
                <w:webHidden/>
                <w:sz w:val="18"/>
              </w:rPr>
              <w:fldChar w:fldCharType="separate"/>
            </w:r>
            <w:r w:rsidR="003F0180">
              <w:rPr>
                <w:webHidden/>
                <w:sz w:val="18"/>
              </w:rPr>
              <w:t>10</w:t>
            </w:r>
            <w:r w:rsidR="00A53696" w:rsidRPr="00A53696">
              <w:rPr>
                <w:webHidden/>
                <w:sz w:val="18"/>
              </w:rPr>
              <w:fldChar w:fldCharType="end"/>
            </w:r>
          </w:hyperlink>
        </w:p>
        <w:p w14:paraId="342780EC" w14:textId="25A91082" w:rsidR="00A53696" w:rsidRPr="00A53696" w:rsidRDefault="000C66C8">
          <w:pPr>
            <w:pStyle w:val="TOC2"/>
            <w:rPr>
              <w:rFonts w:asciiTheme="minorHAnsi" w:eastAsiaTheme="minorEastAsia" w:hAnsiTheme="minorHAnsi" w:cstheme="minorBidi"/>
              <w:b w:val="0"/>
              <w:color w:val="auto"/>
              <w:sz w:val="20"/>
              <w:lang w:eastAsia="en-GB"/>
            </w:rPr>
          </w:pPr>
          <w:hyperlink w:anchor="_Toc42177217" w:history="1">
            <w:r w:rsidR="00A53696" w:rsidRPr="00A53696">
              <w:rPr>
                <w:rStyle w:val="Hyperlink"/>
                <w:b w:val="0"/>
                <w:sz w:val="20"/>
              </w:rPr>
              <w:t>1.2</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Strong Contribution to the European Economy</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_Toc42177217 \h </w:instrText>
            </w:r>
            <w:r w:rsidR="00A53696" w:rsidRPr="00A53696">
              <w:rPr>
                <w:b w:val="0"/>
                <w:webHidden/>
                <w:sz w:val="20"/>
              </w:rPr>
            </w:r>
            <w:r w:rsidR="00A53696" w:rsidRPr="00A53696">
              <w:rPr>
                <w:b w:val="0"/>
                <w:webHidden/>
                <w:sz w:val="20"/>
              </w:rPr>
              <w:fldChar w:fldCharType="separate"/>
            </w:r>
            <w:r w:rsidR="003F0180">
              <w:rPr>
                <w:b w:val="0"/>
                <w:webHidden/>
                <w:sz w:val="20"/>
              </w:rPr>
              <w:t>11</w:t>
            </w:r>
            <w:r w:rsidR="00A53696" w:rsidRPr="00A53696">
              <w:rPr>
                <w:b w:val="0"/>
                <w:webHidden/>
                <w:sz w:val="20"/>
              </w:rPr>
              <w:fldChar w:fldCharType="end"/>
            </w:r>
          </w:hyperlink>
        </w:p>
        <w:p w14:paraId="6A89A06B" w14:textId="14FCAEB9" w:rsidR="00A53696" w:rsidRPr="00A53696" w:rsidRDefault="000C66C8">
          <w:pPr>
            <w:pStyle w:val="TOC2"/>
            <w:rPr>
              <w:rFonts w:asciiTheme="minorHAnsi" w:eastAsiaTheme="minorEastAsia" w:hAnsiTheme="minorHAnsi" w:cstheme="minorBidi"/>
              <w:b w:val="0"/>
              <w:color w:val="auto"/>
              <w:sz w:val="20"/>
              <w:lang w:eastAsia="en-GB"/>
            </w:rPr>
          </w:pPr>
          <w:hyperlink w:anchor="_Toc42177218" w:history="1">
            <w:r w:rsidR="00A53696" w:rsidRPr="00A53696">
              <w:rPr>
                <w:rStyle w:val="Hyperlink"/>
                <w:b w:val="0"/>
                <w:sz w:val="20"/>
              </w:rPr>
              <w:t>1.3</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Smart Networks Vision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_Toc42177218 \h </w:instrText>
            </w:r>
            <w:r w:rsidR="00A53696" w:rsidRPr="00A53696">
              <w:rPr>
                <w:b w:val="0"/>
                <w:webHidden/>
                <w:sz w:val="20"/>
              </w:rPr>
            </w:r>
            <w:r w:rsidR="00A53696" w:rsidRPr="00A53696">
              <w:rPr>
                <w:b w:val="0"/>
                <w:webHidden/>
                <w:sz w:val="20"/>
              </w:rPr>
              <w:fldChar w:fldCharType="separate"/>
            </w:r>
            <w:r w:rsidR="003F0180">
              <w:rPr>
                <w:b w:val="0"/>
                <w:webHidden/>
                <w:sz w:val="20"/>
              </w:rPr>
              <w:t>12</w:t>
            </w:r>
            <w:r w:rsidR="00A53696" w:rsidRPr="00A53696">
              <w:rPr>
                <w:b w:val="0"/>
                <w:webHidden/>
                <w:sz w:val="20"/>
              </w:rPr>
              <w:fldChar w:fldCharType="end"/>
            </w:r>
          </w:hyperlink>
        </w:p>
        <w:p w14:paraId="3CDC1C09" w14:textId="51098D22"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219" w:history="1">
            <w:r w:rsidR="00A53696" w:rsidRPr="00A53696">
              <w:rPr>
                <w:rStyle w:val="Hyperlink"/>
                <w:sz w:val="20"/>
              </w:rPr>
              <w:t>2.</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Policy Frameworks and Key Performance and Value Indicators towards 2030</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_Toc42177219 \h </w:instrText>
            </w:r>
            <w:r w:rsidR="00A53696" w:rsidRPr="00A53696">
              <w:rPr>
                <w:webHidden/>
                <w:sz w:val="20"/>
              </w:rPr>
            </w:r>
            <w:r w:rsidR="00A53696" w:rsidRPr="00A53696">
              <w:rPr>
                <w:webHidden/>
                <w:sz w:val="20"/>
              </w:rPr>
              <w:fldChar w:fldCharType="separate"/>
            </w:r>
            <w:r w:rsidR="003F0180">
              <w:rPr>
                <w:webHidden/>
                <w:sz w:val="20"/>
              </w:rPr>
              <w:t>16</w:t>
            </w:r>
            <w:r w:rsidR="00A53696" w:rsidRPr="00A53696">
              <w:rPr>
                <w:webHidden/>
                <w:sz w:val="20"/>
              </w:rPr>
              <w:fldChar w:fldCharType="end"/>
            </w:r>
          </w:hyperlink>
        </w:p>
        <w:p w14:paraId="632C6613" w14:textId="7E3A04A5" w:rsidR="00A53696" w:rsidRPr="00A53696" w:rsidRDefault="000C66C8">
          <w:pPr>
            <w:pStyle w:val="TOC2"/>
            <w:rPr>
              <w:rFonts w:asciiTheme="minorHAnsi" w:eastAsiaTheme="minorEastAsia" w:hAnsiTheme="minorHAnsi" w:cstheme="minorBidi"/>
              <w:b w:val="0"/>
              <w:color w:val="auto"/>
              <w:sz w:val="20"/>
              <w:lang w:eastAsia="en-GB"/>
            </w:rPr>
          </w:pPr>
          <w:hyperlink w:anchor="_Toc42177220" w:history="1">
            <w:r w:rsidR="00A53696" w:rsidRPr="00A53696">
              <w:rPr>
                <w:rStyle w:val="Hyperlink"/>
                <w:b w:val="0"/>
                <w:sz w:val="20"/>
              </w:rPr>
              <w:t>2.1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Policy Objectives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_Toc42177220 \h </w:instrText>
            </w:r>
            <w:r w:rsidR="00A53696" w:rsidRPr="00A53696">
              <w:rPr>
                <w:b w:val="0"/>
                <w:webHidden/>
                <w:sz w:val="20"/>
              </w:rPr>
            </w:r>
            <w:r w:rsidR="00A53696" w:rsidRPr="00A53696">
              <w:rPr>
                <w:b w:val="0"/>
                <w:webHidden/>
                <w:sz w:val="20"/>
              </w:rPr>
              <w:fldChar w:fldCharType="separate"/>
            </w:r>
            <w:r w:rsidR="003F0180">
              <w:rPr>
                <w:b w:val="0"/>
                <w:webHidden/>
                <w:sz w:val="20"/>
              </w:rPr>
              <w:t>16</w:t>
            </w:r>
            <w:r w:rsidR="00A53696" w:rsidRPr="00A53696">
              <w:rPr>
                <w:b w:val="0"/>
                <w:webHidden/>
                <w:sz w:val="20"/>
              </w:rPr>
              <w:fldChar w:fldCharType="end"/>
            </w:r>
          </w:hyperlink>
        </w:p>
        <w:p w14:paraId="3954DAD1" w14:textId="7F3D03AA"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21" w:history="1">
            <w:r w:rsidR="00A53696" w:rsidRPr="00A53696">
              <w:rPr>
                <w:rStyle w:val="Hyperlink"/>
                <w:sz w:val="18"/>
                <w:lang w:val="en-US"/>
              </w:rPr>
              <w:t>2.1.1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Global view: UN Sustainable Development Goals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_Toc42177221 \h </w:instrText>
            </w:r>
            <w:r w:rsidR="00A53696" w:rsidRPr="00A53696">
              <w:rPr>
                <w:webHidden/>
                <w:sz w:val="18"/>
              </w:rPr>
            </w:r>
            <w:r w:rsidR="00A53696" w:rsidRPr="00A53696">
              <w:rPr>
                <w:webHidden/>
                <w:sz w:val="18"/>
              </w:rPr>
              <w:fldChar w:fldCharType="separate"/>
            </w:r>
            <w:r w:rsidR="003F0180">
              <w:rPr>
                <w:webHidden/>
                <w:sz w:val="18"/>
              </w:rPr>
              <w:t>16</w:t>
            </w:r>
            <w:r w:rsidR="00A53696" w:rsidRPr="00A53696">
              <w:rPr>
                <w:webHidden/>
                <w:sz w:val="18"/>
              </w:rPr>
              <w:fldChar w:fldCharType="end"/>
            </w:r>
          </w:hyperlink>
        </w:p>
        <w:p w14:paraId="075B5DB2" w14:textId="5EDB0CB2"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22" w:history="1">
            <w:r w:rsidR="00A53696" w:rsidRPr="00A53696">
              <w:rPr>
                <w:rStyle w:val="Hyperlink"/>
                <w:sz w:val="18"/>
                <w:lang w:val="en-US"/>
              </w:rPr>
              <w:t>2.1.2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The Green Deal</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_Toc42177222 \h </w:instrText>
            </w:r>
            <w:r w:rsidR="00A53696" w:rsidRPr="00A53696">
              <w:rPr>
                <w:webHidden/>
                <w:sz w:val="18"/>
              </w:rPr>
            </w:r>
            <w:r w:rsidR="00A53696" w:rsidRPr="00A53696">
              <w:rPr>
                <w:webHidden/>
                <w:sz w:val="18"/>
              </w:rPr>
              <w:fldChar w:fldCharType="separate"/>
            </w:r>
            <w:r w:rsidR="003F0180">
              <w:rPr>
                <w:webHidden/>
                <w:sz w:val="18"/>
              </w:rPr>
              <w:t>17</w:t>
            </w:r>
            <w:r w:rsidR="00A53696" w:rsidRPr="00A53696">
              <w:rPr>
                <w:webHidden/>
                <w:sz w:val="18"/>
              </w:rPr>
              <w:fldChar w:fldCharType="end"/>
            </w:r>
          </w:hyperlink>
        </w:p>
        <w:p w14:paraId="57261A01" w14:textId="7C29E12E"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23" w:history="1">
            <w:r w:rsidR="00A53696" w:rsidRPr="00A53696">
              <w:rPr>
                <w:rStyle w:val="Hyperlink"/>
                <w:sz w:val="18"/>
              </w:rPr>
              <w:t>2.1.3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Full industrial digitization and support of vertical industries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_Toc42177223 \h </w:instrText>
            </w:r>
            <w:r w:rsidR="00A53696" w:rsidRPr="00A53696">
              <w:rPr>
                <w:webHidden/>
                <w:sz w:val="18"/>
              </w:rPr>
            </w:r>
            <w:r w:rsidR="00A53696" w:rsidRPr="00A53696">
              <w:rPr>
                <w:webHidden/>
                <w:sz w:val="18"/>
              </w:rPr>
              <w:fldChar w:fldCharType="separate"/>
            </w:r>
            <w:r w:rsidR="003F0180">
              <w:rPr>
                <w:webHidden/>
                <w:sz w:val="18"/>
              </w:rPr>
              <w:t>18</w:t>
            </w:r>
            <w:r w:rsidR="00A53696" w:rsidRPr="00A53696">
              <w:rPr>
                <w:webHidden/>
                <w:sz w:val="18"/>
              </w:rPr>
              <w:fldChar w:fldCharType="end"/>
            </w:r>
          </w:hyperlink>
        </w:p>
        <w:p w14:paraId="6BC075DF" w14:textId="2985DF1C" w:rsidR="00A53696" w:rsidRPr="00A53696" w:rsidRDefault="000C66C8">
          <w:pPr>
            <w:pStyle w:val="TOC2"/>
            <w:rPr>
              <w:rFonts w:asciiTheme="minorHAnsi" w:eastAsiaTheme="minorEastAsia" w:hAnsiTheme="minorHAnsi" w:cstheme="minorBidi"/>
              <w:b w:val="0"/>
              <w:color w:val="auto"/>
              <w:sz w:val="20"/>
              <w:lang w:eastAsia="en-GB"/>
            </w:rPr>
          </w:pPr>
          <w:hyperlink w:anchor="_Toc42177224" w:history="1">
            <w:r w:rsidR="00A53696" w:rsidRPr="00A53696">
              <w:rPr>
                <w:rStyle w:val="Hyperlink"/>
                <w:b w:val="0"/>
                <w:sz w:val="20"/>
                <w:lang w:val="en-US"/>
              </w:rPr>
              <w:t>2.2</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lang w:val="en-US"/>
              </w:rPr>
              <w:t>Societal, Economical and Business Drivers for 6G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_Toc42177224 \h </w:instrText>
            </w:r>
            <w:r w:rsidR="00A53696" w:rsidRPr="00A53696">
              <w:rPr>
                <w:b w:val="0"/>
                <w:webHidden/>
                <w:sz w:val="20"/>
              </w:rPr>
            </w:r>
            <w:r w:rsidR="00A53696" w:rsidRPr="00A53696">
              <w:rPr>
                <w:b w:val="0"/>
                <w:webHidden/>
                <w:sz w:val="20"/>
              </w:rPr>
              <w:fldChar w:fldCharType="separate"/>
            </w:r>
            <w:r w:rsidR="003F0180">
              <w:rPr>
                <w:b w:val="0"/>
                <w:webHidden/>
                <w:sz w:val="20"/>
              </w:rPr>
              <w:t>19</w:t>
            </w:r>
            <w:r w:rsidR="00A53696" w:rsidRPr="00A53696">
              <w:rPr>
                <w:b w:val="0"/>
                <w:webHidden/>
                <w:sz w:val="20"/>
              </w:rPr>
              <w:fldChar w:fldCharType="end"/>
            </w:r>
          </w:hyperlink>
        </w:p>
        <w:p w14:paraId="5176E03A" w14:textId="438FF3C5"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25" w:history="1">
            <w:r w:rsidR="00A53696" w:rsidRPr="00A53696">
              <w:rPr>
                <w:rStyle w:val="Hyperlink"/>
                <w:sz w:val="18"/>
              </w:rPr>
              <w:t>2.2.1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Integrate new technologies and support emerging applications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_Toc42177225 \h </w:instrText>
            </w:r>
            <w:r w:rsidR="00A53696" w:rsidRPr="00A53696">
              <w:rPr>
                <w:webHidden/>
                <w:sz w:val="18"/>
              </w:rPr>
            </w:r>
            <w:r w:rsidR="00A53696" w:rsidRPr="00A53696">
              <w:rPr>
                <w:webHidden/>
                <w:sz w:val="18"/>
              </w:rPr>
              <w:fldChar w:fldCharType="separate"/>
            </w:r>
            <w:r w:rsidR="003F0180">
              <w:rPr>
                <w:webHidden/>
                <w:sz w:val="18"/>
              </w:rPr>
              <w:t>24</w:t>
            </w:r>
            <w:r w:rsidR="00A53696" w:rsidRPr="00A53696">
              <w:rPr>
                <w:webHidden/>
                <w:sz w:val="18"/>
              </w:rPr>
              <w:fldChar w:fldCharType="end"/>
            </w:r>
          </w:hyperlink>
        </w:p>
        <w:p w14:paraId="5884E06B" w14:textId="62108093" w:rsidR="00A53696" w:rsidRPr="00A53696" w:rsidRDefault="000C66C8">
          <w:pPr>
            <w:pStyle w:val="TOC2"/>
            <w:rPr>
              <w:rFonts w:asciiTheme="minorHAnsi" w:eastAsiaTheme="minorEastAsia" w:hAnsiTheme="minorHAnsi" w:cstheme="minorBidi"/>
              <w:b w:val="0"/>
              <w:color w:val="auto"/>
              <w:sz w:val="20"/>
              <w:lang w:eastAsia="en-GB"/>
            </w:rPr>
          </w:pPr>
          <w:hyperlink w:anchor="_Toc42177226" w:history="1">
            <w:r w:rsidR="00A53696" w:rsidRPr="00A53696">
              <w:rPr>
                <w:rStyle w:val="Hyperlink"/>
                <w:b w:val="0"/>
                <w:sz w:val="20"/>
              </w:rPr>
              <w:t>2.3</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Mapping of the UN SDGs to ICT development</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_Toc42177226 \h </w:instrText>
            </w:r>
            <w:r w:rsidR="00A53696" w:rsidRPr="00A53696">
              <w:rPr>
                <w:b w:val="0"/>
                <w:webHidden/>
                <w:sz w:val="20"/>
              </w:rPr>
            </w:r>
            <w:r w:rsidR="00A53696" w:rsidRPr="00A53696">
              <w:rPr>
                <w:b w:val="0"/>
                <w:webHidden/>
                <w:sz w:val="20"/>
              </w:rPr>
              <w:fldChar w:fldCharType="separate"/>
            </w:r>
            <w:r w:rsidR="003F0180">
              <w:rPr>
                <w:b w:val="0"/>
                <w:webHidden/>
                <w:sz w:val="20"/>
              </w:rPr>
              <w:t>24</w:t>
            </w:r>
            <w:r w:rsidR="00A53696" w:rsidRPr="00A53696">
              <w:rPr>
                <w:b w:val="0"/>
                <w:webHidden/>
                <w:sz w:val="20"/>
              </w:rPr>
              <w:fldChar w:fldCharType="end"/>
            </w:r>
          </w:hyperlink>
        </w:p>
        <w:p w14:paraId="7CA2506B" w14:textId="52E9CA31" w:rsidR="00A53696" w:rsidRPr="00A53696" w:rsidRDefault="000C66C8">
          <w:pPr>
            <w:pStyle w:val="TOC2"/>
            <w:rPr>
              <w:rFonts w:asciiTheme="minorHAnsi" w:eastAsiaTheme="minorEastAsia" w:hAnsiTheme="minorHAnsi" w:cstheme="minorBidi"/>
              <w:b w:val="0"/>
              <w:color w:val="auto"/>
              <w:sz w:val="20"/>
              <w:lang w:eastAsia="en-GB"/>
            </w:rPr>
          </w:pPr>
          <w:hyperlink w:anchor="_Toc42177227" w:history="1">
            <w:r w:rsidR="00A53696" w:rsidRPr="00A53696">
              <w:rPr>
                <w:rStyle w:val="Hyperlink"/>
                <w:rFonts w:eastAsia="Times New Roman"/>
                <w:b w:val="0"/>
                <w:sz w:val="20"/>
              </w:rPr>
              <w:t>2.4</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eastAsia="Times New Roman"/>
                <w:b w:val="0"/>
                <w:sz w:val="20"/>
              </w:rPr>
              <w:t>Key Performance Indicators (Access, Network, Management)</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_Toc42177227 \h </w:instrText>
            </w:r>
            <w:r w:rsidR="00A53696" w:rsidRPr="00A53696">
              <w:rPr>
                <w:b w:val="0"/>
                <w:webHidden/>
                <w:sz w:val="20"/>
              </w:rPr>
            </w:r>
            <w:r w:rsidR="00A53696" w:rsidRPr="00A53696">
              <w:rPr>
                <w:b w:val="0"/>
                <w:webHidden/>
                <w:sz w:val="20"/>
              </w:rPr>
              <w:fldChar w:fldCharType="separate"/>
            </w:r>
            <w:r w:rsidR="003F0180">
              <w:rPr>
                <w:b w:val="0"/>
                <w:webHidden/>
                <w:sz w:val="20"/>
              </w:rPr>
              <w:t>29</w:t>
            </w:r>
            <w:r w:rsidR="00A53696" w:rsidRPr="00A53696">
              <w:rPr>
                <w:b w:val="0"/>
                <w:webHidden/>
                <w:sz w:val="20"/>
              </w:rPr>
              <w:fldChar w:fldCharType="end"/>
            </w:r>
          </w:hyperlink>
        </w:p>
        <w:p w14:paraId="79F41A1F" w14:textId="5D7AE955" w:rsidR="00A53696" w:rsidRPr="00A53696" w:rsidRDefault="000C66C8">
          <w:pPr>
            <w:pStyle w:val="TOC2"/>
            <w:rPr>
              <w:rFonts w:asciiTheme="minorHAnsi" w:eastAsiaTheme="minorEastAsia" w:hAnsiTheme="minorHAnsi" w:cstheme="minorBidi"/>
              <w:b w:val="0"/>
              <w:color w:val="auto"/>
              <w:sz w:val="20"/>
              <w:lang w:eastAsia="en-GB"/>
            </w:rPr>
          </w:pPr>
          <w:hyperlink w:anchor="_Toc42177228" w:history="1">
            <w:r w:rsidR="00A53696" w:rsidRPr="00A53696">
              <w:rPr>
                <w:rStyle w:val="Hyperlink"/>
                <w:rFonts w:cs="Arial"/>
                <w:b w:val="0"/>
                <w:sz w:val="20"/>
              </w:rPr>
              <w:t>2.5</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Technical Standard Areas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_Toc42177228 \h </w:instrText>
            </w:r>
            <w:r w:rsidR="00A53696" w:rsidRPr="00A53696">
              <w:rPr>
                <w:b w:val="0"/>
                <w:webHidden/>
                <w:sz w:val="20"/>
              </w:rPr>
            </w:r>
            <w:r w:rsidR="00A53696" w:rsidRPr="00A53696">
              <w:rPr>
                <w:b w:val="0"/>
                <w:webHidden/>
                <w:sz w:val="20"/>
              </w:rPr>
              <w:fldChar w:fldCharType="separate"/>
            </w:r>
            <w:r w:rsidR="003F0180">
              <w:rPr>
                <w:b w:val="0"/>
                <w:webHidden/>
                <w:sz w:val="20"/>
              </w:rPr>
              <w:t>34</w:t>
            </w:r>
            <w:r w:rsidR="00A53696" w:rsidRPr="00A53696">
              <w:rPr>
                <w:b w:val="0"/>
                <w:webHidden/>
                <w:sz w:val="20"/>
              </w:rPr>
              <w:fldChar w:fldCharType="end"/>
            </w:r>
          </w:hyperlink>
        </w:p>
        <w:p w14:paraId="249AFDD7" w14:textId="3A26D48D" w:rsidR="00A53696" w:rsidRPr="00A53696" w:rsidRDefault="000C66C8">
          <w:pPr>
            <w:pStyle w:val="TOC2"/>
            <w:rPr>
              <w:rFonts w:asciiTheme="minorHAnsi" w:eastAsiaTheme="minorEastAsia" w:hAnsiTheme="minorHAnsi" w:cstheme="minorBidi"/>
              <w:b w:val="0"/>
              <w:color w:val="auto"/>
              <w:sz w:val="20"/>
              <w:lang w:eastAsia="en-GB"/>
            </w:rPr>
          </w:pPr>
          <w:hyperlink w:anchor="_Toc42177229" w:history="1">
            <w:r w:rsidR="00A53696" w:rsidRPr="00A53696">
              <w:rPr>
                <w:rStyle w:val="Hyperlink"/>
                <w:b w:val="0"/>
                <w:sz w:val="20"/>
              </w:rPr>
              <w:t>2.6</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Key Value Indicators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_Toc42177229 \h </w:instrText>
            </w:r>
            <w:r w:rsidR="00A53696" w:rsidRPr="00A53696">
              <w:rPr>
                <w:b w:val="0"/>
                <w:webHidden/>
                <w:sz w:val="20"/>
              </w:rPr>
            </w:r>
            <w:r w:rsidR="00A53696" w:rsidRPr="00A53696">
              <w:rPr>
                <w:b w:val="0"/>
                <w:webHidden/>
                <w:sz w:val="20"/>
              </w:rPr>
              <w:fldChar w:fldCharType="separate"/>
            </w:r>
            <w:r w:rsidR="003F0180">
              <w:rPr>
                <w:b w:val="0"/>
                <w:webHidden/>
                <w:sz w:val="20"/>
              </w:rPr>
              <w:t>35</w:t>
            </w:r>
            <w:r w:rsidR="00A53696" w:rsidRPr="00A53696">
              <w:rPr>
                <w:b w:val="0"/>
                <w:webHidden/>
                <w:sz w:val="20"/>
              </w:rPr>
              <w:fldChar w:fldCharType="end"/>
            </w:r>
          </w:hyperlink>
        </w:p>
        <w:p w14:paraId="6908EE34" w14:textId="7FC9A491"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230" w:history="1">
            <w:r w:rsidR="00A53696" w:rsidRPr="00A53696">
              <w:rPr>
                <w:rStyle w:val="Hyperlink"/>
                <w:rFonts w:cstheme="minorHAnsi"/>
                <w:sz w:val="20"/>
              </w:rPr>
              <w:t>3.</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Human Centric and Vertical Services</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_Toc42177230 \h </w:instrText>
            </w:r>
            <w:r w:rsidR="00A53696" w:rsidRPr="00A53696">
              <w:rPr>
                <w:webHidden/>
                <w:sz w:val="20"/>
              </w:rPr>
            </w:r>
            <w:r w:rsidR="00A53696" w:rsidRPr="00A53696">
              <w:rPr>
                <w:webHidden/>
                <w:sz w:val="20"/>
              </w:rPr>
              <w:fldChar w:fldCharType="separate"/>
            </w:r>
            <w:r w:rsidR="003F0180">
              <w:rPr>
                <w:webHidden/>
                <w:sz w:val="20"/>
              </w:rPr>
              <w:t>38</w:t>
            </w:r>
            <w:r w:rsidR="00A53696" w:rsidRPr="00A53696">
              <w:rPr>
                <w:webHidden/>
                <w:sz w:val="20"/>
              </w:rPr>
              <w:fldChar w:fldCharType="end"/>
            </w:r>
          </w:hyperlink>
        </w:p>
        <w:p w14:paraId="16A73D93" w14:textId="2FEA472C" w:rsidR="00A53696" w:rsidRPr="00A53696" w:rsidRDefault="000C66C8">
          <w:pPr>
            <w:pStyle w:val="TOC2"/>
            <w:rPr>
              <w:rFonts w:asciiTheme="minorHAnsi" w:eastAsiaTheme="minorEastAsia" w:hAnsiTheme="minorHAnsi" w:cstheme="minorBidi"/>
              <w:b w:val="0"/>
              <w:color w:val="auto"/>
              <w:sz w:val="20"/>
              <w:lang w:eastAsia="en-GB"/>
            </w:rPr>
          </w:pPr>
          <w:hyperlink w:anchor="_Toc42177231" w:history="1">
            <w:r w:rsidR="00A53696" w:rsidRPr="00A53696">
              <w:rPr>
                <w:rStyle w:val="Hyperlink"/>
                <w:b w:val="0"/>
                <w:sz w:val="20"/>
              </w:rPr>
              <w:t>3.1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Emerging applications and use cases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_Toc42177231 \h </w:instrText>
            </w:r>
            <w:r w:rsidR="00A53696" w:rsidRPr="00A53696">
              <w:rPr>
                <w:b w:val="0"/>
                <w:webHidden/>
                <w:sz w:val="20"/>
              </w:rPr>
            </w:r>
            <w:r w:rsidR="00A53696" w:rsidRPr="00A53696">
              <w:rPr>
                <w:b w:val="0"/>
                <w:webHidden/>
                <w:sz w:val="20"/>
              </w:rPr>
              <w:fldChar w:fldCharType="separate"/>
            </w:r>
            <w:r w:rsidR="003F0180">
              <w:rPr>
                <w:b w:val="0"/>
                <w:webHidden/>
                <w:sz w:val="20"/>
              </w:rPr>
              <w:t>38</w:t>
            </w:r>
            <w:r w:rsidR="00A53696" w:rsidRPr="00A53696">
              <w:rPr>
                <w:b w:val="0"/>
                <w:webHidden/>
                <w:sz w:val="20"/>
              </w:rPr>
              <w:fldChar w:fldCharType="end"/>
            </w:r>
          </w:hyperlink>
        </w:p>
        <w:p w14:paraId="28F1ED78" w14:textId="623CBDE0" w:rsidR="00A53696" w:rsidRPr="00A53696" w:rsidRDefault="000C66C8">
          <w:pPr>
            <w:pStyle w:val="TOC2"/>
            <w:rPr>
              <w:rFonts w:asciiTheme="minorHAnsi" w:eastAsiaTheme="minorEastAsia" w:hAnsiTheme="minorHAnsi" w:cstheme="minorBidi"/>
              <w:b w:val="0"/>
              <w:color w:val="auto"/>
              <w:sz w:val="20"/>
              <w:lang w:eastAsia="en-GB"/>
            </w:rPr>
          </w:pPr>
          <w:hyperlink w:anchor="_Toc42177232" w:history="1">
            <w:r w:rsidR="00A53696" w:rsidRPr="00A53696">
              <w:rPr>
                <w:rStyle w:val="Hyperlink"/>
                <w:b w:val="0"/>
                <w:sz w:val="20"/>
              </w:rPr>
              <w:t>3.2</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Digital Service Transformation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_Toc42177232 \h </w:instrText>
            </w:r>
            <w:r w:rsidR="00A53696" w:rsidRPr="00A53696">
              <w:rPr>
                <w:b w:val="0"/>
                <w:webHidden/>
                <w:sz w:val="20"/>
              </w:rPr>
            </w:r>
            <w:r w:rsidR="00A53696" w:rsidRPr="00A53696">
              <w:rPr>
                <w:b w:val="0"/>
                <w:webHidden/>
                <w:sz w:val="20"/>
              </w:rPr>
              <w:fldChar w:fldCharType="separate"/>
            </w:r>
            <w:r w:rsidR="003F0180">
              <w:rPr>
                <w:b w:val="0"/>
                <w:webHidden/>
                <w:sz w:val="20"/>
              </w:rPr>
              <w:t>44</w:t>
            </w:r>
            <w:r w:rsidR="00A53696" w:rsidRPr="00A53696">
              <w:rPr>
                <w:b w:val="0"/>
                <w:webHidden/>
                <w:sz w:val="20"/>
              </w:rPr>
              <w:fldChar w:fldCharType="end"/>
            </w:r>
          </w:hyperlink>
        </w:p>
        <w:p w14:paraId="642FEFDB" w14:textId="5CA58149" w:rsidR="00A53696" w:rsidRPr="00A53696" w:rsidRDefault="000C66C8">
          <w:pPr>
            <w:pStyle w:val="TOC2"/>
            <w:rPr>
              <w:rFonts w:asciiTheme="minorHAnsi" w:eastAsiaTheme="minorEastAsia" w:hAnsiTheme="minorHAnsi" w:cstheme="minorBidi"/>
              <w:b w:val="0"/>
              <w:color w:val="auto"/>
              <w:sz w:val="20"/>
              <w:lang w:eastAsia="en-GB"/>
            </w:rPr>
          </w:pPr>
          <w:hyperlink w:anchor="_Toc42177233" w:history="1">
            <w:r w:rsidR="00A53696" w:rsidRPr="00A53696">
              <w:rPr>
                <w:rStyle w:val="Hyperlink"/>
                <w:b w:val="0"/>
                <w:sz w:val="20"/>
              </w:rPr>
              <w:t>3.3</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From Software-Centric to Human-Centric Internet Services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_Toc42177233 \h </w:instrText>
            </w:r>
            <w:r w:rsidR="00A53696" w:rsidRPr="00A53696">
              <w:rPr>
                <w:b w:val="0"/>
                <w:webHidden/>
                <w:sz w:val="20"/>
              </w:rPr>
            </w:r>
            <w:r w:rsidR="00A53696" w:rsidRPr="00A53696">
              <w:rPr>
                <w:b w:val="0"/>
                <w:webHidden/>
                <w:sz w:val="20"/>
              </w:rPr>
              <w:fldChar w:fldCharType="separate"/>
            </w:r>
            <w:r w:rsidR="003F0180">
              <w:rPr>
                <w:b w:val="0"/>
                <w:webHidden/>
                <w:sz w:val="20"/>
              </w:rPr>
              <w:t>46</w:t>
            </w:r>
            <w:r w:rsidR="00A53696" w:rsidRPr="00A53696">
              <w:rPr>
                <w:b w:val="0"/>
                <w:webHidden/>
                <w:sz w:val="20"/>
              </w:rPr>
              <w:fldChar w:fldCharType="end"/>
            </w:r>
          </w:hyperlink>
        </w:p>
        <w:p w14:paraId="1E11878B" w14:textId="2C231578" w:rsidR="00A53696" w:rsidRPr="00A53696" w:rsidRDefault="000C66C8">
          <w:pPr>
            <w:pStyle w:val="TOC2"/>
            <w:rPr>
              <w:rFonts w:asciiTheme="minorHAnsi" w:eastAsiaTheme="minorEastAsia" w:hAnsiTheme="minorHAnsi" w:cstheme="minorBidi"/>
              <w:b w:val="0"/>
              <w:color w:val="auto"/>
              <w:sz w:val="20"/>
              <w:lang w:eastAsia="en-GB"/>
            </w:rPr>
          </w:pPr>
          <w:hyperlink w:anchor="_Toc42177234" w:history="1">
            <w:r w:rsidR="00A53696" w:rsidRPr="00A53696">
              <w:rPr>
                <w:rStyle w:val="Hyperlink"/>
                <w:b w:val="0"/>
                <w:sz w:val="20"/>
              </w:rPr>
              <w:t>3.4</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Services Everywhere, Infrastructure No Limits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_Toc42177234 \h </w:instrText>
            </w:r>
            <w:r w:rsidR="00A53696" w:rsidRPr="00A53696">
              <w:rPr>
                <w:b w:val="0"/>
                <w:webHidden/>
                <w:sz w:val="20"/>
              </w:rPr>
            </w:r>
            <w:r w:rsidR="00A53696" w:rsidRPr="00A53696">
              <w:rPr>
                <w:b w:val="0"/>
                <w:webHidden/>
                <w:sz w:val="20"/>
              </w:rPr>
              <w:fldChar w:fldCharType="separate"/>
            </w:r>
            <w:r w:rsidR="003F0180">
              <w:rPr>
                <w:b w:val="0"/>
                <w:webHidden/>
                <w:sz w:val="20"/>
              </w:rPr>
              <w:t>48</w:t>
            </w:r>
            <w:r w:rsidR="00A53696" w:rsidRPr="00A53696">
              <w:rPr>
                <w:b w:val="0"/>
                <w:webHidden/>
                <w:sz w:val="20"/>
              </w:rPr>
              <w:fldChar w:fldCharType="end"/>
            </w:r>
          </w:hyperlink>
        </w:p>
        <w:p w14:paraId="218990F3" w14:textId="3FAB2CA3" w:rsidR="00A53696" w:rsidRPr="00A53696" w:rsidRDefault="000C66C8">
          <w:pPr>
            <w:pStyle w:val="TOC2"/>
            <w:rPr>
              <w:rFonts w:asciiTheme="minorHAnsi" w:eastAsiaTheme="minorEastAsia" w:hAnsiTheme="minorHAnsi" w:cstheme="minorBidi"/>
              <w:b w:val="0"/>
              <w:color w:val="auto"/>
              <w:sz w:val="20"/>
              <w:lang w:eastAsia="en-GB"/>
            </w:rPr>
          </w:pPr>
          <w:hyperlink w:anchor="_Toc42177235" w:history="1">
            <w:r w:rsidR="00A53696" w:rsidRPr="00A53696">
              <w:rPr>
                <w:rStyle w:val="Hyperlink"/>
                <w:b w:val="0"/>
                <w:sz w:val="20"/>
              </w:rPr>
              <w:t>3.5</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Network-Unaware Vertical Services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_Toc42177235 \h </w:instrText>
            </w:r>
            <w:r w:rsidR="00A53696" w:rsidRPr="00A53696">
              <w:rPr>
                <w:b w:val="0"/>
                <w:webHidden/>
                <w:sz w:val="20"/>
              </w:rPr>
            </w:r>
            <w:r w:rsidR="00A53696" w:rsidRPr="00A53696">
              <w:rPr>
                <w:b w:val="0"/>
                <w:webHidden/>
                <w:sz w:val="20"/>
              </w:rPr>
              <w:fldChar w:fldCharType="separate"/>
            </w:r>
            <w:r w:rsidR="003F0180">
              <w:rPr>
                <w:b w:val="0"/>
                <w:webHidden/>
                <w:sz w:val="20"/>
              </w:rPr>
              <w:t>49</w:t>
            </w:r>
            <w:r w:rsidR="00A53696" w:rsidRPr="00A53696">
              <w:rPr>
                <w:b w:val="0"/>
                <w:webHidden/>
                <w:sz w:val="20"/>
              </w:rPr>
              <w:fldChar w:fldCharType="end"/>
            </w:r>
          </w:hyperlink>
        </w:p>
        <w:p w14:paraId="358A8F9F" w14:textId="31B1BA00" w:rsidR="00A53696" w:rsidRPr="00A53696" w:rsidRDefault="000C66C8">
          <w:pPr>
            <w:pStyle w:val="TOC2"/>
            <w:rPr>
              <w:rFonts w:asciiTheme="minorHAnsi" w:eastAsiaTheme="minorEastAsia" w:hAnsiTheme="minorHAnsi" w:cstheme="minorBidi"/>
              <w:b w:val="0"/>
              <w:color w:val="auto"/>
              <w:sz w:val="20"/>
              <w:lang w:eastAsia="en-GB"/>
            </w:rPr>
          </w:pPr>
          <w:hyperlink w:anchor="_Toc42177236" w:history="1">
            <w:r w:rsidR="00A53696" w:rsidRPr="00A53696">
              <w:rPr>
                <w:rStyle w:val="Hyperlink"/>
                <w:b w:val="0"/>
                <w:sz w:val="20"/>
              </w:rPr>
              <w:t>3.6</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Extreme Automation and Real-Time Zero-Touch Service Orchestration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_Toc42177236 \h </w:instrText>
            </w:r>
            <w:r w:rsidR="00A53696" w:rsidRPr="00A53696">
              <w:rPr>
                <w:b w:val="0"/>
                <w:webHidden/>
                <w:sz w:val="20"/>
              </w:rPr>
            </w:r>
            <w:r w:rsidR="00A53696" w:rsidRPr="00A53696">
              <w:rPr>
                <w:b w:val="0"/>
                <w:webHidden/>
                <w:sz w:val="20"/>
              </w:rPr>
              <w:fldChar w:fldCharType="separate"/>
            </w:r>
            <w:r w:rsidR="003F0180">
              <w:rPr>
                <w:b w:val="0"/>
                <w:webHidden/>
                <w:sz w:val="20"/>
              </w:rPr>
              <w:t>50</w:t>
            </w:r>
            <w:r w:rsidR="00A53696" w:rsidRPr="00A53696">
              <w:rPr>
                <w:b w:val="0"/>
                <w:webHidden/>
                <w:sz w:val="20"/>
              </w:rPr>
              <w:fldChar w:fldCharType="end"/>
            </w:r>
          </w:hyperlink>
        </w:p>
        <w:p w14:paraId="1FB49C55" w14:textId="554A470A" w:rsidR="00A53696" w:rsidRPr="00A53696" w:rsidRDefault="000C66C8">
          <w:pPr>
            <w:pStyle w:val="TOC2"/>
            <w:rPr>
              <w:rFonts w:asciiTheme="minorHAnsi" w:eastAsiaTheme="minorEastAsia" w:hAnsiTheme="minorHAnsi" w:cstheme="minorBidi"/>
              <w:b w:val="0"/>
              <w:color w:val="auto"/>
              <w:sz w:val="20"/>
              <w:lang w:eastAsia="en-GB"/>
            </w:rPr>
          </w:pPr>
          <w:hyperlink w:anchor="_Toc42177237" w:history="1">
            <w:r w:rsidR="00A53696" w:rsidRPr="00A53696">
              <w:rPr>
                <w:rStyle w:val="Hyperlink"/>
                <w:b w:val="0"/>
                <w:sz w:val="20"/>
              </w:rPr>
              <w:t>3.7</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Service Injection Loop</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_Toc42177237 \h </w:instrText>
            </w:r>
            <w:r w:rsidR="00A53696" w:rsidRPr="00A53696">
              <w:rPr>
                <w:b w:val="0"/>
                <w:webHidden/>
                <w:sz w:val="20"/>
              </w:rPr>
            </w:r>
            <w:r w:rsidR="00A53696" w:rsidRPr="00A53696">
              <w:rPr>
                <w:b w:val="0"/>
                <w:webHidden/>
                <w:sz w:val="20"/>
              </w:rPr>
              <w:fldChar w:fldCharType="separate"/>
            </w:r>
            <w:r w:rsidR="003F0180">
              <w:rPr>
                <w:b w:val="0"/>
                <w:webHidden/>
                <w:sz w:val="20"/>
              </w:rPr>
              <w:t>52</w:t>
            </w:r>
            <w:r w:rsidR="00A53696" w:rsidRPr="00A53696">
              <w:rPr>
                <w:b w:val="0"/>
                <w:webHidden/>
                <w:sz w:val="20"/>
              </w:rPr>
              <w:fldChar w:fldCharType="end"/>
            </w:r>
          </w:hyperlink>
        </w:p>
        <w:p w14:paraId="6EDE2CFC" w14:textId="57FFFF5A"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238" w:history="1">
            <w:r w:rsidR="00A53696" w:rsidRPr="00A53696">
              <w:rPr>
                <w:rStyle w:val="Hyperlink"/>
                <w:rFonts w:cstheme="minorHAnsi"/>
                <w:sz w:val="20"/>
              </w:rPr>
              <w:t>4.</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System Architecture</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_Toc42177238 \h </w:instrText>
            </w:r>
            <w:r w:rsidR="00A53696" w:rsidRPr="00A53696">
              <w:rPr>
                <w:webHidden/>
                <w:sz w:val="20"/>
              </w:rPr>
            </w:r>
            <w:r w:rsidR="00A53696" w:rsidRPr="00A53696">
              <w:rPr>
                <w:webHidden/>
                <w:sz w:val="20"/>
              </w:rPr>
              <w:fldChar w:fldCharType="separate"/>
            </w:r>
            <w:r w:rsidR="003F0180">
              <w:rPr>
                <w:webHidden/>
                <w:sz w:val="20"/>
              </w:rPr>
              <w:t>54</w:t>
            </w:r>
            <w:r w:rsidR="00A53696" w:rsidRPr="00A53696">
              <w:rPr>
                <w:webHidden/>
                <w:sz w:val="20"/>
              </w:rPr>
              <w:fldChar w:fldCharType="end"/>
            </w:r>
          </w:hyperlink>
        </w:p>
        <w:p w14:paraId="5C70C405" w14:textId="355F86F1" w:rsidR="00A53696" w:rsidRPr="00A53696" w:rsidRDefault="000C66C8">
          <w:pPr>
            <w:pStyle w:val="TOC2"/>
            <w:rPr>
              <w:rFonts w:asciiTheme="minorHAnsi" w:eastAsiaTheme="minorEastAsia" w:hAnsiTheme="minorHAnsi" w:cstheme="minorBidi"/>
              <w:b w:val="0"/>
              <w:color w:val="auto"/>
              <w:sz w:val="20"/>
              <w:lang w:eastAsia="en-GB"/>
            </w:rPr>
          </w:pPr>
          <w:hyperlink w:anchor="_Toc42177239" w:history="1">
            <w:r w:rsidR="00A53696" w:rsidRPr="00A53696">
              <w:rPr>
                <w:rStyle w:val="Hyperlink"/>
                <w:b w:val="0"/>
                <w:sz w:val="20"/>
              </w:rPr>
              <w:t>4.1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Evolution of Networks and Services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_Toc42177239 \h </w:instrText>
            </w:r>
            <w:r w:rsidR="00A53696" w:rsidRPr="00A53696">
              <w:rPr>
                <w:b w:val="0"/>
                <w:webHidden/>
                <w:sz w:val="20"/>
              </w:rPr>
            </w:r>
            <w:r w:rsidR="00A53696" w:rsidRPr="00A53696">
              <w:rPr>
                <w:b w:val="0"/>
                <w:webHidden/>
                <w:sz w:val="20"/>
              </w:rPr>
              <w:fldChar w:fldCharType="separate"/>
            </w:r>
            <w:r w:rsidR="003F0180">
              <w:rPr>
                <w:b w:val="0"/>
                <w:webHidden/>
                <w:sz w:val="20"/>
              </w:rPr>
              <w:t>54</w:t>
            </w:r>
            <w:r w:rsidR="00A53696" w:rsidRPr="00A53696">
              <w:rPr>
                <w:b w:val="0"/>
                <w:webHidden/>
                <w:sz w:val="20"/>
              </w:rPr>
              <w:fldChar w:fldCharType="end"/>
            </w:r>
          </w:hyperlink>
        </w:p>
        <w:p w14:paraId="6D1CD30C" w14:textId="27194F0A" w:rsidR="00A53696" w:rsidRPr="00A53696" w:rsidRDefault="000C66C8">
          <w:pPr>
            <w:pStyle w:val="TOC2"/>
            <w:rPr>
              <w:rFonts w:asciiTheme="minorHAnsi" w:eastAsiaTheme="minorEastAsia" w:hAnsiTheme="minorHAnsi" w:cstheme="minorBidi"/>
              <w:b w:val="0"/>
              <w:color w:val="auto"/>
              <w:sz w:val="20"/>
              <w:lang w:eastAsia="en-GB"/>
            </w:rPr>
          </w:pPr>
          <w:hyperlink w:anchor="_Toc42177240" w:history="1">
            <w:r w:rsidR="00A53696" w:rsidRPr="00A53696">
              <w:rPr>
                <w:rStyle w:val="Hyperlink"/>
                <w:b w:val="0"/>
                <w:sz w:val="20"/>
              </w:rPr>
              <w:t>4.2</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System Architecture Vision: Towards Smart Green Systems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_Toc42177240 \h </w:instrText>
            </w:r>
            <w:r w:rsidR="00A53696" w:rsidRPr="00A53696">
              <w:rPr>
                <w:b w:val="0"/>
                <w:webHidden/>
                <w:sz w:val="20"/>
              </w:rPr>
            </w:r>
            <w:r w:rsidR="00A53696" w:rsidRPr="00A53696">
              <w:rPr>
                <w:b w:val="0"/>
                <w:webHidden/>
                <w:sz w:val="20"/>
              </w:rPr>
              <w:fldChar w:fldCharType="separate"/>
            </w:r>
            <w:r w:rsidR="003F0180">
              <w:rPr>
                <w:b w:val="0"/>
                <w:webHidden/>
                <w:sz w:val="20"/>
              </w:rPr>
              <w:t>56</w:t>
            </w:r>
            <w:r w:rsidR="00A53696" w:rsidRPr="00A53696">
              <w:rPr>
                <w:b w:val="0"/>
                <w:webHidden/>
                <w:sz w:val="20"/>
              </w:rPr>
              <w:fldChar w:fldCharType="end"/>
            </w:r>
          </w:hyperlink>
        </w:p>
        <w:p w14:paraId="05D96E65" w14:textId="5FC3BD69" w:rsidR="00A53696" w:rsidRPr="00A53696" w:rsidRDefault="000C66C8">
          <w:pPr>
            <w:pStyle w:val="TOC2"/>
            <w:rPr>
              <w:rFonts w:asciiTheme="minorHAnsi" w:eastAsiaTheme="minorEastAsia" w:hAnsiTheme="minorHAnsi" w:cstheme="minorBidi"/>
              <w:b w:val="0"/>
              <w:color w:val="auto"/>
              <w:sz w:val="20"/>
              <w:lang w:eastAsia="en-GB"/>
            </w:rPr>
          </w:pPr>
          <w:hyperlink w:anchor="_Toc42177241" w:history="1">
            <w:r w:rsidR="00A53696" w:rsidRPr="00A53696">
              <w:rPr>
                <w:rStyle w:val="Hyperlink"/>
                <w:b w:val="0"/>
                <w:sz w:val="20"/>
              </w:rPr>
              <w:t>4.3</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Virtualised Network Control for Increased Flexibility</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_Toc42177241 \h </w:instrText>
            </w:r>
            <w:r w:rsidR="00A53696" w:rsidRPr="00A53696">
              <w:rPr>
                <w:b w:val="0"/>
                <w:webHidden/>
                <w:sz w:val="20"/>
              </w:rPr>
            </w:r>
            <w:r w:rsidR="00A53696" w:rsidRPr="00A53696">
              <w:rPr>
                <w:b w:val="0"/>
                <w:webHidden/>
                <w:sz w:val="20"/>
              </w:rPr>
              <w:fldChar w:fldCharType="separate"/>
            </w:r>
            <w:r w:rsidR="003F0180">
              <w:rPr>
                <w:b w:val="0"/>
                <w:webHidden/>
                <w:sz w:val="20"/>
              </w:rPr>
              <w:t>58</w:t>
            </w:r>
            <w:r w:rsidR="00A53696" w:rsidRPr="00A53696">
              <w:rPr>
                <w:b w:val="0"/>
                <w:webHidden/>
                <w:sz w:val="20"/>
              </w:rPr>
              <w:fldChar w:fldCharType="end"/>
            </w:r>
          </w:hyperlink>
        </w:p>
        <w:p w14:paraId="016CD610" w14:textId="69021A2F"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42" w:history="1">
            <w:r w:rsidR="00A53696" w:rsidRPr="00A53696">
              <w:rPr>
                <w:rStyle w:val="Hyperlink"/>
                <w:sz w:val="18"/>
              </w:rPr>
              <w:t>4.3.1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Programmability is Control</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_Toc42177242 \h </w:instrText>
            </w:r>
            <w:r w:rsidR="00A53696" w:rsidRPr="00A53696">
              <w:rPr>
                <w:webHidden/>
                <w:sz w:val="18"/>
              </w:rPr>
            </w:r>
            <w:r w:rsidR="00A53696" w:rsidRPr="00A53696">
              <w:rPr>
                <w:webHidden/>
                <w:sz w:val="18"/>
              </w:rPr>
              <w:fldChar w:fldCharType="separate"/>
            </w:r>
            <w:r w:rsidR="003F0180">
              <w:rPr>
                <w:webHidden/>
                <w:sz w:val="18"/>
              </w:rPr>
              <w:t>58</w:t>
            </w:r>
            <w:r w:rsidR="00A53696" w:rsidRPr="00A53696">
              <w:rPr>
                <w:webHidden/>
                <w:sz w:val="18"/>
              </w:rPr>
              <w:fldChar w:fldCharType="end"/>
            </w:r>
          </w:hyperlink>
        </w:p>
        <w:p w14:paraId="475CCE39" w14:textId="4BDD97E3"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43" w:history="1">
            <w:r w:rsidR="00A53696" w:rsidRPr="00A53696">
              <w:rPr>
                <w:rStyle w:val="Hyperlink"/>
                <w:sz w:val="18"/>
              </w:rPr>
              <w:t>4.3.2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Separation of control/controllability</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_Toc42177243 \h </w:instrText>
            </w:r>
            <w:r w:rsidR="00A53696" w:rsidRPr="00A53696">
              <w:rPr>
                <w:webHidden/>
                <w:sz w:val="18"/>
              </w:rPr>
            </w:r>
            <w:r w:rsidR="00A53696" w:rsidRPr="00A53696">
              <w:rPr>
                <w:webHidden/>
                <w:sz w:val="18"/>
              </w:rPr>
              <w:fldChar w:fldCharType="separate"/>
            </w:r>
            <w:r w:rsidR="003F0180">
              <w:rPr>
                <w:webHidden/>
                <w:sz w:val="18"/>
              </w:rPr>
              <w:t>59</w:t>
            </w:r>
            <w:r w:rsidR="00A53696" w:rsidRPr="00A53696">
              <w:rPr>
                <w:webHidden/>
                <w:sz w:val="18"/>
              </w:rPr>
              <w:fldChar w:fldCharType="end"/>
            </w:r>
          </w:hyperlink>
        </w:p>
        <w:p w14:paraId="4E603334" w14:textId="40B80BF5"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44" w:history="1">
            <w:r w:rsidR="00A53696" w:rsidRPr="00A53696">
              <w:rPr>
                <w:rStyle w:val="Hyperlink"/>
                <w:sz w:val="18"/>
              </w:rPr>
              <w:t>4.3.3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Multi-Tenancy and Ownership</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_Toc42177244 \h </w:instrText>
            </w:r>
            <w:r w:rsidR="00A53696" w:rsidRPr="00A53696">
              <w:rPr>
                <w:webHidden/>
                <w:sz w:val="18"/>
              </w:rPr>
            </w:r>
            <w:r w:rsidR="00A53696" w:rsidRPr="00A53696">
              <w:rPr>
                <w:webHidden/>
                <w:sz w:val="18"/>
              </w:rPr>
              <w:fldChar w:fldCharType="separate"/>
            </w:r>
            <w:r w:rsidR="003F0180">
              <w:rPr>
                <w:webHidden/>
                <w:sz w:val="18"/>
              </w:rPr>
              <w:t>60</w:t>
            </w:r>
            <w:r w:rsidR="00A53696" w:rsidRPr="00A53696">
              <w:rPr>
                <w:webHidden/>
                <w:sz w:val="18"/>
              </w:rPr>
              <w:fldChar w:fldCharType="end"/>
            </w:r>
          </w:hyperlink>
        </w:p>
        <w:p w14:paraId="5B9936AB" w14:textId="3F6D0947"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45" w:history="1">
            <w:r w:rsidR="00A53696" w:rsidRPr="00A53696">
              <w:rPr>
                <w:rStyle w:val="Hyperlink"/>
                <w:sz w:val="18"/>
              </w:rPr>
              <w:t>4.3.4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Known Unknowns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_Toc42177245 \h </w:instrText>
            </w:r>
            <w:r w:rsidR="00A53696" w:rsidRPr="00A53696">
              <w:rPr>
                <w:webHidden/>
                <w:sz w:val="18"/>
              </w:rPr>
            </w:r>
            <w:r w:rsidR="00A53696" w:rsidRPr="00A53696">
              <w:rPr>
                <w:webHidden/>
                <w:sz w:val="18"/>
              </w:rPr>
              <w:fldChar w:fldCharType="separate"/>
            </w:r>
            <w:r w:rsidR="003F0180">
              <w:rPr>
                <w:webHidden/>
                <w:sz w:val="18"/>
              </w:rPr>
              <w:t>60</w:t>
            </w:r>
            <w:r w:rsidR="00A53696" w:rsidRPr="00A53696">
              <w:rPr>
                <w:webHidden/>
                <w:sz w:val="18"/>
              </w:rPr>
              <w:fldChar w:fldCharType="end"/>
            </w:r>
          </w:hyperlink>
        </w:p>
        <w:p w14:paraId="1FD323BA" w14:textId="6FA8331C"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46" w:history="1">
            <w:r w:rsidR="00A53696" w:rsidRPr="00A53696">
              <w:rPr>
                <w:rStyle w:val="Hyperlink"/>
                <w:sz w:val="18"/>
              </w:rPr>
              <w:t>4.3.5</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Self-Preservation</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_Toc42177246 \h </w:instrText>
            </w:r>
            <w:r w:rsidR="00A53696" w:rsidRPr="00A53696">
              <w:rPr>
                <w:webHidden/>
                <w:sz w:val="18"/>
              </w:rPr>
            </w:r>
            <w:r w:rsidR="00A53696" w:rsidRPr="00A53696">
              <w:rPr>
                <w:webHidden/>
                <w:sz w:val="18"/>
              </w:rPr>
              <w:fldChar w:fldCharType="separate"/>
            </w:r>
            <w:r w:rsidR="003F0180">
              <w:rPr>
                <w:webHidden/>
                <w:sz w:val="18"/>
              </w:rPr>
              <w:t>61</w:t>
            </w:r>
            <w:r w:rsidR="00A53696" w:rsidRPr="00A53696">
              <w:rPr>
                <w:webHidden/>
                <w:sz w:val="18"/>
              </w:rPr>
              <w:fldChar w:fldCharType="end"/>
            </w:r>
          </w:hyperlink>
        </w:p>
        <w:p w14:paraId="020E55BD" w14:textId="63D3A5BD"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47" w:history="1">
            <w:r w:rsidR="00A53696" w:rsidRPr="00A53696">
              <w:rPr>
                <w:rStyle w:val="Hyperlink"/>
                <w:sz w:val="18"/>
              </w:rPr>
              <w:t>4.3.6</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Research Challenges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_Toc42177247 \h </w:instrText>
            </w:r>
            <w:r w:rsidR="00A53696" w:rsidRPr="00A53696">
              <w:rPr>
                <w:webHidden/>
                <w:sz w:val="18"/>
              </w:rPr>
            </w:r>
            <w:r w:rsidR="00A53696" w:rsidRPr="00A53696">
              <w:rPr>
                <w:webHidden/>
                <w:sz w:val="18"/>
              </w:rPr>
              <w:fldChar w:fldCharType="separate"/>
            </w:r>
            <w:r w:rsidR="003F0180">
              <w:rPr>
                <w:webHidden/>
                <w:sz w:val="18"/>
              </w:rPr>
              <w:t>61</w:t>
            </w:r>
            <w:r w:rsidR="00A53696" w:rsidRPr="00A53696">
              <w:rPr>
                <w:webHidden/>
                <w:sz w:val="18"/>
              </w:rPr>
              <w:fldChar w:fldCharType="end"/>
            </w:r>
          </w:hyperlink>
        </w:p>
        <w:p w14:paraId="7AFBEBDA" w14:textId="580CAA73" w:rsidR="00A53696" w:rsidRPr="00A53696" w:rsidRDefault="000C66C8">
          <w:pPr>
            <w:pStyle w:val="TOC2"/>
            <w:rPr>
              <w:rFonts w:asciiTheme="minorHAnsi" w:eastAsiaTheme="minorEastAsia" w:hAnsiTheme="minorHAnsi" w:cstheme="minorBidi"/>
              <w:b w:val="0"/>
              <w:color w:val="auto"/>
              <w:sz w:val="20"/>
              <w:lang w:eastAsia="en-GB"/>
            </w:rPr>
          </w:pPr>
          <w:hyperlink w:anchor="_Toc42177248" w:history="1">
            <w:r w:rsidR="00A53696" w:rsidRPr="00A53696">
              <w:rPr>
                <w:rStyle w:val="Hyperlink"/>
                <w:b w:val="0"/>
                <w:sz w:val="20"/>
              </w:rPr>
              <w:t>4.4</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Re-Thinking the Data &amp; Forwarding Planes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_Toc42177248 \h </w:instrText>
            </w:r>
            <w:r w:rsidR="00A53696" w:rsidRPr="00A53696">
              <w:rPr>
                <w:b w:val="0"/>
                <w:webHidden/>
                <w:sz w:val="20"/>
              </w:rPr>
            </w:r>
            <w:r w:rsidR="00A53696" w:rsidRPr="00A53696">
              <w:rPr>
                <w:b w:val="0"/>
                <w:webHidden/>
                <w:sz w:val="20"/>
              </w:rPr>
              <w:fldChar w:fldCharType="separate"/>
            </w:r>
            <w:r w:rsidR="003F0180">
              <w:rPr>
                <w:b w:val="0"/>
                <w:webHidden/>
                <w:sz w:val="20"/>
              </w:rPr>
              <w:t>61</w:t>
            </w:r>
            <w:r w:rsidR="00A53696" w:rsidRPr="00A53696">
              <w:rPr>
                <w:b w:val="0"/>
                <w:webHidden/>
                <w:sz w:val="20"/>
              </w:rPr>
              <w:fldChar w:fldCharType="end"/>
            </w:r>
          </w:hyperlink>
        </w:p>
        <w:p w14:paraId="2D94133E" w14:textId="3CFFC171"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49" w:history="1">
            <w:r w:rsidR="00A53696" w:rsidRPr="00A53696">
              <w:rPr>
                <w:rStyle w:val="Hyperlink"/>
                <w:sz w:val="18"/>
              </w:rPr>
              <w:t>4.4.1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Design Considerations for an Evolved Data &amp; Forwarding Plane</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_Toc42177249 \h </w:instrText>
            </w:r>
            <w:r w:rsidR="00A53696" w:rsidRPr="00A53696">
              <w:rPr>
                <w:webHidden/>
                <w:sz w:val="18"/>
              </w:rPr>
            </w:r>
            <w:r w:rsidR="00A53696" w:rsidRPr="00A53696">
              <w:rPr>
                <w:webHidden/>
                <w:sz w:val="18"/>
              </w:rPr>
              <w:fldChar w:fldCharType="separate"/>
            </w:r>
            <w:r w:rsidR="003F0180">
              <w:rPr>
                <w:webHidden/>
                <w:sz w:val="18"/>
              </w:rPr>
              <w:t>61</w:t>
            </w:r>
            <w:r w:rsidR="00A53696" w:rsidRPr="00A53696">
              <w:rPr>
                <w:webHidden/>
                <w:sz w:val="18"/>
              </w:rPr>
              <w:fldChar w:fldCharType="end"/>
            </w:r>
          </w:hyperlink>
        </w:p>
        <w:p w14:paraId="24B30479" w14:textId="16A2E600"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50" w:history="1">
            <w:r w:rsidR="00A53696" w:rsidRPr="00A53696">
              <w:rPr>
                <w:rStyle w:val="Hyperlink"/>
                <w:sz w:val="18"/>
              </w:rPr>
              <w:t>4.4.2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Key Research Questions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_Toc42177250 \h </w:instrText>
            </w:r>
            <w:r w:rsidR="00A53696" w:rsidRPr="00A53696">
              <w:rPr>
                <w:webHidden/>
                <w:sz w:val="18"/>
              </w:rPr>
            </w:r>
            <w:r w:rsidR="00A53696" w:rsidRPr="00A53696">
              <w:rPr>
                <w:webHidden/>
                <w:sz w:val="18"/>
              </w:rPr>
              <w:fldChar w:fldCharType="separate"/>
            </w:r>
            <w:r w:rsidR="003F0180">
              <w:rPr>
                <w:webHidden/>
                <w:sz w:val="18"/>
              </w:rPr>
              <w:t>64</w:t>
            </w:r>
            <w:r w:rsidR="00A53696" w:rsidRPr="00A53696">
              <w:rPr>
                <w:webHidden/>
                <w:sz w:val="18"/>
              </w:rPr>
              <w:fldChar w:fldCharType="end"/>
            </w:r>
          </w:hyperlink>
        </w:p>
        <w:p w14:paraId="02BF4C5C" w14:textId="795E04CF"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51" w:history="1">
            <w:r w:rsidR="00A53696" w:rsidRPr="00A53696">
              <w:rPr>
                <w:rStyle w:val="Hyperlink"/>
                <w:sz w:val="18"/>
              </w:rPr>
              <w:t>4.4.3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Recommendations for Actions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_Toc42177251 \h </w:instrText>
            </w:r>
            <w:r w:rsidR="00A53696" w:rsidRPr="00A53696">
              <w:rPr>
                <w:webHidden/>
                <w:sz w:val="18"/>
              </w:rPr>
            </w:r>
            <w:r w:rsidR="00A53696" w:rsidRPr="00A53696">
              <w:rPr>
                <w:webHidden/>
                <w:sz w:val="18"/>
              </w:rPr>
              <w:fldChar w:fldCharType="separate"/>
            </w:r>
            <w:r w:rsidR="003F0180">
              <w:rPr>
                <w:webHidden/>
                <w:sz w:val="18"/>
              </w:rPr>
              <w:t>65</w:t>
            </w:r>
            <w:r w:rsidR="00A53696" w:rsidRPr="00A53696">
              <w:rPr>
                <w:webHidden/>
                <w:sz w:val="18"/>
              </w:rPr>
              <w:fldChar w:fldCharType="end"/>
            </w:r>
          </w:hyperlink>
        </w:p>
        <w:p w14:paraId="7FE113F3" w14:textId="346378A9" w:rsidR="00A53696" w:rsidRPr="00A53696" w:rsidRDefault="000C66C8">
          <w:pPr>
            <w:pStyle w:val="TOC2"/>
            <w:rPr>
              <w:rFonts w:asciiTheme="minorHAnsi" w:eastAsiaTheme="minorEastAsia" w:hAnsiTheme="minorHAnsi" w:cstheme="minorBidi"/>
              <w:b w:val="0"/>
              <w:color w:val="auto"/>
              <w:sz w:val="20"/>
              <w:lang w:eastAsia="en-GB"/>
            </w:rPr>
          </w:pPr>
          <w:hyperlink w:anchor="_Toc42177252" w:history="1">
            <w:r w:rsidR="00A53696" w:rsidRPr="00A53696">
              <w:rPr>
                <w:rStyle w:val="Hyperlink"/>
                <w:b w:val="0"/>
                <w:sz w:val="20"/>
              </w:rPr>
              <w:t>4.5</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Efficiency and Resource Management</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_Toc42177252 \h </w:instrText>
            </w:r>
            <w:r w:rsidR="00A53696" w:rsidRPr="00A53696">
              <w:rPr>
                <w:b w:val="0"/>
                <w:webHidden/>
                <w:sz w:val="20"/>
              </w:rPr>
            </w:r>
            <w:r w:rsidR="00A53696" w:rsidRPr="00A53696">
              <w:rPr>
                <w:b w:val="0"/>
                <w:webHidden/>
                <w:sz w:val="20"/>
              </w:rPr>
              <w:fldChar w:fldCharType="separate"/>
            </w:r>
            <w:r w:rsidR="003F0180">
              <w:rPr>
                <w:b w:val="0"/>
                <w:webHidden/>
                <w:sz w:val="20"/>
              </w:rPr>
              <w:t>66</w:t>
            </w:r>
            <w:r w:rsidR="00A53696" w:rsidRPr="00A53696">
              <w:rPr>
                <w:b w:val="0"/>
                <w:webHidden/>
                <w:sz w:val="20"/>
              </w:rPr>
              <w:fldChar w:fldCharType="end"/>
            </w:r>
          </w:hyperlink>
        </w:p>
        <w:p w14:paraId="78C749C3" w14:textId="3B0E8F15"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53" w:history="1">
            <w:r w:rsidR="00A53696" w:rsidRPr="00A53696">
              <w:rPr>
                <w:rStyle w:val="Hyperlink"/>
                <w:sz w:val="18"/>
              </w:rPr>
              <w:t>4.5.1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Network Slicing versus Network Capacity Planning</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_Toc42177253 \h </w:instrText>
            </w:r>
            <w:r w:rsidR="00A53696" w:rsidRPr="00A53696">
              <w:rPr>
                <w:webHidden/>
                <w:sz w:val="18"/>
              </w:rPr>
            </w:r>
            <w:r w:rsidR="00A53696" w:rsidRPr="00A53696">
              <w:rPr>
                <w:webHidden/>
                <w:sz w:val="18"/>
              </w:rPr>
              <w:fldChar w:fldCharType="separate"/>
            </w:r>
            <w:r w:rsidR="003F0180">
              <w:rPr>
                <w:webHidden/>
                <w:sz w:val="18"/>
              </w:rPr>
              <w:t>66</w:t>
            </w:r>
            <w:r w:rsidR="00A53696" w:rsidRPr="00A53696">
              <w:rPr>
                <w:webHidden/>
                <w:sz w:val="18"/>
              </w:rPr>
              <w:fldChar w:fldCharType="end"/>
            </w:r>
          </w:hyperlink>
        </w:p>
        <w:p w14:paraId="1065B1C2" w14:textId="1F848EDD"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54" w:history="1">
            <w:r w:rsidR="00A53696" w:rsidRPr="00A53696">
              <w:rPr>
                <w:rStyle w:val="Hyperlink"/>
                <w:sz w:val="18"/>
              </w:rPr>
              <w:t>4.5.2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Slicing Requires Conflict Resolution</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_Toc42177254 \h </w:instrText>
            </w:r>
            <w:r w:rsidR="00A53696" w:rsidRPr="00A53696">
              <w:rPr>
                <w:webHidden/>
                <w:sz w:val="18"/>
              </w:rPr>
            </w:r>
            <w:r w:rsidR="00A53696" w:rsidRPr="00A53696">
              <w:rPr>
                <w:webHidden/>
                <w:sz w:val="18"/>
              </w:rPr>
              <w:fldChar w:fldCharType="separate"/>
            </w:r>
            <w:r w:rsidR="003F0180">
              <w:rPr>
                <w:webHidden/>
                <w:sz w:val="18"/>
              </w:rPr>
              <w:t>67</w:t>
            </w:r>
            <w:r w:rsidR="00A53696" w:rsidRPr="00A53696">
              <w:rPr>
                <w:webHidden/>
                <w:sz w:val="18"/>
              </w:rPr>
              <w:fldChar w:fldCharType="end"/>
            </w:r>
          </w:hyperlink>
        </w:p>
        <w:p w14:paraId="286112F4" w14:textId="55C7151F"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55" w:history="1">
            <w:r w:rsidR="00A53696" w:rsidRPr="00A53696">
              <w:rPr>
                <w:rStyle w:val="Hyperlink"/>
                <w:sz w:val="18"/>
              </w:rPr>
              <w:t>4.5.3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Elasticity: Slicing Efficiency Requires Runtime Scheduling</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_Toc42177255 \h </w:instrText>
            </w:r>
            <w:r w:rsidR="00A53696" w:rsidRPr="00A53696">
              <w:rPr>
                <w:webHidden/>
                <w:sz w:val="18"/>
              </w:rPr>
            </w:r>
            <w:r w:rsidR="00A53696" w:rsidRPr="00A53696">
              <w:rPr>
                <w:webHidden/>
                <w:sz w:val="18"/>
              </w:rPr>
              <w:fldChar w:fldCharType="separate"/>
            </w:r>
            <w:r w:rsidR="003F0180">
              <w:rPr>
                <w:webHidden/>
                <w:sz w:val="18"/>
              </w:rPr>
              <w:t>67</w:t>
            </w:r>
            <w:r w:rsidR="00A53696" w:rsidRPr="00A53696">
              <w:rPr>
                <w:webHidden/>
                <w:sz w:val="18"/>
              </w:rPr>
              <w:fldChar w:fldCharType="end"/>
            </w:r>
          </w:hyperlink>
        </w:p>
        <w:p w14:paraId="2F20EC50" w14:textId="0BEA8B05"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56" w:history="1">
            <w:r w:rsidR="00A53696" w:rsidRPr="00A53696">
              <w:rPr>
                <w:rStyle w:val="Hyperlink"/>
                <w:sz w:val="18"/>
              </w:rPr>
              <w:t>4.5.4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Towards Green ICT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_Toc42177256 \h </w:instrText>
            </w:r>
            <w:r w:rsidR="00A53696" w:rsidRPr="00A53696">
              <w:rPr>
                <w:webHidden/>
                <w:sz w:val="18"/>
              </w:rPr>
            </w:r>
            <w:r w:rsidR="00A53696" w:rsidRPr="00A53696">
              <w:rPr>
                <w:webHidden/>
                <w:sz w:val="18"/>
              </w:rPr>
              <w:fldChar w:fldCharType="separate"/>
            </w:r>
            <w:r w:rsidR="003F0180">
              <w:rPr>
                <w:webHidden/>
                <w:sz w:val="18"/>
              </w:rPr>
              <w:t>68</w:t>
            </w:r>
            <w:r w:rsidR="00A53696" w:rsidRPr="00A53696">
              <w:rPr>
                <w:webHidden/>
                <w:sz w:val="18"/>
              </w:rPr>
              <w:fldChar w:fldCharType="end"/>
            </w:r>
          </w:hyperlink>
        </w:p>
        <w:p w14:paraId="1D169274" w14:textId="28E10141"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57" w:history="1">
            <w:r w:rsidR="00A53696" w:rsidRPr="00A53696">
              <w:rPr>
                <w:rStyle w:val="Hyperlink"/>
                <w:sz w:val="18"/>
              </w:rPr>
              <w:t>4.5.5</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Research Challenges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_Toc42177257 \h </w:instrText>
            </w:r>
            <w:r w:rsidR="00A53696" w:rsidRPr="00A53696">
              <w:rPr>
                <w:webHidden/>
                <w:sz w:val="18"/>
              </w:rPr>
            </w:r>
            <w:r w:rsidR="00A53696" w:rsidRPr="00A53696">
              <w:rPr>
                <w:webHidden/>
                <w:sz w:val="18"/>
              </w:rPr>
              <w:fldChar w:fldCharType="separate"/>
            </w:r>
            <w:r w:rsidR="003F0180">
              <w:rPr>
                <w:webHidden/>
                <w:sz w:val="18"/>
              </w:rPr>
              <w:t>69</w:t>
            </w:r>
            <w:r w:rsidR="00A53696" w:rsidRPr="00A53696">
              <w:rPr>
                <w:webHidden/>
                <w:sz w:val="18"/>
              </w:rPr>
              <w:fldChar w:fldCharType="end"/>
            </w:r>
          </w:hyperlink>
        </w:p>
        <w:p w14:paraId="05FD3A5F" w14:textId="3E49E42C" w:rsidR="00A53696" w:rsidRPr="00A53696" w:rsidRDefault="000C66C8">
          <w:pPr>
            <w:pStyle w:val="TOC2"/>
            <w:rPr>
              <w:rFonts w:asciiTheme="minorHAnsi" w:eastAsiaTheme="minorEastAsia" w:hAnsiTheme="minorHAnsi" w:cstheme="minorBidi"/>
              <w:b w:val="0"/>
              <w:color w:val="auto"/>
              <w:sz w:val="20"/>
              <w:lang w:eastAsia="en-GB"/>
            </w:rPr>
          </w:pPr>
          <w:hyperlink w:anchor="_Toc42177258" w:history="1">
            <w:r w:rsidR="00A53696" w:rsidRPr="00A53696">
              <w:rPr>
                <w:rStyle w:val="Hyperlink"/>
                <w:b w:val="0"/>
                <w:sz w:val="20"/>
              </w:rPr>
              <w:t>4.6</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AI/ML-based System Evolution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_Toc42177258 \h </w:instrText>
            </w:r>
            <w:r w:rsidR="00A53696" w:rsidRPr="00A53696">
              <w:rPr>
                <w:b w:val="0"/>
                <w:webHidden/>
                <w:sz w:val="20"/>
              </w:rPr>
            </w:r>
            <w:r w:rsidR="00A53696" w:rsidRPr="00A53696">
              <w:rPr>
                <w:b w:val="0"/>
                <w:webHidden/>
                <w:sz w:val="20"/>
              </w:rPr>
              <w:fldChar w:fldCharType="separate"/>
            </w:r>
            <w:r w:rsidR="003F0180">
              <w:rPr>
                <w:b w:val="0"/>
                <w:webHidden/>
                <w:sz w:val="20"/>
              </w:rPr>
              <w:t>69</w:t>
            </w:r>
            <w:r w:rsidR="00A53696" w:rsidRPr="00A53696">
              <w:rPr>
                <w:b w:val="0"/>
                <w:webHidden/>
                <w:sz w:val="20"/>
              </w:rPr>
              <w:fldChar w:fldCharType="end"/>
            </w:r>
          </w:hyperlink>
        </w:p>
        <w:p w14:paraId="5EB4F3E6" w14:textId="64662C51"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59" w:history="1">
            <w:r w:rsidR="00A53696" w:rsidRPr="00A53696">
              <w:rPr>
                <w:rStyle w:val="Hyperlink"/>
                <w:sz w:val="18"/>
              </w:rPr>
              <w:t>4.6.1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Proliferation of AIaaS in Network Operations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_Toc42177259 \h </w:instrText>
            </w:r>
            <w:r w:rsidR="00A53696" w:rsidRPr="00A53696">
              <w:rPr>
                <w:webHidden/>
                <w:sz w:val="18"/>
              </w:rPr>
            </w:r>
            <w:r w:rsidR="00A53696" w:rsidRPr="00A53696">
              <w:rPr>
                <w:webHidden/>
                <w:sz w:val="18"/>
              </w:rPr>
              <w:fldChar w:fldCharType="separate"/>
            </w:r>
            <w:r w:rsidR="003F0180">
              <w:rPr>
                <w:webHidden/>
                <w:sz w:val="18"/>
              </w:rPr>
              <w:t>70</w:t>
            </w:r>
            <w:r w:rsidR="00A53696" w:rsidRPr="00A53696">
              <w:rPr>
                <w:webHidden/>
                <w:sz w:val="18"/>
              </w:rPr>
              <w:fldChar w:fldCharType="end"/>
            </w:r>
          </w:hyperlink>
        </w:p>
        <w:p w14:paraId="5EFDB0E5" w14:textId="401CCF7D"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60" w:history="1">
            <w:r w:rsidR="00A53696" w:rsidRPr="00A53696">
              <w:rPr>
                <w:rStyle w:val="Hyperlink"/>
                <w:sz w:val="18"/>
              </w:rPr>
              <w:t>4.6.2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AIaaS Proliferation in Service Provisioning</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_Toc42177260 \h </w:instrText>
            </w:r>
            <w:r w:rsidR="00A53696" w:rsidRPr="00A53696">
              <w:rPr>
                <w:webHidden/>
                <w:sz w:val="18"/>
              </w:rPr>
            </w:r>
            <w:r w:rsidR="00A53696" w:rsidRPr="00A53696">
              <w:rPr>
                <w:webHidden/>
                <w:sz w:val="18"/>
              </w:rPr>
              <w:fldChar w:fldCharType="separate"/>
            </w:r>
            <w:r w:rsidR="003F0180">
              <w:rPr>
                <w:webHidden/>
                <w:sz w:val="18"/>
              </w:rPr>
              <w:t>71</w:t>
            </w:r>
            <w:r w:rsidR="00A53696" w:rsidRPr="00A53696">
              <w:rPr>
                <w:webHidden/>
                <w:sz w:val="18"/>
              </w:rPr>
              <w:fldChar w:fldCharType="end"/>
            </w:r>
          </w:hyperlink>
        </w:p>
        <w:p w14:paraId="45782213" w14:textId="2EE0564C"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61" w:history="1">
            <w:r w:rsidR="00A53696" w:rsidRPr="00A53696">
              <w:rPr>
                <w:rStyle w:val="Hyperlink"/>
                <w:sz w:val="18"/>
              </w:rPr>
              <w:t>4.6.3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Related Research Challenges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_Toc42177261 \h </w:instrText>
            </w:r>
            <w:r w:rsidR="00A53696" w:rsidRPr="00A53696">
              <w:rPr>
                <w:webHidden/>
                <w:sz w:val="18"/>
              </w:rPr>
            </w:r>
            <w:r w:rsidR="00A53696" w:rsidRPr="00A53696">
              <w:rPr>
                <w:webHidden/>
                <w:sz w:val="18"/>
              </w:rPr>
              <w:fldChar w:fldCharType="separate"/>
            </w:r>
            <w:r w:rsidR="003F0180">
              <w:rPr>
                <w:webHidden/>
                <w:sz w:val="18"/>
              </w:rPr>
              <w:t>71</w:t>
            </w:r>
            <w:r w:rsidR="00A53696" w:rsidRPr="00A53696">
              <w:rPr>
                <w:webHidden/>
                <w:sz w:val="18"/>
              </w:rPr>
              <w:fldChar w:fldCharType="end"/>
            </w:r>
          </w:hyperlink>
        </w:p>
        <w:p w14:paraId="2CC0076C" w14:textId="23CC9A41"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62" w:history="1">
            <w:r w:rsidR="00A53696" w:rsidRPr="00A53696">
              <w:rPr>
                <w:rStyle w:val="Hyperlink"/>
                <w:sz w:val="18"/>
              </w:rPr>
              <w:t>4.6.4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Recommendations for Future Actions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_Toc42177262 \h </w:instrText>
            </w:r>
            <w:r w:rsidR="00A53696" w:rsidRPr="00A53696">
              <w:rPr>
                <w:webHidden/>
                <w:sz w:val="18"/>
              </w:rPr>
            </w:r>
            <w:r w:rsidR="00A53696" w:rsidRPr="00A53696">
              <w:rPr>
                <w:webHidden/>
                <w:sz w:val="18"/>
              </w:rPr>
              <w:fldChar w:fldCharType="separate"/>
            </w:r>
            <w:r w:rsidR="003F0180">
              <w:rPr>
                <w:webHidden/>
                <w:sz w:val="18"/>
              </w:rPr>
              <w:t>72</w:t>
            </w:r>
            <w:r w:rsidR="00A53696" w:rsidRPr="00A53696">
              <w:rPr>
                <w:webHidden/>
                <w:sz w:val="18"/>
              </w:rPr>
              <w:fldChar w:fldCharType="end"/>
            </w:r>
          </w:hyperlink>
        </w:p>
        <w:p w14:paraId="5DE98FE0" w14:textId="5745B02A" w:rsidR="00A53696" w:rsidRPr="00A53696" w:rsidRDefault="000C66C8">
          <w:pPr>
            <w:pStyle w:val="TOC2"/>
            <w:rPr>
              <w:rFonts w:asciiTheme="minorHAnsi" w:eastAsiaTheme="minorEastAsia" w:hAnsiTheme="minorHAnsi" w:cstheme="minorBidi"/>
              <w:b w:val="0"/>
              <w:color w:val="auto"/>
              <w:sz w:val="20"/>
              <w:lang w:eastAsia="en-GB"/>
            </w:rPr>
          </w:pPr>
          <w:hyperlink w:anchor="_Toc42177263" w:history="1">
            <w:r w:rsidR="00A53696" w:rsidRPr="00A53696">
              <w:rPr>
                <w:rStyle w:val="Hyperlink"/>
                <w:b w:val="0"/>
                <w:sz w:val="20"/>
              </w:rPr>
              <w:t>4.7</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Deep Edge, Terminal and IoT Device Integration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_Toc42177263 \h </w:instrText>
            </w:r>
            <w:r w:rsidR="00A53696" w:rsidRPr="00A53696">
              <w:rPr>
                <w:b w:val="0"/>
                <w:webHidden/>
                <w:sz w:val="20"/>
              </w:rPr>
            </w:r>
            <w:r w:rsidR="00A53696" w:rsidRPr="00A53696">
              <w:rPr>
                <w:b w:val="0"/>
                <w:webHidden/>
                <w:sz w:val="20"/>
              </w:rPr>
              <w:fldChar w:fldCharType="separate"/>
            </w:r>
            <w:r w:rsidR="003F0180">
              <w:rPr>
                <w:b w:val="0"/>
                <w:webHidden/>
                <w:sz w:val="20"/>
              </w:rPr>
              <w:t>73</w:t>
            </w:r>
            <w:r w:rsidR="00A53696" w:rsidRPr="00A53696">
              <w:rPr>
                <w:b w:val="0"/>
                <w:webHidden/>
                <w:sz w:val="20"/>
              </w:rPr>
              <w:fldChar w:fldCharType="end"/>
            </w:r>
          </w:hyperlink>
        </w:p>
        <w:p w14:paraId="644175D1" w14:textId="10FC33D4"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264" w:history="1">
            <w:r w:rsidR="00A53696" w:rsidRPr="00A53696">
              <w:rPr>
                <w:rStyle w:val="Hyperlink"/>
                <w:rFonts w:cstheme="minorHAnsi"/>
                <w:sz w:val="20"/>
              </w:rPr>
              <w:t>5.</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Edge Computing and Meta-data</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_Toc42177264 \h </w:instrText>
            </w:r>
            <w:r w:rsidR="00A53696" w:rsidRPr="00A53696">
              <w:rPr>
                <w:webHidden/>
                <w:sz w:val="20"/>
              </w:rPr>
            </w:r>
            <w:r w:rsidR="00A53696" w:rsidRPr="00A53696">
              <w:rPr>
                <w:webHidden/>
                <w:sz w:val="20"/>
              </w:rPr>
              <w:fldChar w:fldCharType="separate"/>
            </w:r>
            <w:r w:rsidR="003F0180">
              <w:rPr>
                <w:webHidden/>
                <w:sz w:val="20"/>
              </w:rPr>
              <w:t>77</w:t>
            </w:r>
            <w:r w:rsidR="00A53696" w:rsidRPr="00A53696">
              <w:rPr>
                <w:webHidden/>
                <w:sz w:val="20"/>
              </w:rPr>
              <w:fldChar w:fldCharType="end"/>
            </w:r>
          </w:hyperlink>
        </w:p>
        <w:p w14:paraId="3E51ACEA" w14:textId="271329D9" w:rsidR="00A53696" w:rsidRPr="00A53696" w:rsidRDefault="000C66C8">
          <w:pPr>
            <w:pStyle w:val="TOC2"/>
            <w:rPr>
              <w:rFonts w:asciiTheme="minorHAnsi" w:eastAsiaTheme="minorEastAsia" w:hAnsiTheme="minorHAnsi" w:cstheme="minorBidi"/>
              <w:b w:val="0"/>
              <w:color w:val="auto"/>
              <w:sz w:val="20"/>
              <w:lang w:eastAsia="en-GB"/>
            </w:rPr>
          </w:pPr>
          <w:hyperlink w:anchor="_Toc42177265" w:history="1">
            <w:r w:rsidR="00A53696" w:rsidRPr="00A53696">
              <w:rPr>
                <w:rStyle w:val="Hyperlink"/>
                <w:b w:val="0"/>
                <w:sz w:val="20"/>
              </w:rPr>
              <w:t>5.1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Introduction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_Toc42177265 \h </w:instrText>
            </w:r>
            <w:r w:rsidR="00A53696" w:rsidRPr="00A53696">
              <w:rPr>
                <w:b w:val="0"/>
                <w:webHidden/>
                <w:sz w:val="20"/>
              </w:rPr>
            </w:r>
            <w:r w:rsidR="00A53696" w:rsidRPr="00A53696">
              <w:rPr>
                <w:b w:val="0"/>
                <w:webHidden/>
                <w:sz w:val="20"/>
              </w:rPr>
              <w:fldChar w:fldCharType="separate"/>
            </w:r>
            <w:r w:rsidR="003F0180">
              <w:rPr>
                <w:b w:val="0"/>
                <w:webHidden/>
                <w:sz w:val="20"/>
              </w:rPr>
              <w:t>77</w:t>
            </w:r>
            <w:r w:rsidR="00A53696" w:rsidRPr="00A53696">
              <w:rPr>
                <w:b w:val="0"/>
                <w:webHidden/>
                <w:sz w:val="20"/>
              </w:rPr>
              <w:fldChar w:fldCharType="end"/>
            </w:r>
          </w:hyperlink>
        </w:p>
        <w:p w14:paraId="5E636C9D" w14:textId="1BBBAAA6" w:rsidR="00A53696" w:rsidRPr="00A53696" w:rsidRDefault="000C66C8">
          <w:pPr>
            <w:pStyle w:val="TOC2"/>
            <w:rPr>
              <w:rFonts w:asciiTheme="minorHAnsi" w:eastAsiaTheme="minorEastAsia" w:hAnsiTheme="minorHAnsi" w:cstheme="minorBidi"/>
              <w:b w:val="0"/>
              <w:color w:val="auto"/>
              <w:sz w:val="20"/>
              <w:lang w:eastAsia="en-GB"/>
            </w:rPr>
          </w:pPr>
          <w:hyperlink w:anchor="_Toc42177266" w:history="1">
            <w:r w:rsidR="00A53696" w:rsidRPr="00A53696">
              <w:rPr>
                <w:rStyle w:val="Hyperlink"/>
                <w:b w:val="0"/>
                <w:sz w:val="20"/>
              </w:rPr>
              <w:t>5.2</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ETSI MEC evolution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_Toc42177266 \h </w:instrText>
            </w:r>
            <w:r w:rsidR="00A53696" w:rsidRPr="00A53696">
              <w:rPr>
                <w:b w:val="0"/>
                <w:webHidden/>
                <w:sz w:val="20"/>
              </w:rPr>
            </w:r>
            <w:r w:rsidR="00A53696" w:rsidRPr="00A53696">
              <w:rPr>
                <w:b w:val="0"/>
                <w:webHidden/>
                <w:sz w:val="20"/>
              </w:rPr>
              <w:fldChar w:fldCharType="separate"/>
            </w:r>
            <w:r w:rsidR="003F0180">
              <w:rPr>
                <w:b w:val="0"/>
                <w:webHidden/>
                <w:sz w:val="20"/>
              </w:rPr>
              <w:t>80</w:t>
            </w:r>
            <w:r w:rsidR="00A53696" w:rsidRPr="00A53696">
              <w:rPr>
                <w:b w:val="0"/>
                <w:webHidden/>
                <w:sz w:val="20"/>
              </w:rPr>
              <w:fldChar w:fldCharType="end"/>
            </w:r>
          </w:hyperlink>
        </w:p>
        <w:p w14:paraId="274ABA8C" w14:textId="36CDD0B0" w:rsidR="00A53696" w:rsidRPr="00A53696" w:rsidRDefault="000C66C8">
          <w:pPr>
            <w:pStyle w:val="TOC2"/>
            <w:rPr>
              <w:rFonts w:asciiTheme="minorHAnsi" w:eastAsiaTheme="minorEastAsia" w:hAnsiTheme="minorHAnsi" w:cstheme="minorBidi"/>
              <w:b w:val="0"/>
              <w:color w:val="auto"/>
              <w:sz w:val="20"/>
              <w:lang w:eastAsia="en-GB"/>
            </w:rPr>
          </w:pPr>
          <w:hyperlink w:anchor="_Toc42177267" w:history="1">
            <w:r w:rsidR="00A53696" w:rsidRPr="00A53696">
              <w:rPr>
                <w:rStyle w:val="Hyperlink"/>
                <w:rFonts w:cs="Arial"/>
                <w:b w:val="0"/>
                <w:sz w:val="20"/>
                <w:lang w:val="en-US"/>
              </w:rPr>
              <w:t>5.3</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Activities</w:t>
            </w:r>
            <w:r w:rsidR="00A53696" w:rsidRPr="00A53696">
              <w:rPr>
                <w:rStyle w:val="Hyperlink"/>
                <w:rFonts w:cs="Arial"/>
                <w:b w:val="0"/>
                <w:sz w:val="20"/>
                <w:lang w:val="en-US"/>
              </w:rPr>
              <w:t xml:space="preserve"> on MEC in other Standardization Bodies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_Toc42177267 \h </w:instrText>
            </w:r>
            <w:r w:rsidR="00A53696" w:rsidRPr="00A53696">
              <w:rPr>
                <w:b w:val="0"/>
                <w:webHidden/>
                <w:sz w:val="20"/>
              </w:rPr>
            </w:r>
            <w:r w:rsidR="00A53696" w:rsidRPr="00A53696">
              <w:rPr>
                <w:b w:val="0"/>
                <w:webHidden/>
                <w:sz w:val="20"/>
              </w:rPr>
              <w:fldChar w:fldCharType="separate"/>
            </w:r>
            <w:r w:rsidR="003F0180">
              <w:rPr>
                <w:b w:val="0"/>
                <w:webHidden/>
                <w:sz w:val="20"/>
              </w:rPr>
              <w:t>81</w:t>
            </w:r>
            <w:r w:rsidR="00A53696" w:rsidRPr="00A53696">
              <w:rPr>
                <w:b w:val="0"/>
                <w:webHidden/>
                <w:sz w:val="20"/>
              </w:rPr>
              <w:fldChar w:fldCharType="end"/>
            </w:r>
          </w:hyperlink>
        </w:p>
        <w:p w14:paraId="78E35BD5" w14:textId="7439B246" w:rsidR="00A53696" w:rsidRPr="00A53696" w:rsidRDefault="000C66C8">
          <w:pPr>
            <w:pStyle w:val="TOC2"/>
            <w:rPr>
              <w:rFonts w:asciiTheme="minorHAnsi" w:eastAsiaTheme="minorEastAsia" w:hAnsiTheme="minorHAnsi" w:cstheme="minorBidi"/>
              <w:b w:val="0"/>
              <w:color w:val="auto"/>
              <w:sz w:val="20"/>
              <w:lang w:eastAsia="en-GB"/>
            </w:rPr>
          </w:pPr>
          <w:hyperlink w:anchor="_Toc42177268" w:history="1">
            <w:r w:rsidR="00A53696" w:rsidRPr="00A53696">
              <w:rPr>
                <w:rStyle w:val="Hyperlink"/>
                <w:rFonts w:cs="Arial"/>
                <w:b w:val="0"/>
                <w:sz w:val="20"/>
                <w:lang w:val="en-US"/>
              </w:rPr>
              <w:t>5.4</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NFV, SDN, orchestration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_Toc42177268 \h </w:instrText>
            </w:r>
            <w:r w:rsidR="00A53696" w:rsidRPr="00A53696">
              <w:rPr>
                <w:b w:val="0"/>
                <w:webHidden/>
                <w:sz w:val="20"/>
              </w:rPr>
            </w:r>
            <w:r w:rsidR="00A53696" w:rsidRPr="00A53696">
              <w:rPr>
                <w:b w:val="0"/>
                <w:webHidden/>
                <w:sz w:val="20"/>
              </w:rPr>
              <w:fldChar w:fldCharType="separate"/>
            </w:r>
            <w:r w:rsidR="003F0180">
              <w:rPr>
                <w:b w:val="0"/>
                <w:webHidden/>
                <w:sz w:val="20"/>
              </w:rPr>
              <w:t>81</w:t>
            </w:r>
            <w:r w:rsidR="00A53696" w:rsidRPr="00A53696">
              <w:rPr>
                <w:b w:val="0"/>
                <w:webHidden/>
                <w:sz w:val="20"/>
              </w:rPr>
              <w:fldChar w:fldCharType="end"/>
            </w:r>
          </w:hyperlink>
        </w:p>
        <w:p w14:paraId="4546E574" w14:textId="155A15F7" w:rsidR="00A53696" w:rsidRPr="00A53696" w:rsidRDefault="000C66C8">
          <w:pPr>
            <w:pStyle w:val="TOC2"/>
            <w:rPr>
              <w:rFonts w:asciiTheme="minorHAnsi" w:eastAsiaTheme="minorEastAsia" w:hAnsiTheme="minorHAnsi" w:cstheme="minorBidi"/>
              <w:b w:val="0"/>
              <w:color w:val="auto"/>
              <w:sz w:val="20"/>
              <w:lang w:eastAsia="en-GB"/>
            </w:rPr>
          </w:pPr>
          <w:hyperlink w:anchor="_Toc42177269" w:history="1">
            <w:r w:rsidR="00A53696" w:rsidRPr="00A53696">
              <w:rPr>
                <w:rStyle w:val="Hyperlink"/>
                <w:rFonts w:cs="Arial"/>
                <w:b w:val="0"/>
                <w:sz w:val="20"/>
              </w:rPr>
              <w:t>5.5</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Computing platform technologies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_Toc42177269 \h </w:instrText>
            </w:r>
            <w:r w:rsidR="00A53696" w:rsidRPr="00A53696">
              <w:rPr>
                <w:b w:val="0"/>
                <w:webHidden/>
                <w:sz w:val="20"/>
              </w:rPr>
            </w:r>
            <w:r w:rsidR="00A53696" w:rsidRPr="00A53696">
              <w:rPr>
                <w:b w:val="0"/>
                <w:webHidden/>
                <w:sz w:val="20"/>
              </w:rPr>
              <w:fldChar w:fldCharType="separate"/>
            </w:r>
            <w:r w:rsidR="003F0180">
              <w:rPr>
                <w:b w:val="0"/>
                <w:webHidden/>
                <w:sz w:val="20"/>
              </w:rPr>
              <w:t>82</w:t>
            </w:r>
            <w:r w:rsidR="00A53696" w:rsidRPr="00A53696">
              <w:rPr>
                <w:b w:val="0"/>
                <w:webHidden/>
                <w:sz w:val="20"/>
              </w:rPr>
              <w:fldChar w:fldCharType="end"/>
            </w:r>
          </w:hyperlink>
        </w:p>
        <w:p w14:paraId="4BDD5C58" w14:textId="4FF97EDD" w:rsidR="00A53696" w:rsidRPr="00A53696" w:rsidRDefault="000C66C8">
          <w:pPr>
            <w:pStyle w:val="TOC2"/>
            <w:rPr>
              <w:rFonts w:asciiTheme="minorHAnsi" w:eastAsiaTheme="minorEastAsia" w:hAnsiTheme="minorHAnsi" w:cstheme="minorBidi"/>
              <w:b w:val="0"/>
              <w:color w:val="auto"/>
              <w:sz w:val="20"/>
              <w:lang w:eastAsia="en-GB"/>
            </w:rPr>
          </w:pPr>
          <w:hyperlink w:anchor="_Toc42177270" w:history="1">
            <w:r w:rsidR="00A53696" w:rsidRPr="00A53696">
              <w:rPr>
                <w:rStyle w:val="Hyperlink"/>
                <w:rFonts w:cs="Arial"/>
                <w:b w:val="0"/>
                <w:sz w:val="20"/>
              </w:rPr>
              <w:t>5.6</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Containers and container orchestration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_Toc42177270 \h </w:instrText>
            </w:r>
            <w:r w:rsidR="00A53696" w:rsidRPr="00A53696">
              <w:rPr>
                <w:b w:val="0"/>
                <w:webHidden/>
                <w:sz w:val="20"/>
              </w:rPr>
            </w:r>
            <w:r w:rsidR="00A53696" w:rsidRPr="00A53696">
              <w:rPr>
                <w:b w:val="0"/>
                <w:webHidden/>
                <w:sz w:val="20"/>
              </w:rPr>
              <w:fldChar w:fldCharType="separate"/>
            </w:r>
            <w:r w:rsidR="003F0180">
              <w:rPr>
                <w:b w:val="0"/>
                <w:webHidden/>
                <w:sz w:val="20"/>
              </w:rPr>
              <w:t>84</w:t>
            </w:r>
            <w:r w:rsidR="00A53696" w:rsidRPr="00A53696">
              <w:rPr>
                <w:b w:val="0"/>
                <w:webHidden/>
                <w:sz w:val="20"/>
              </w:rPr>
              <w:fldChar w:fldCharType="end"/>
            </w:r>
          </w:hyperlink>
        </w:p>
        <w:p w14:paraId="062C8792" w14:textId="4AA458A3" w:rsidR="00A53696" w:rsidRPr="00A53696" w:rsidRDefault="000C66C8">
          <w:pPr>
            <w:pStyle w:val="TOC2"/>
            <w:rPr>
              <w:rFonts w:asciiTheme="minorHAnsi" w:eastAsiaTheme="minorEastAsia" w:hAnsiTheme="minorHAnsi" w:cstheme="minorBidi"/>
              <w:b w:val="0"/>
              <w:color w:val="auto"/>
              <w:sz w:val="20"/>
              <w:lang w:eastAsia="en-GB"/>
            </w:rPr>
          </w:pPr>
          <w:hyperlink w:anchor="_Toc42177271" w:history="1">
            <w:r w:rsidR="00A53696" w:rsidRPr="00A53696">
              <w:rPr>
                <w:rStyle w:val="Hyperlink"/>
                <w:rFonts w:cs="Arial"/>
                <w:b w:val="0"/>
                <w:sz w:val="20"/>
              </w:rPr>
              <w:t>5.7</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Distributed services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_Toc42177271 \h </w:instrText>
            </w:r>
            <w:r w:rsidR="00A53696" w:rsidRPr="00A53696">
              <w:rPr>
                <w:b w:val="0"/>
                <w:webHidden/>
                <w:sz w:val="20"/>
              </w:rPr>
            </w:r>
            <w:r w:rsidR="00A53696" w:rsidRPr="00A53696">
              <w:rPr>
                <w:b w:val="0"/>
                <w:webHidden/>
                <w:sz w:val="20"/>
              </w:rPr>
              <w:fldChar w:fldCharType="separate"/>
            </w:r>
            <w:r w:rsidR="003F0180">
              <w:rPr>
                <w:b w:val="0"/>
                <w:webHidden/>
                <w:sz w:val="20"/>
              </w:rPr>
              <w:t>84</w:t>
            </w:r>
            <w:r w:rsidR="00A53696" w:rsidRPr="00A53696">
              <w:rPr>
                <w:b w:val="0"/>
                <w:webHidden/>
                <w:sz w:val="20"/>
              </w:rPr>
              <w:fldChar w:fldCharType="end"/>
            </w:r>
          </w:hyperlink>
        </w:p>
        <w:p w14:paraId="75599938" w14:textId="167E40C6" w:rsidR="00A53696" w:rsidRPr="00A53696" w:rsidRDefault="000C66C8">
          <w:pPr>
            <w:pStyle w:val="TOC2"/>
            <w:rPr>
              <w:rFonts w:asciiTheme="minorHAnsi" w:eastAsiaTheme="minorEastAsia" w:hAnsiTheme="minorHAnsi" w:cstheme="minorBidi"/>
              <w:b w:val="0"/>
              <w:color w:val="auto"/>
              <w:sz w:val="20"/>
              <w:lang w:eastAsia="en-GB"/>
            </w:rPr>
          </w:pPr>
          <w:hyperlink w:anchor="_Toc42177272" w:history="1">
            <w:r w:rsidR="00A53696" w:rsidRPr="00A53696">
              <w:rPr>
                <w:rStyle w:val="Hyperlink"/>
                <w:rFonts w:cs="Arial"/>
                <w:b w:val="0"/>
                <w:sz w:val="20"/>
                <w:lang w:val="en-US"/>
              </w:rPr>
              <w:t>5.8</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lang w:val="en-US"/>
              </w:rPr>
              <w:t xml:space="preserve">Edge, Mobile </w:t>
            </w:r>
            <w:r w:rsidR="00A53696" w:rsidRPr="00A53696">
              <w:rPr>
                <w:rStyle w:val="Hyperlink"/>
                <w:rFonts w:cs="Arial"/>
                <w:b w:val="0"/>
                <w:sz w:val="20"/>
              </w:rPr>
              <w:t>Edge</w:t>
            </w:r>
            <w:r w:rsidR="00A53696" w:rsidRPr="00A53696">
              <w:rPr>
                <w:rStyle w:val="Hyperlink"/>
                <w:rFonts w:cs="Arial"/>
                <w:b w:val="0"/>
                <w:sz w:val="20"/>
                <w:lang w:val="en-US"/>
              </w:rPr>
              <w:t xml:space="preserve"> Computing and Processing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_Toc42177272 \h </w:instrText>
            </w:r>
            <w:r w:rsidR="00A53696" w:rsidRPr="00A53696">
              <w:rPr>
                <w:b w:val="0"/>
                <w:webHidden/>
                <w:sz w:val="20"/>
              </w:rPr>
            </w:r>
            <w:r w:rsidR="00A53696" w:rsidRPr="00A53696">
              <w:rPr>
                <w:b w:val="0"/>
                <w:webHidden/>
                <w:sz w:val="20"/>
              </w:rPr>
              <w:fldChar w:fldCharType="separate"/>
            </w:r>
            <w:r w:rsidR="003F0180">
              <w:rPr>
                <w:b w:val="0"/>
                <w:webHidden/>
                <w:sz w:val="20"/>
              </w:rPr>
              <w:t>85</w:t>
            </w:r>
            <w:r w:rsidR="00A53696" w:rsidRPr="00A53696">
              <w:rPr>
                <w:b w:val="0"/>
                <w:webHidden/>
                <w:sz w:val="20"/>
              </w:rPr>
              <w:fldChar w:fldCharType="end"/>
            </w:r>
          </w:hyperlink>
        </w:p>
        <w:p w14:paraId="0957E77E" w14:textId="60B65911" w:rsidR="00A53696" w:rsidRPr="00A53696" w:rsidRDefault="000C66C8">
          <w:pPr>
            <w:pStyle w:val="TOC2"/>
            <w:rPr>
              <w:rFonts w:asciiTheme="minorHAnsi" w:eastAsiaTheme="minorEastAsia" w:hAnsiTheme="minorHAnsi" w:cstheme="minorBidi"/>
              <w:b w:val="0"/>
              <w:color w:val="auto"/>
              <w:sz w:val="20"/>
              <w:lang w:eastAsia="en-GB"/>
            </w:rPr>
          </w:pPr>
          <w:hyperlink w:anchor="_Toc42177273" w:history="1">
            <w:r w:rsidR="00A53696" w:rsidRPr="00A53696">
              <w:rPr>
                <w:rStyle w:val="Hyperlink"/>
                <w:rFonts w:cs="Arial"/>
                <w:b w:val="0"/>
                <w:sz w:val="20"/>
              </w:rPr>
              <w:t>5.9</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Edge AI</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_Toc42177273 \h </w:instrText>
            </w:r>
            <w:r w:rsidR="00A53696" w:rsidRPr="00A53696">
              <w:rPr>
                <w:b w:val="0"/>
                <w:webHidden/>
                <w:sz w:val="20"/>
              </w:rPr>
            </w:r>
            <w:r w:rsidR="00A53696" w:rsidRPr="00A53696">
              <w:rPr>
                <w:b w:val="0"/>
                <w:webHidden/>
                <w:sz w:val="20"/>
              </w:rPr>
              <w:fldChar w:fldCharType="separate"/>
            </w:r>
            <w:r w:rsidR="003F0180">
              <w:rPr>
                <w:b w:val="0"/>
                <w:webHidden/>
                <w:sz w:val="20"/>
              </w:rPr>
              <w:t>86</w:t>
            </w:r>
            <w:r w:rsidR="00A53696" w:rsidRPr="00A53696">
              <w:rPr>
                <w:b w:val="0"/>
                <w:webHidden/>
                <w:sz w:val="20"/>
              </w:rPr>
              <w:fldChar w:fldCharType="end"/>
            </w:r>
          </w:hyperlink>
        </w:p>
        <w:p w14:paraId="0C5880DA" w14:textId="2F6531B8"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274" w:history="1">
            <w:r w:rsidR="00A53696" w:rsidRPr="00A53696">
              <w:rPr>
                <w:rStyle w:val="Hyperlink"/>
                <w:rFonts w:cstheme="minorHAnsi"/>
                <w:sz w:val="20"/>
              </w:rPr>
              <w:t>6.</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Radio Technology and Signal Processing</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_Toc42177274 \h </w:instrText>
            </w:r>
            <w:r w:rsidR="00A53696" w:rsidRPr="00A53696">
              <w:rPr>
                <w:webHidden/>
                <w:sz w:val="20"/>
              </w:rPr>
            </w:r>
            <w:r w:rsidR="00A53696" w:rsidRPr="00A53696">
              <w:rPr>
                <w:webHidden/>
                <w:sz w:val="20"/>
              </w:rPr>
              <w:fldChar w:fldCharType="separate"/>
            </w:r>
            <w:r w:rsidR="003F0180">
              <w:rPr>
                <w:webHidden/>
                <w:sz w:val="20"/>
              </w:rPr>
              <w:t>88</w:t>
            </w:r>
            <w:r w:rsidR="00A53696" w:rsidRPr="00A53696">
              <w:rPr>
                <w:webHidden/>
                <w:sz w:val="20"/>
              </w:rPr>
              <w:fldChar w:fldCharType="end"/>
            </w:r>
          </w:hyperlink>
        </w:p>
        <w:p w14:paraId="3A53E7E3" w14:textId="73875FDB" w:rsidR="00A53696" w:rsidRPr="00A53696" w:rsidRDefault="000C66C8">
          <w:pPr>
            <w:pStyle w:val="TOC2"/>
            <w:rPr>
              <w:rFonts w:asciiTheme="minorHAnsi" w:eastAsiaTheme="minorEastAsia" w:hAnsiTheme="minorHAnsi" w:cstheme="minorBidi"/>
              <w:b w:val="0"/>
              <w:color w:val="auto"/>
              <w:sz w:val="20"/>
              <w:lang w:eastAsia="en-GB"/>
            </w:rPr>
          </w:pPr>
          <w:hyperlink w:anchor="_Toc42177275" w:history="1">
            <w:r w:rsidR="00A53696" w:rsidRPr="00A53696">
              <w:rPr>
                <w:rStyle w:val="Hyperlink"/>
                <w:rFonts w:cs="Arial"/>
                <w:b w:val="0"/>
                <w:sz w:val="20"/>
              </w:rPr>
              <w:t>6.1</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Spectrum Re-farming and Reutilisation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_Toc42177275 \h </w:instrText>
            </w:r>
            <w:r w:rsidR="00A53696" w:rsidRPr="00A53696">
              <w:rPr>
                <w:b w:val="0"/>
                <w:webHidden/>
                <w:sz w:val="20"/>
              </w:rPr>
            </w:r>
            <w:r w:rsidR="00A53696" w:rsidRPr="00A53696">
              <w:rPr>
                <w:b w:val="0"/>
                <w:webHidden/>
                <w:sz w:val="20"/>
              </w:rPr>
              <w:fldChar w:fldCharType="separate"/>
            </w:r>
            <w:r w:rsidR="003F0180">
              <w:rPr>
                <w:b w:val="0"/>
                <w:webHidden/>
                <w:sz w:val="20"/>
              </w:rPr>
              <w:t>88</w:t>
            </w:r>
            <w:r w:rsidR="00A53696" w:rsidRPr="00A53696">
              <w:rPr>
                <w:b w:val="0"/>
                <w:webHidden/>
                <w:sz w:val="20"/>
              </w:rPr>
              <w:fldChar w:fldCharType="end"/>
            </w:r>
          </w:hyperlink>
        </w:p>
        <w:p w14:paraId="3FF3CE40" w14:textId="4D5604A0" w:rsidR="00A53696" w:rsidRPr="00A53696" w:rsidRDefault="000C66C8">
          <w:pPr>
            <w:pStyle w:val="TOC2"/>
            <w:rPr>
              <w:rFonts w:asciiTheme="minorHAnsi" w:eastAsiaTheme="minorEastAsia" w:hAnsiTheme="minorHAnsi" w:cstheme="minorBidi"/>
              <w:b w:val="0"/>
              <w:color w:val="auto"/>
              <w:sz w:val="20"/>
              <w:lang w:eastAsia="en-GB"/>
            </w:rPr>
          </w:pPr>
          <w:hyperlink w:anchor="_Toc42177276" w:history="1">
            <w:r w:rsidR="00A53696" w:rsidRPr="00A53696">
              <w:rPr>
                <w:rStyle w:val="Hyperlink"/>
                <w:rFonts w:cs="Arial"/>
                <w:b w:val="0"/>
                <w:sz w:val="20"/>
              </w:rPr>
              <w:t>6.2</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Millimetre Wave System</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_Toc42177276 \h </w:instrText>
            </w:r>
            <w:r w:rsidR="00A53696" w:rsidRPr="00A53696">
              <w:rPr>
                <w:b w:val="0"/>
                <w:webHidden/>
                <w:sz w:val="20"/>
              </w:rPr>
            </w:r>
            <w:r w:rsidR="00A53696" w:rsidRPr="00A53696">
              <w:rPr>
                <w:b w:val="0"/>
                <w:webHidden/>
                <w:sz w:val="20"/>
              </w:rPr>
              <w:fldChar w:fldCharType="separate"/>
            </w:r>
            <w:r w:rsidR="003F0180">
              <w:rPr>
                <w:b w:val="0"/>
                <w:webHidden/>
                <w:sz w:val="20"/>
              </w:rPr>
              <w:t>90</w:t>
            </w:r>
            <w:r w:rsidR="00A53696" w:rsidRPr="00A53696">
              <w:rPr>
                <w:b w:val="0"/>
                <w:webHidden/>
                <w:sz w:val="20"/>
              </w:rPr>
              <w:fldChar w:fldCharType="end"/>
            </w:r>
          </w:hyperlink>
        </w:p>
        <w:p w14:paraId="073C3E7A" w14:textId="266FA8BD" w:rsidR="00A53696" w:rsidRPr="00A53696" w:rsidRDefault="000C66C8">
          <w:pPr>
            <w:pStyle w:val="TOC2"/>
            <w:rPr>
              <w:rFonts w:asciiTheme="minorHAnsi" w:eastAsiaTheme="minorEastAsia" w:hAnsiTheme="minorHAnsi" w:cstheme="minorBidi"/>
              <w:b w:val="0"/>
              <w:color w:val="auto"/>
              <w:sz w:val="20"/>
              <w:lang w:eastAsia="en-GB"/>
            </w:rPr>
          </w:pPr>
          <w:hyperlink w:anchor="_Toc42177277" w:history="1">
            <w:r w:rsidR="00A53696" w:rsidRPr="00A53696">
              <w:rPr>
                <w:rStyle w:val="Hyperlink"/>
                <w:rFonts w:cs="Arial"/>
                <w:b w:val="0"/>
                <w:sz w:val="20"/>
              </w:rPr>
              <w:t>6.3</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Optical Wireless Communication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_Toc42177277 \h </w:instrText>
            </w:r>
            <w:r w:rsidR="00A53696" w:rsidRPr="00A53696">
              <w:rPr>
                <w:b w:val="0"/>
                <w:webHidden/>
                <w:sz w:val="20"/>
              </w:rPr>
            </w:r>
            <w:r w:rsidR="00A53696" w:rsidRPr="00A53696">
              <w:rPr>
                <w:b w:val="0"/>
                <w:webHidden/>
                <w:sz w:val="20"/>
              </w:rPr>
              <w:fldChar w:fldCharType="separate"/>
            </w:r>
            <w:r w:rsidR="003F0180">
              <w:rPr>
                <w:b w:val="0"/>
                <w:webHidden/>
                <w:sz w:val="20"/>
              </w:rPr>
              <w:t>91</w:t>
            </w:r>
            <w:r w:rsidR="00A53696" w:rsidRPr="00A53696">
              <w:rPr>
                <w:b w:val="0"/>
                <w:webHidden/>
                <w:sz w:val="20"/>
              </w:rPr>
              <w:fldChar w:fldCharType="end"/>
            </w:r>
          </w:hyperlink>
        </w:p>
        <w:p w14:paraId="2D357DE7" w14:textId="0678D068" w:rsidR="00A53696" w:rsidRPr="00A53696" w:rsidRDefault="000C66C8">
          <w:pPr>
            <w:pStyle w:val="TOC2"/>
            <w:rPr>
              <w:rFonts w:asciiTheme="minorHAnsi" w:eastAsiaTheme="minorEastAsia" w:hAnsiTheme="minorHAnsi" w:cstheme="minorBidi"/>
              <w:b w:val="0"/>
              <w:color w:val="auto"/>
              <w:sz w:val="20"/>
              <w:lang w:eastAsia="en-GB"/>
            </w:rPr>
          </w:pPr>
          <w:hyperlink w:anchor="_Toc42177278" w:history="1">
            <w:r w:rsidR="00A53696" w:rsidRPr="00A53696">
              <w:rPr>
                <w:rStyle w:val="Hyperlink"/>
                <w:rFonts w:cs="Arial"/>
                <w:b w:val="0"/>
                <w:sz w:val="20"/>
              </w:rPr>
              <w:t>6.4</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Terahertz Communication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_Toc42177278 \h </w:instrText>
            </w:r>
            <w:r w:rsidR="00A53696" w:rsidRPr="00A53696">
              <w:rPr>
                <w:b w:val="0"/>
                <w:webHidden/>
                <w:sz w:val="20"/>
              </w:rPr>
            </w:r>
            <w:r w:rsidR="00A53696" w:rsidRPr="00A53696">
              <w:rPr>
                <w:b w:val="0"/>
                <w:webHidden/>
                <w:sz w:val="20"/>
              </w:rPr>
              <w:fldChar w:fldCharType="separate"/>
            </w:r>
            <w:r w:rsidR="003F0180">
              <w:rPr>
                <w:b w:val="0"/>
                <w:webHidden/>
                <w:sz w:val="20"/>
              </w:rPr>
              <w:t>93</w:t>
            </w:r>
            <w:r w:rsidR="00A53696" w:rsidRPr="00A53696">
              <w:rPr>
                <w:b w:val="0"/>
                <w:webHidden/>
                <w:sz w:val="20"/>
              </w:rPr>
              <w:fldChar w:fldCharType="end"/>
            </w:r>
          </w:hyperlink>
        </w:p>
        <w:p w14:paraId="782BC781" w14:textId="1C0C1CC2" w:rsidR="00A53696" w:rsidRPr="00A53696" w:rsidRDefault="000C66C8">
          <w:pPr>
            <w:pStyle w:val="TOC2"/>
            <w:rPr>
              <w:rFonts w:asciiTheme="minorHAnsi" w:eastAsiaTheme="minorEastAsia" w:hAnsiTheme="minorHAnsi" w:cstheme="minorBidi"/>
              <w:b w:val="0"/>
              <w:color w:val="auto"/>
              <w:sz w:val="20"/>
              <w:lang w:eastAsia="en-GB"/>
            </w:rPr>
          </w:pPr>
          <w:hyperlink w:anchor="_Toc42177279" w:history="1">
            <w:r w:rsidR="00A53696" w:rsidRPr="00A53696">
              <w:rPr>
                <w:rStyle w:val="Hyperlink"/>
                <w:rFonts w:cs="Arial"/>
                <w:b w:val="0"/>
                <w:sz w:val="20"/>
              </w:rPr>
              <w:t>6.5</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Massive and Ultra-Massive MIMO</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_Toc42177279 \h </w:instrText>
            </w:r>
            <w:r w:rsidR="00A53696" w:rsidRPr="00A53696">
              <w:rPr>
                <w:b w:val="0"/>
                <w:webHidden/>
                <w:sz w:val="20"/>
              </w:rPr>
            </w:r>
            <w:r w:rsidR="00A53696" w:rsidRPr="00A53696">
              <w:rPr>
                <w:b w:val="0"/>
                <w:webHidden/>
                <w:sz w:val="20"/>
              </w:rPr>
              <w:fldChar w:fldCharType="separate"/>
            </w:r>
            <w:r w:rsidR="003F0180">
              <w:rPr>
                <w:b w:val="0"/>
                <w:webHidden/>
                <w:sz w:val="20"/>
              </w:rPr>
              <w:t>96</w:t>
            </w:r>
            <w:r w:rsidR="00A53696" w:rsidRPr="00A53696">
              <w:rPr>
                <w:b w:val="0"/>
                <w:webHidden/>
                <w:sz w:val="20"/>
              </w:rPr>
              <w:fldChar w:fldCharType="end"/>
            </w:r>
          </w:hyperlink>
        </w:p>
        <w:p w14:paraId="42918FBB" w14:textId="06F22D81" w:rsidR="00A53696" w:rsidRPr="00A53696" w:rsidRDefault="000C66C8">
          <w:pPr>
            <w:pStyle w:val="TOC2"/>
            <w:rPr>
              <w:rFonts w:asciiTheme="minorHAnsi" w:eastAsiaTheme="minorEastAsia" w:hAnsiTheme="minorHAnsi" w:cstheme="minorBidi"/>
              <w:b w:val="0"/>
              <w:color w:val="auto"/>
              <w:sz w:val="20"/>
              <w:lang w:eastAsia="en-GB"/>
            </w:rPr>
          </w:pPr>
          <w:hyperlink w:anchor="_Toc42177280" w:history="1">
            <w:r w:rsidR="00A53696" w:rsidRPr="00A53696">
              <w:rPr>
                <w:rStyle w:val="Hyperlink"/>
                <w:rFonts w:cs="Arial"/>
                <w:b w:val="0"/>
                <w:sz w:val="20"/>
              </w:rPr>
              <w:t>6.6</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Waveform, Multiple Access and Full-Duplex</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_Toc42177280 \h </w:instrText>
            </w:r>
            <w:r w:rsidR="00A53696" w:rsidRPr="00A53696">
              <w:rPr>
                <w:b w:val="0"/>
                <w:webHidden/>
                <w:sz w:val="20"/>
              </w:rPr>
            </w:r>
            <w:r w:rsidR="00A53696" w:rsidRPr="00A53696">
              <w:rPr>
                <w:b w:val="0"/>
                <w:webHidden/>
                <w:sz w:val="20"/>
              </w:rPr>
              <w:fldChar w:fldCharType="separate"/>
            </w:r>
            <w:r w:rsidR="003F0180">
              <w:rPr>
                <w:b w:val="0"/>
                <w:webHidden/>
                <w:sz w:val="20"/>
              </w:rPr>
              <w:t>99</w:t>
            </w:r>
            <w:r w:rsidR="00A53696" w:rsidRPr="00A53696">
              <w:rPr>
                <w:b w:val="0"/>
                <w:webHidden/>
                <w:sz w:val="20"/>
              </w:rPr>
              <w:fldChar w:fldCharType="end"/>
            </w:r>
          </w:hyperlink>
        </w:p>
        <w:p w14:paraId="6543DA1D" w14:textId="0C13F835" w:rsidR="00A53696" w:rsidRPr="00A53696" w:rsidRDefault="000C66C8">
          <w:pPr>
            <w:pStyle w:val="TOC2"/>
            <w:rPr>
              <w:rFonts w:asciiTheme="minorHAnsi" w:eastAsiaTheme="minorEastAsia" w:hAnsiTheme="minorHAnsi" w:cstheme="minorBidi"/>
              <w:b w:val="0"/>
              <w:color w:val="auto"/>
              <w:sz w:val="20"/>
              <w:lang w:eastAsia="en-GB"/>
            </w:rPr>
          </w:pPr>
          <w:hyperlink w:anchor="_Toc42177281" w:history="1">
            <w:r w:rsidR="00A53696" w:rsidRPr="00A53696">
              <w:rPr>
                <w:rStyle w:val="Hyperlink"/>
                <w:rFonts w:cs="Arial"/>
                <w:b w:val="0"/>
                <w:sz w:val="20"/>
              </w:rPr>
              <w:t>6.7</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Coding and Modulation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_Toc42177281 \h </w:instrText>
            </w:r>
            <w:r w:rsidR="00A53696" w:rsidRPr="00A53696">
              <w:rPr>
                <w:b w:val="0"/>
                <w:webHidden/>
                <w:sz w:val="20"/>
              </w:rPr>
            </w:r>
            <w:r w:rsidR="00A53696" w:rsidRPr="00A53696">
              <w:rPr>
                <w:b w:val="0"/>
                <w:webHidden/>
                <w:sz w:val="20"/>
              </w:rPr>
              <w:fldChar w:fldCharType="separate"/>
            </w:r>
            <w:r w:rsidR="003F0180">
              <w:rPr>
                <w:b w:val="0"/>
                <w:webHidden/>
                <w:sz w:val="20"/>
              </w:rPr>
              <w:t>101</w:t>
            </w:r>
            <w:r w:rsidR="00A53696" w:rsidRPr="00A53696">
              <w:rPr>
                <w:b w:val="0"/>
                <w:webHidden/>
                <w:sz w:val="20"/>
              </w:rPr>
              <w:fldChar w:fldCharType="end"/>
            </w:r>
          </w:hyperlink>
        </w:p>
        <w:p w14:paraId="77137AED" w14:textId="45C5CC96" w:rsidR="00A53696" w:rsidRPr="00A53696" w:rsidRDefault="000C66C8">
          <w:pPr>
            <w:pStyle w:val="TOC2"/>
            <w:rPr>
              <w:rFonts w:asciiTheme="minorHAnsi" w:eastAsiaTheme="minorEastAsia" w:hAnsiTheme="minorHAnsi" w:cstheme="minorBidi"/>
              <w:b w:val="0"/>
              <w:color w:val="auto"/>
              <w:sz w:val="20"/>
              <w:lang w:eastAsia="en-GB"/>
            </w:rPr>
          </w:pPr>
          <w:hyperlink w:anchor="_Toc42177282" w:history="1">
            <w:r w:rsidR="00A53696" w:rsidRPr="00A53696">
              <w:rPr>
                <w:rStyle w:val="Hyperlink"/>
                <w:rFonts w:cs="Arial"/>
                <w:b w:val="0"/>
                <w:sz w:val="20"/>
              </w:rPr>
              <w:t>6.8</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Positioning and Sensing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_Toc42177282 \h </w:instrText>
            </w:r>
            <w:r w:rsidR="00A53696" w:rsidRPr="00A53696">
              <w:rPr>
                <w:b w:val="0"/>
                <w:webHidden/>
                <w:sz w:val="20"/>
              </w:rPr>
            </w:r>
            <w:r w:rsidR="00A53696" w:rsidRPr="00A53696">
              <w:rPr>
                <w:b w:val="0"/>
                <w:webHidden/>
                <w:sz w:val="20"/>
              </w:rPr>
              <w:fldChar w:fldCharType="separate"/>
            </w:r>
            <w:r w:rsidR="003F0180">
              <w:rPr>
                <w:b w:val="0"/>
                <w:webHidden/>
                <w:sz w:val="20"/>
              </w:rPr>
              <w:t>102</w:t>
            </w:r>
            <w:r w:rsidR="00A53696" w:rsidRPr="00A53696">
              <w:rPr>
                <w:b w:val="0"/>
                <w:webHidden/>
                <w:sz w:val="20"/>
              </w:rPr>
              <w:fldChar w:fldCharType="end"/>
            </w:r>
          </w:hyperlink>
        </w:p>
        <w:p w14:paraId="415FC19F" w14:textId="388CC758" w:rsidR="00A53696" w:rsidRPr="00A53696" w:rsidRDefault="000C66C8">
          <w:pPr>
            <w:pStyle w:val="TOC2"/>
            <w:rPr>
              <w:rFonts w:asciiTheme="minorHAnsi" w:eastAsiaTheme="minorEastAsia" w:hAnsiTheme="minorHAnsi" w:cstheme="minorBidi"/>
              <w:b w:val="0"/>
              <w:color w:val="auto"/>
              <w:sz w:val="20"/>
              <w:lang w:eastAsia="en-GB"/>
            </w:rPr>
          </w:pPr>
          <w:hyperlink w:anchor="_Toc42177283" w:history="1">
            <w:r w:rsidR="00A53696" w:rsidRPr="00A53696">
              <w:rPr>
                <w:rStyle w:val="Hyperlink"/>
                <w:rFonts w:cs="Arial"/>
                <w:b w:val="0"/>
                <w:sz w:val="20"/>
              </w:rPr>
              <w:t>6.9</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Massive Random Access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_Toc42177283 \h </w:instrText>
            </w:r>
            <w:r w:rsidR="00A53696" w:rsidRPr="00A53696">
              <w:rPr>
                <w:b w:val="0"/>
                <w:webHidden/>
                <w:sz w:val="20"/>
              </w:rPr>
            </w:r>
            <w:r w:rsidR="00A53696" w:rsidRPr="00A53696">
              <w:rPr>
                <w:b w:val="0"/>
                <w:webHidden/>
                <w:sz w:val="20"/>
              </w:rPr>
              <w:fldChar w:fldCharType="separate"/>
            </w:r>
            <w:r w:rsidR="003F0180">
              <w:rPr>
                <w:b w:val="0"/>
                <w:webHidden/>
                <w:sz w:val="20"/>
              </w:rPr>
              <w:t>103</w:t>
            </w:r>
            <w:r w:rsidR="00A53696" w:rsidRPr="00A53696">
              <w:rPr>
                <w:b w:val="0"/>
                <w:webHidden/>
                <w:sz w:val="20"/>
              </w:rPr>
              <w:fldChar w:fldCharType="end"/>
            </w:r>
          </w:hyperlink>
        </w:p>
        <w:p w14:paraId="1193BD6B" w14:textId="21198779" w:rsidR="00A53696" w:rsidRPr="00A53696" w:rsidRDefault="000C66C8">
          <w:pPr>
            <w:pStyle w:val="TOC2"/>
            <w:rPr>
              <w:rFonts w:asciiTheme="minorHAnsi" w:eastAsiaTheme="minorEastAsia" w:hAnsiTheme="minorHAnsi" w:cstheme="minorBidi"/>
              <w:b w:val="0"/>
              <w:color w:val="auto"/>
              <w:sz w:val="20"/>
              <w:lang w:eastAsia="en-GB"/>
            </w:rPr>
          </w:pPr>
          <w:hyperlink w:anchor="_Toc42177284" w:history="1">
            <w:r w:rsidR="00A53696" w:rsidRPr="00A53696">
              <w:rPr>
                <w:rStyle w:val="Hyperlink"/>
                <w:rFonts w:cs="Arial"/>
                <w:b w:val="0"/>
                <w:sz w:val="20"/>
              </w:rPr>
              <w:t>6.10</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Wireless Edge Caching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_Toc42177284 \h </w:instrText>
            </w:r>
            <w:r w:rsidR="00A53696" w:rsidRPr="00A53696">
              <w:rPr>
                <w:b w:val="0"/>
                <w:webHidden/>
                <w:sz w:val="20"/>
              </w:rPr>
            </w:r>
            <w:r w:rsidR="00A53696" w:rsidRPr="00A53696">
              <w:rPr>
                <w:b w:val="0"/>
                <w:webHidden/>
                <w:sz w:val="20"/>
              </w:rPr>
              <w:fldChar w:fldCharType="separate"/>
            </w:r>
            <w:r w:rsidR="003F0180">
              <w:rPr>
                <w:b w:val="0"/>
                <w:webHidden/>
                <w:sz w:val="20"/>
              </w:rPr>
              <w:t>105</w:t>
            </w:r>
            <w:r w:rsidR="00A53696" w:rsidRPr="00A53696">
              <w:rPr>
                <w:b w:val="0"/>
                <w:webHidden/>
                <w:sz w:val="20"/>
              </w:rPr>
              <w:fldChar w:fldCharType="end"/>
            </w:r>
          </w:hyperlink>
        </w:p>
        <w:p w14:paraId="6BD65E60" w14:textId="1CAC9A10"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285" w:history="1">
            <w:r w:rsidR="00A53696" w:rsidRPr="00A53696">
              <w:rPr>
                <w:rStyle w:val="Hyperlink"/>
                <w:rFonts w:cstheme="minorHAnsi"/>
                <w:sz w:val="20"/>
              </w:rPr>
              <w:t>7.</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Optical networks</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_Toc42177285 \h </w:instrText>
            </w:r>
            <w:r w:rsidR="00A53696" w:rsidRPr="00A53696">
              <w:rPr>
                <w:webHidden/>
                <w:sz w:val="20"/>
              </w:rPr>
            </w:r>
            <w:r w:rsidR="00A53696" w:rsidRPr="00A53696">
              <w:rPr>
                <w:webHidden/>
                <w:sz w:val="20"/>
              </w:rPr>
              <w:fldChar w:fldCharType="separate"/>
            </w:r>
            <w:r w:rsidR="003F0180">
              <w:rPr>
                <w:webHidden/>
                <w:sz w:val="20"/>
              </w:rPr>
              <w:t>107</w:t>
            </w:r>
            <w:r w:rsidR="00A53696" w:rsidRPr="00A53696">
              <w:rPr>
                <w:webHidden/>
                <w:sz w:val="20"/>
              </w:rPr>
              <w:fldChar w:fldCharType="end"/>
            </w:r>
          </w:hyperlink>
        </w:p>
        <w:p w14:paraId="19EF8509" w14:textId="03BD705A" w:rsidR="00A53696" w:rsidRPr="00A53696" w:rsidRDefault="000C66C8">
          <w:pPr>
            <w:pStyle w:val="TOC2"/>
            <w:rPr>
              <w:rFonts w:asciiTheme="minorHAnsi" w:eastAsiaTheme="minorEastAsia" w:hAnsiTheme="minorHAnsi" w:cstheme="minorBidi"/>
              <w:b w:val="0"/>
              <w:color w:val="auto"/>
              <w:sz w:val="20"/>
              <w:lang w:eastAsia="en-GB"/>
            </w:rPr>
          </w:pPr>
          <w:hyperlink w:anchor="_Toc42177286" w:history="1">
            <w:r w:rsidR="00A53696" w:rsidRPr="00A53696">
              <w:rPr>
                <w:rStyle w:val="Hyperlink"/>
                <w:b w:val="0"/>
                <w:sz w:val="20"/>
              </w:rPr>
              <w:t>7.1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Sustainable capacity scaling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_Toc42177286 \h </w:instrText>
            </w:r>
            <w:r w:rsidR="00A53696" w:rsidRPr="00A53696">
              <w:rPr>
                <w:b w:val="0"/>
                <w:webHidden/>
                <w:sz w:val="20"/>
              </w:rPr>
            </w:r>
            <w:r w:rsidR="00A53696" w:rsidRPr="00A53696">
              <w:rPr>
                <w:b w:val="0"/>
                <w:webHidden/>
                <w:sz w:val="20"/>
              </w:rPr>
              <w:fldChar w:fldCharType="separate"/>
            </w:r>
            <w:r w:rsidR="003F0180">
              <w:rPr>
                <w:b w:val="0"/>
                <w:webHidden/>
                <w:sz w:val="20"/>
              </w:rPr>
              <w:t>108</w:t>
            </w:r>
            <w:r w:rsidR="00A53696" w:rsidRPr="00A53696">
              <w:rPr>
                <w:b w:val="0"/>
                <w:webHidden/>
                <w:sz w:val="20"/>
              </w:rPr>
              <w:fldChar w:fldCharType="end"/>
            </w:r>
          </w:hyperlink>
        </w:p>
        <w:p w14:paraId="14CF5D00" w14:textId="33D2F642" w:rsidR="00A53696" w:rsidRPr="00A53696" w:rsidRDefault="000C66C8">
          <w:pPr>
            <w:pStyle w:val="TOC2"/>
            <w:rPr>
              <w:rFonts w:asciiTheme="minorHAnsi" w:eastAsiaTheme="minorEastAsia" w:hAnsiTheme="minorHAnsi" w:cstheme="minorBidi"/>
              <w:b w:val="0"/>
              <w:color w:val="auto"/>
              <w:sz w:val="20"/>
              <w:lang w:eastAsia="en-GB"/>
            </w:rPr>
          </w:pPr>
          <w:hyperlink w:anchor="_Toc42177287" w:history="1">
            <w:r w:rsidR="00A53696" w:rsidRPr="00A53696">
              <w:rPr>
                <w:rStyle w:val="Hyperlink"/>
                <w:b w:val="0"/>
                <w:sz w:val="20"/>
              </w:rPr>
              <w:t>7.2</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New switching paradigms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_Toc42177287 \h </w:instrText>
            </w:r>
            <w:r w:rsidR="00A53696" w:rsidRPr="00A53696">
              <w:rPr>
                <w:b w:val="0"/>
                <w:webHidden/>
                <w:sz w:val="20"/>
              </w:rPr>
            </w:r>
            <w:r w:rsidR="00A53696" w:rsidRPr="00A53696">
              <w:rPr>
                <w:b w:val="0"/>
                <w:webHidden/>
                <w:sz w:val="20"/>
              </w:rPr>
              <w:fldChar w:fldCharType="separate"/>
            </w:r>
            <w:r w:rsidR="003F0180">
              <w:rPr>
                <w:b w:val="0"/>
                <w:webHidden/>
                <w:sz w:val="20"/>
              </w:rPr>
              <w:t>109</w:t>
            </w:r>
            <w:r w:rsidR="00A53696" w:rsidRPr="00A53696">
              <w:rPr>
                <w:b w:val="0"/>
                <w:webHidden/>
                <w:sz w:val="20"/>
              </w:rPr>
              <w:fldChar w:fldCharType="end"/>
            </w:r>
          </w:hyperlink>
        </w:p>
        <w:p w14:paraId="722F7B59" w14:textId="4C05FAE0" w:rsidR="00A53696" w:rsidRPr="00A53696" w:rsidRDefault="000C66C8">
          <w:pPr>
            <w:pStyle w:val="TOC2"/>
            <w:rPr>
              <w:rFonts w:asciiTheme="minorHAnsi" w:eastAsiaTheme="minorEastAsia" w:hAnsiTheme="minorHAnsi" w:cstheme="minorBidi"/>
              <w:b w:val="0"/>
              <w:color w:val="auto"/>
              <w:sz w:val="20"/>
              <w:lang w:eastAsia="en-GB"/>
            </w:rPr>
          </w:pPr>
          <w:hyperlink w:anchor="_Toc42177288" w:history="1">
            <w:r w:rsidR="00A53696" w:rsidRPr="00A53696">
              <w:rPr>
                <w:rStyle w:val="Hyperlink"/>
                <w:b w:val="0"/>
                <w:sz w:val="20"/>
              </w:rPr>
              <w:t>7.3</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Deterministic networking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_Toc42177288 \h </w:instrText>
            </w:r>
            <w:r w:rsidR="00A53696" w:rsidRPr="00A53696">
              <w:rPr>
                <w:b w:val="0"/>
                <w:webHidden/>
                <w:sz w:val="20"/>
              </w:rPr>
            </w:r>
            <w:r w:rsidR="00A53696" w:rsidRPr="00A53696">
              <w:rPr>
                <w:b w:val="0"/>
                <w:webHidden/>
                <w:sz w:val="20"/>
              </w:rPr>
              <w:fldChar w:fldCharType="separate"/>
            </w:r>
            <w:r w:rsidR="003F0180">
              <w:rPr>
                <w:b w:val="0"/>
                <w:webHidden/>
                <w:sz w:val="20"/>
              </w:rPr>
              <w:t>110</w:t>
            </w:r>
            <w:r w:rsidR="00A53696" w:rsidRPr="00A53696">
              <w:rPr>
                <w:b w:val="0"/>
                <w:webHidden/>
                <w:sz w:val="20"/>
              </w:rPr>
              <w:fldChar w:fldCharType="end"/>
            </w:r>
          </w:hyperlink>
        </w:p>
        <w:p w14:paraId="229C07EF" w14:textId="7E4E01B4" w:rsidR="00A53696" w:rsidRPr="00A53696" w:rsidRDefault="000C66C8">
          <w:pPr>
            <w:pStyle w:val="TOC2"/>
            <w:rPr>
              <w:rFonts w:asciiTheme="minorHAnsi" w:eastAsiaTheme="minorEastAsia" w:hAnsiTheme="minorHAnsi" w:cstheme="minorBidi"/>
              <w:b w:val="0"/>
              <w:color w:val="auto"/>
              <w:sz w:val="20"/>
              <w:lang w:eastAsia="en-GB"/>
            </w:rPr>
          </w:pPr>
          <w:hyperlink w:anchor="_Toc42177289" w:history="1">
            <w:r w:rsidR="00A53696" w:rsidRPr="00A53696">
              <w:rPr>
                <w:rStyle w:val="Hyperlink"/>
                <w:b w:val="0"/>
                <w:sz w:val="20"/>
              </w:rPr>
              <w:t>7.4</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Optical wireless integration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_Toc42177289 \h </w:instrText>
            </w:r>
            <w:r w:rsidR="00A53696" w:rsidRPr="00A53696">
              <w:rPr>
                <w:b w:val="0"/>
                <w:webHidden/>
                <w:sz w:val="20"/>
              </w:rPr>
            </w:r>
            <w:r w:rsidR="00A53696" w:rsidRPr="00A53696">
              <w:rPr>
                <w:b w:val="0"/>
                <w:webHidden/>
                <w:sz w:val="20"/>
              </w:rPr>
              <w:fldChar w:fldCharType="separate"/>
            </w:r>
            <w:r w:rsidR="003F0180">
              <w:rPr>
                <w:b w:val="0"/>
                <w:webHidden/>
                <w:sz w:val="20"/>
              </w:rPr>
              <w:t>111</w:t>
            </w:r>
            <w:r w:rsidR="00A53696" w:rsidRPr="00A53696">
              <w:rPr>
                <w:b w:val="0"/>
                <w:webHidden/>
                <w:sz w:val="20"/>
              </w:rPr>
              <w:fldChar w:fldCharType="end"/>
            </w:r>
          </w:hyperlink>
        </w:p>
        <w:p w14:paraId="56E92660" w14:textId="65C6778E" w:rsidR="00A53696" w:rsidRPr="00A53696" w:rsidRDefault="000C66C8">
          <w:pPr>
            <w:pStyle w:val="TOC2"/>
            <w:rPr>
              <w:rFonts w:asciiTheme="minorHAnsi" w:eastAsiaTheme="minorEastAsia" w:hAnsiTheme="minorHAnsi" w:cstheme="minorBidi"/>
              <w:b w:val="0"/>
              <w:color w:val="auto"/>
              <w:sz w:val="20"/>
              <w:lang w:eastAsia="en-GB"/>
            </w:rPr>
          </w:pPr>
          <w:hyperlink w:anchor="_Toc42177290" w:history="1">
            <w:r w:rsidR="00A53696" w:rsidRPr="00A53696">
              <w:rPr>
                <w:rStyle w:val="Hyperlink"/>
                <w:b w:val="0"/>
                <w:sz w:val="20"/>
              </w:rPr>
              <w:t>7.5</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Optical network automation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_Toc42177290 \h </w:instrText>
            </w:r>
            <w:r w:rsidR="00A53696" w:rsidRPr="00A53696">
              <w:rPr>
                <w:b w:val="0"/>
                <w:webHidden/>
                <w:sz w:val="20"/>
              </w:rPr>
            </w:r>
            <w:r w:rsidR="00A53696" w:rsidRPr="00A53696">
              <w:rPr>
                <w:b w:val="0"/>
                <w:webHidden/>
                <w:sz w:val="20"/>
              </w:rPr>
              <w:fldChar w:fldCharType="separate"/>
            </w:r>
            <w:r w:rsidR="003F0180">
              <w:rPr>
                <w:b w:val="0"/>
                <w:webHidden/>
                <w:sz w:val="20"/>
              </w:rPr>
              <w:t>113</w:t>
            </w:r>
            <w:r w:rsidR="00A53696" w:rsidRPr="00A53696">
              <w:rPr>
                <w:b w:val="0"/>
                <w:webHidden/>
                <w:sz w:val="20"/>
              </w:rPr>
              <w:fldChar w:fldCharType="end"/>
            </w:r>
          </w:hyperlink>
        </w:p>
        <w:p w14:paraId="497226D0" w14:textId="4079235D" w:rsidR="00A53696" w:rsidRPr="00A53696" w:rsidRDefault="000C66C8">
          <w:pPr>
            <w:pStyle w:val="TOC2"/>
            <w:rPr>
              <w:rFonts w:asciiTheme="minorHAnsi" w:eastAsiaTheme="minorEastAsia" w:hAnsiTheme="minorHAnsi" w:cstheme="minorBidi"/>
              <w:b w:val="0"/>
              <w:color w:val="auto"/>
              <w:sz w:val="20"/>
              <w:lang w:eastAsia="en-GB"/>
            </w:rPr>
          </w:pPr>
          <w:hyperlink w:anchor="_Toc42177291" w:history="1">
            <w:r w:rsidR="00A53696" w:rsidRPr="00A53696">
              <w:rPr>
                <w:rStyle w:val="Hyperlink"/>
                <w:b w:val="0"/>
                <w:sz w:val="20"/>
              </w:rPr>
              <w:t>7.6</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Security for mission critical services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_Toc42177291 \h </w:instrText>
            </w:r>
            <w:r w:rsidR="00A53696" w:rsidRPr="00A53696">
              <w:rPr>
                <w:b w:val="0"/>
                <w:webHidden/>
                <w:sz w:val="20"/>
              </w:rPr>
            </w:r>
            <w:r w:rsidR="00A53696" w:rsidRPr="00A53696">
              <w:rPr>
                <w:b w:val="0"/>
                <w:webHidden/>
                <w:sz w:val="20"/>
              </w:rPr>
              <w:fldChar w:fldCharType="separate"/>
            </w:r>
            <w:r w:rsidR="003F0180">
              <w:rPr>
                <w:b w:val="0"/>
                <w:webHidden/>
                <w:sz w:val="20"/>
              </w:rPr>
              <w:t>115</w:t>
            </w:r>
            <w:r w:rsidR="00A53696" w:rsidRPr="00A53696">
              <w:rPr>
                <w:b w:val="0"/>
                <w:webHidden/>
                <w:sz w:val="20"/>
              </w:rPr>
              <w:fldChar w:fldCharType="end"/>
            </w:r>
          </w:hyperlink>
        </w:p>
        <w:p w14:paraId="3B47CFA8" w14:textId="175EBAAC" w:rsidR="00A53696" w:rsidRPr="00A53696" w:rsidRDefault="000C66C8">
          <w:pPr>
            <w:pStyle w:val="TOC2"/>
            <w:rPr>
              <w:rFonts w:asciiTheme="minorHAnsi" w:eastAsiaTheme="minorEastAsia" w:hAnsiTheme="minorHAnsi" w:cstheme="minorBidi"/>
              <w:b w:val="0"/>
              <w:color w:val="auto"/>
              <w:sz w:val="20"/>
              <w:lang w:eastAsia="en-GB"/>
            </w:rPr>
          </w:pPr>
          <w:hyperlink w:anchor="_Toc42177292" w:history="1">
            <w:r w:rsidR="00A53696" w:rsidRPr="00A53696">
              <w:rPr>
                <w:rStyle w:val="Hyperlink"/>
                <w:b w:val="0"/>
                <w:sz w:val="20"/>
              </w:rPr>
              <w:t>7.7</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Ultra-high energy efficiency</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_Toc42177292 \h </w:instrText>
            </w:r>
            <w:r w:rsidR="00A53696" w:rsidRPr="00A53696">
              <w:rPr>
                <w:b w:val="0"/>
                <w:webHidden/>
                <w:sz w:val="20"/>
              </w:rPr>
            </w:r>
            <w:r w:rsidR="00A53696" w:rsidRPr="00A53696">
              <w:rPr>
                <w:b w:val="0"/>
                <w:webHidden/>
                <w:sz w:val="20"/>
              </w:rPr>
              <w:fldChar w:fldCharType="separate"/>
            </w:r>
            <w:r w:rsidR="003F0180">
              <w:rPr>
                <w:b w:val="0"/>
                <w:webHidden/>
                <w:sz w:val="20"/>
              </w:rPr>
              <w:t>116</w:t>
            </w:r>
            <w:r w:rsidR="00A53696" w:rsidRPr="00A53696">
              <w:rPr>
                <w:b w:val="0"/>
                <w:webHidden/>
                <w:sz w:val="20"/>
              </w:rPr>
              <w:fldChar w:fldCharType="end"/>
            </w:r>
          </w:hyperlink>
        </w:p>
        <w:p w14:paraId="4CF62E8E" w14:textId="3ECACE69" w:rsidR="00A53696" w:rsidRPr="00A53696" w:rsidRDefault="000C66C8">
          <w:pPr>
            <w:pStyle w:val="TOC2"/>
            <w:rPr>
              <w:rFonts w:asciiTheme="minorHAnsi" w:eastAsiaTheme="minorEastAsia" w:hAnsiTheme="minorHAnsi" w:cstheme="minorBidi"/>
              <w:b w:val="0"/>
              <w:color w:val="auto"/>
              <w:sz w:val="20"/>
              <w:lang w:eastAsia="en-GB"/>
            </w:rPr>
          </w:pPr>
          <w:hyperlink w:anchor="_Toc42177293" w:history="1">
            <w:r w:rsidR="00A53696" w:rsidRPr="00A53696">
              <w:rPr>
                <w:rStyle w:val="Hyperlink"/>
                <w:b w:val="0"/>
                <w:sz w:val="20"/>
              </w:rPr>
              <w:t>7.8</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Optical integration 2.0</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_Toc42177293 \h </w:instrText>
            </w:r>
            <w:r w:rsidR="00A53696" w:rsidRPr="00A53696">
              <w:rPr>
                <w:b w:val="0"/>
                <w:webHidden/>
                <w:sz w:val="20"/>
              </w:rPr>
            </w:r>
            <w:r w:rsidR="00A53696" w:rsidRPr="00A53696">
              <w:rPr>
                <w:b w:val="0"/>
                <w:webHidden/>
                <w:sz w:val="20"/>
              </w:rPr>
              <w:fldChar w:fldCharType="separate"/>
            </w:r>
            <w:r w:rsidR="003F0180">
              <w:rPr>
                <w:b w:val="0"/>
                <w:webHidden/>
                <w:sz w:val="20"/>
              </w:rPr>
              <w:t>116</w:t>
            </w:r>
            <w:r w:rsidR="00A53696" w:rsidRPr="00A53696">
              <w:rPr>
                <w:b w:val="0"/>
                <w:webHidden/>
                <w:sz w:val="20"/>
              </w:rPr>
              <w:fldChar w:fldCharType="end"/>
            </w:r>
          </w:hyperlink>
        </w:p>
        <w:p w14:paraId="1B64E537" w14:textId="6BBF7752"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294" w:history="1">
            <w:r w:rsidR="00A53696" w:rsidRPr="00A53696">
              <w:rPr>
                <w:rStyle w:val="Hyperlink"/>
                <w:rFonts w:cstheme="minorHAnsi"/>
                <w:sz w:val="20"/>
              </w:rPr>
              <w:t>8.</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Network and Service Security</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_Toc42177294 \h </w:instrText>
            </w:r>
            <w:r w:rsidR="00A53696" w:rsidRPr="00A53696">
              <w:rPr>
                <w:webHidden/>
                <w:sz w:val="20"/>
              </w:rPr>
            </w:r>
            <w:r w:rsidR="00A53696" w:rsidRPr="00A53696">
              <w:rPr>
                <w:webHidden/>
                <w:sz w:val="20"/>
              </w:rPr>
              <w:fldChar w:fldCharType="separate"/>
            </w:r>
            <w:r w:rsidR="003F0180">
              <w:rPr>
                <w:webHidden/>
                <w:sz w:val="20"/>
              </w:rPr>
              <w:t>118</w:t>
            </w:r>
            <w:r w:rsidR="00A53696" w:rsidRPr="00A53696">
              <w:rPr>
                <w:webHidden/>
                <w:sz w:val="20"/>
              </w:rPr>
              <w:fldChar w:fldCharType="end"/>
            </w:r>
          </w:hyperlink>
        </w:p>
        <w:p w14:paraId="08BA2A7A" w14:textId="6EE9B2BA" w:rsidR="00A53696" w:rsidRPr="00A53696" w:rsidRDefault="000C66C8">
          <w:pPr>
            <w:pStyle w:val="TOC2"/>
            <w:rPr>
              <w:rFonts w:asciiTheme="minorHAnsi" w:eastAsiaTheme="minorEastAsia" w:hAnsiTheme="minorHAnsi" w:cstheme="minorBidi"/>
              <w:b w:val="0"/>
              <w:color w:val="auto"/>
              <w:sz w:val="20"/>
              <w:lang w:eastAsia="en-GB"/>
            </w:rPr>
          </w:pPr>
          <w:hyperlink w:anchor="_Toc42177295" w:history="1">
            <w:r w:rsidR="00A53696" w:rsidRPr="00A53696">
              <w:rPr>
                <w:rStyle w:val="Hyperlink"/>
                <w:b w:val="0"/>
                <w:sz w:val="20"/>
              </w:rPr>
              <w:t>8.1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Rationales for Security Transformation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_Toc42177295 \h </w:instrText>
            </w:r>
            <w:r w:rsidR="00A53696" w:rsidRPr="00A53696">
              <w:rPr>
                <w:b w:val="0"/>
                <w:webHidden/>
                <w:sz w:val="20"/>
              </w:rPr>
            </w:r>
            <w:r w:rsidR="00A53696" w:rsidRPr="00A53696">
              <w:rPr>
                <w:b w:val="0"/>
                <w:webHidden/>
                <w:sz w:val="20"/>
              </w:rPr>
              <w:fldChar w:fldCharType="separate"/>
            </w:r>
            <w:r w:rsidR="003F0180">
              <w:rPr>
                <w:b w:val="0"/>
                <w:webHidden/>
                <w:sz w:val="20"/>
              </w:rPr>
              <w:t>118</w:t>
            </w:r>
            <w:r w:rsidR="00A53696" w:rsidRPr="00A53696">
              <w:rPr>
                <w:b w:val="0"/>
                <w:webHidden/>
                <w:sz w:val="20"/>
              </w:rPr>
              <w:fldChar w:fldCharType="end"/>
            </w:r>
          </w:hyperlink>
        </w:p>
        <w:p w14:paraId="68FC4656" w14:textId="761E216F"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96" w:history="1">
            <w:r w:rsidR="00A53696" w:rsidRPr="00A53696">
              <w:rPr>
                <w:rStyle w:val="Hyperlink"/>
                <w:sz w:val="18"/>
              </w:rPr>
              <w:t>8.1.1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Change in system nature</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_Toc42177296 \h </w:instrText>
            </w:r>
            <w:r w:rsidR="00A53696" w:rsidRPr="00A53696">
              <w:rPr>
                <w:webHidden/>
                <w:sz w:val="18"/>
              </w:rPr>
            </w:r>
            <w:r w:rsidR="00A53696" w:rsidRPr="00A53696">
              <w:rPr>
                <w:webHidden/>
                <w:sz w:val="18"/>
              </w:rPr>
              <w:fldChar w:fldCharType="separate"/>
            </w:r>
            <w:r w:rsidR="003F0180">
              <w:rPr>
                <w:webHidden/>
                <w:sz w:val="18"/>
              </w:rPr>
              <w:t>119</w:t>
            </w:r>
            <w:r w:rsidR="00A53696" w:rsidRPr="00A53696">
              <w:rPr>
                <w:webHidden/>
                <w:sz w:val="18"/>
              </w:rPr>
              <w:fldChar w:fldCharType="end"/>
            </w:r>
          </w:hyperlink>
        </w:p>
        <w:p w14:paraId="31233E0A" w14:textId="76156E70"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97" w:history="1">
            <w:r w:rsidR="00A53696" w:rsidRPr="00A53696">
              <w:rPr>
                <w:rStyle w:val="Hyperlink"/>
                <w:sz w:val="18"/>
              </w:rPr>
              <w:t>8.1.2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Disruptive Technologies integration</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_Toc42177297 \h </w:instrText>
            </w:r>
            <w:r w:rsidR="00A53696" w:rsidRPr="00A53696">
              <w:rPr>
                <w:webHidden/>
                <w:sz w:val="18"/>
              </w:rPr>
            </w:r>
            <w:r w:rsidR="00A53696" w:rsidRPr="00A53696">
              <w:rPr>
                <w:webHidden/>
                <w:sz w:val="18"/>
              </w:rPr>
              <w:fldChar w:fldCharType="separate"/>
            </w:r>
            <w:r w:rsidR="003F0180">
              <w:rPr>
                <w:webHidden/>
                <w:sz w:val="18"/>
              </w:rPr>
              <w:t>121</w:t>
            </w:r>
            <w:r w:rsidR="00A53696" w:rsidRPr="00A53696">
              <w:rPr>
                <w:webHidden/>
                <w:sz w:val="18"/>
              </w:rPr>
              <w:fldChar w:fldCharType="end"/>
            </w:r>
          </w:hyperlink>
        </w:p>
        <w:p w14:paraId="300FD595" w14:textId="7CB6F731"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98" w:history="1">
            <w:r w:rsidR="00A53696" w:rsidRPr="00A53696">
              <w:rPr>
                <w:rStyle w:val="Hyperlink"/>
                <w:sz w:val="18"/>
              </w:rPr>
              <w:t>8.1.3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Change in Security grade expectation</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_Toc42177298 \h </w:instrText>
            </w:r>
            <w:r w:rsidR="00A53696" w:rsidRPr="00A53696">
              <w:rPr>
                <w:webHidden/>
                <w:sz w:val="18"/>
              </w:rPr>
            </w:r>
            <w:r w:rsidR="00A53696" w:rsidRPr="00A53696">
              <w:rPr>
                <w:webHidden/>
                <w:sz w:val="18"/>
              </w:rPr>
              <w:fldChar w:fldCharType="separate"/>
            </w:r>
            <w:r w:rsidR="003F0180">
              <w:rPr>
                <w:webHidden/>
                <w:sz w:val="18"/>
              </w:rPr>
              <w:t>123</w:t>
            </w:r>
            <w:r w:rsidR="00A53696" w:rsidRPr="00A53696">
              <w:rPr>
                <w:webHidden/>
                <w:sz w:val="18"/>
              </w:rPr>
              <w:fldChar w:fldCharType="end"/>
            </w:r>
          </w:hyperlink>
        </w:p>
        <w:p w14:paraId="6A8187B3" w14:textId="3DE311F0"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299" w:history="1">
            <w:r w:rsidR="00A53696" w:rsidRPr="00A53696">
              <w:rPr>
                <w:rStyle w:val="Hyperlink"/>
                <w:sz w:val="18"/>
              </w:rPr>
              <w:t>8.1.4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Change in scope</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_Toc42177299 \h </w:instrText>
            </w:r>
            <w:r w:rsidR="00A53696" w:rsidRPr="00A53696">
              <w:rPr>
                <w:webHidden/>
                <w:sz w:val="18"/>
              </w:rPr>
            </w:r>
            <w:r w:rsidR="00A53696" w:rsidRPr="00A53696">
              <w:rPr>
                <w:webHidden/>
                <w:sz w:val="18"/>
              </w:rPr>
              <w:fldChar w:fldCharType="separate"/>
            </w:r>
            <w:r w:rsidR="003F0180">
              <w:rPr>
                <w:webHidden/>
                <w:sz w:val="18"/>
              </w:rPr>
              <w:t>124</w:t>
            </w:r>
            <w:r w:rsidR="00A53696" w:rsidRPr="00A53696">
              <w:rPr>
                <w:webHidden/>
                <w:sz w:val="18"/>
              </w:rPr>
              <w:fldChar w:fldCharType="end"/>
            </w:r>
          </w:hyperlink>
        </w:p>
        <w:p w14:paraId="063FBE50" w14:textId="243AC900" w:rsidR="00A53696" w:rsidRPr="00A53696" w:rsidRDefault="000C66C8">
          <w:pPr>
            <w:pStyle w:val="TOC2"/>
            <w:rPr>
              <w:rFonts w:asciiTheme="minorHAnsi" w:eastAsiaTheme="minorEastAsia" w:hAnsiTheme="minorHAnsi" w:cstheme="minorBidi"/>
              <w:b w:val="0"/>
              <w:color w:val="auto"/>
              <w:sz w:val="20"/>
              <w:lang w:eastAsia="en-GB"/>
            </w:rPr>
          </w:pPr>
          <w:hyperlink w:anchor="_Toc42177300" w:history="1">
            <w:r w:rsidR="00A53696" w:rsidRPr="00A53696">
              <w:rPr>
                <w:rStyle w:val="Hyperlink"/>
                <w:rFonts w:cs="Arial"/>
                <w:b w:val="0"/>
                <w:sz w:val="20"/>
              </w:rPr>
              <w:t>8.2</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System-wide Security challenges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_Toc42177300 \h </w:instrText>
            </w:r>
            <w:r w:rsidR="00A53696" w:rsidRPr="00A53696">
              <w:rPr>
                <w:b w:val="0"/>
                <w:webHidden/>
                <w:sz w:val="20"/>
              </w:rPr>
            </w:r>
            <w:r w:rsidR="00A53696" w:rsidRPr="00A53696">
              <w:rPr>
                <w:b w:val="0"/>
                <w:webHidden/>
                <w:sz w:val="20"/>
              </w:rPr>
              <w:fldChar w:fldCharType="separate"/>
            </w:r>
            <w:r w:rsidR="003F0180">
              <w:rPr>
                <w:b w:val="0"/>
                <w:webHidden/>
                <w:sz w:val="20"/>
              </w:rPr>
              <w:t>125</w:t>
            </w:r>
            <w:r w:rsidR="00A53696" w:rsidRPr="00A53696">
              <w:rPr>
                <w:b w:val="0"/>
                <w:webHidden/>
                <w:sz w:val="20"/>
              </w:rPr>
              <w:fldChar w:fldCharType="end"/>
            </w:r>
          </w:hyperlink>
        </w:p>
        <w:p w14:paraId="5674C632" w14:textId="2664123D"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01" w:history="1">
            <w:r w:rsidR="00A53696" w:rsidRPr="00A53696">
              <w:rPr>
                <w:rStyle w:val="Hyperlink"/>
                <w:sz w:val="18"/>
                <w:lang w:val="en-US"/>
              </w:rPr>
              <w:t>8.2.1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Further Security challenges in phases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_Toc42177301 \h </w:instrText>
            </w:r>
            <w:r w:rsidR="00A53696" w:rsidRPr="00A53696">
              <w:rPr>
                <w:webHidden/>
                <w:sz w:val="18"/>
              </w:rPr>
            </w:r>
            <w:r w:rsidR="00A53696" w:rsidRPr="00A53696">
              <w:rPr>
                <w:webHidden/>
                <w:sz w:val="18"/>
              </w:rPr>
              <w:fldChar w:fldCharType="separate"/>
            </w:r>
            <w:r w:rsidR="003F0180">
              <w:rPr>
                <w:webHidden/>
                <w:sz w:val="18"/>
              </w:rPr>
              <w:t>125</w:t>
            </w:r>
            <w:r w:rsidR="00A53696" w:rsidRPr="00A53696">
              <w:rPr>
                <w:webHidden/>
                <w:sz w:val="18"/>
              </w:rPr>
              <w:fldChar w:fldCharType="end"/>
            </w:r>
          </w:hyperlink>
        </w:p>
        <w:p w14:paraId="58E462C6" w14:textId="240879D2"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02" w:history="1">
            <w:r w:rsidR="00A53696" w:rsidRPr="00A53696">
              <w:rPr>
                <w:rStyle w:val="Hyperlink"/>
                <w:sz w:val="18"/>
                <w:lang w:val="en-US"/>
              </w:rPr>
              <w:t>8.2.2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Specific challenges as per SNS architecture</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_Toc42177302 \h </w:instrText>
            </w:r>
            <w:r w:rsidR="00A53696" w:rsidRPr="00A53696">
              <w:rPr>
                <w:webHidden/>
                <w:sz w:val="18"/>
              </w:rPr>
            </w:r>
            <w:r w:rsidR="00A53696" w:rsidRPr="00A53696">
              <w:rPr>
                <w:webHidden/>
                <w:sz w:val="18"/>
              </w:rPr>
              <w:fldChar w:fldCharType="separate"/>
            </w:r>
            <w:r w:rsidR="003F0180">
              <w:rPr>
                <w:webHidden/>
                <w:sz w:val="18"/>
              </w:rPr>
              <w:t>126</w:t>
            </w:r>
            <w:r w:rsidR="00A53696" w:rsidRPr="00A53696">
              <w:rPr>
                <w:webHidden/>
                <w:sz w:val="18"/>
              </w:rPr>
              <w:fldChar w:fldCharType="end"/>
            </w:r>
          </w:hyperlink>
        </w:p>
        <w:p w14:paraId="4CAE3460" w14:textId="5D207F07" w:rsidR="00A53696" w:rsidRPr="00A53696" w:rsidRDefault="000C66C8">
          <w:pPr>
            <w:pStyle w:val="TOC2"/>
            <w:rPr>
              <w:rFonts w:asciiTheme="minorHAnsi" w:eastAsiaTheme="minorEastAsia" w:hAnsiTheme="minorHAnsi" w:cstheme="minorBidi"/>
              <w:b w:val="0"/>
              <w:color w:val="auto"/>
              <w:sz w:val="20"/>
              <w:lang w:eastAsia="en-GB"/>
            </w:rPr>
          </w:pPr>
          <w:hyperlink w:anchor="_Toc42177303" w:history="1">
            <w:r w:rsidR="00A53696" w:rsidRPr="00A53696">
              <w:rPr>
                <w:rStyle w:val="Hyperlink"/>
                <w:rFonts w:cs="Arial"/>
                <w:b w:val="0"/>
                <w:sz w:val="20"/>
              </w:rPr>
              <w:t>8.3</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Operational Security Research directions for System &amp; Services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_Toc42177303 \h </w:instrText>
            </w:r>
            <w:r w:rsidR="00A53696" w:rsidRPr="00A53696">
              <w:rPr>
                <w:b w:val="0"/>
                <w:webHidden/>
                <w:sz w:val="20"/>
              </w:rPr>
            </w:r>
            <w:r w:rsidR="00A53696" w:rsidRPr="00A53696">
              <w:rPr>
                <w:b w:val="0"/>
                <w:webHidden/>
                <w:sz w:val="20"/>
              </w:rPr>
              <w:fldChar w:fldCharType="separate"/>
            </w:r>
            <w:r w:rsidR="003F0180">
              <w:rPr>
                <w:b w:val="0"/>
                <w:webHidden/>
                <w:sz w:val="20"/>
              </w:rPr>
              <w:t>129</w:t>
            </w:r>
            <w:r w:rsidR="00A53696" w:rsidRPr="00A53696">
              <w:rPr>
                <w:b w:val="0"/>
                <w:webHidden/>
                <w:sz w:val="20"/>
              </w:rPr>
              <w:fldChar w:fldCharType="end"/>
            </w:r>
          </w:hyperlink>
        </w:p>
        <w:p w14:paraId="521C16AC" w14:textId="5D843B69"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04" w:history="1">
            <w:r w:rsidR="00A53696" w:rsidRPr="00A53696">
              <w:rPr>
                <w:rStyle w:val="Hyperlink"/>
                <w:sz w:val="18"/>
              </w:rPr>
              <w:t>8.3.1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Security quantification</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_Toc42177304 \h </w:instrText>
            </w:r>
            <w:r w:rsidR="00A53696" w:rsidRPr="00A53696">
              <w:rPr>
                <w:webHidden/>
                <w:sz w:val="18"/>
              </w:rPr>
            </w:r>
            <w:r w:rsidR="00A53696" w:rsidRPr="00A53696">
              <w:rPr>
                <w:webHidden/>
                <w:sz w:val="18"/>
              </w:rPr>
              <w:fldChar w:fldCharType="separate"/>
            </w:r>
            <w:r w:rsidR="003F0180">
              <w:rPr>
                <w:webHidden/>
                <w:sz w:val="18"/>
              </w:rPr>
              <w:t>130</w:t>
            </w:r>
            <w:r w:rsidR="00A53696" w:rsidRPr="00A53696">
              <w:rPr>
                <w:webHidden/>
                <w:sz w:val="18"/>
              </w:rPr>
              <w:fldChar w:fldCharType="end"/>
            </w:r>
          </w:hyperlink>
        </w:p>
        <w:p w14:paraId="1A9EAF7C" w14:textId="43E04B8C"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05" w:history="1">
            <w:r w:rsidR="00A53696" w:rsidRPr="00A53696">
              <w:rPr>
                <w:rStyle w:val="Hyperlink"/>
                <w:sz w:val="18"/>
              </w:rPr>
              <w:t>8.3.2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Green Security</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_Toc42177305 \h </w:instrText>
            </w:r>
            <w:r w:rsidR="00A53696" w:rsidRPr="00A53696">
              <w:rPr>
                <w:webHidden/>
                <w:sz w:val="18"/>
              </w:rPr>
            </w:r>
            <w:r w:rsidR="00A53696" w:rsidRPr="00A53696">
              <w:rPr>
                <w:webHidden/>
                <w:sz w:val="18"/>
              </w:rPr>
              <w:fldChar w:fldCharType="separate"/>
            </w:r>
            <w:r w:rsidR="003F0180">
              <w:rPr>
                <w:webHidden/>
                <w:sz w:val="18"/>
              </w:rPr>
              <w:t>130</w:t>
            </w:r>
            <w:r w:rsidR="00A53696" w:rsidRPr="00A53696">
              <w:rPr>
                <w:webHidden/>
                <w:sz w:val="18"/>
              </w:rPr>
              <w:fldChar w:fldCharType="end"/>
            </w:r>
          </w:hyperlink>
        </w:p>
        <w:p w14:paraId="54BEEA35" w14:textId="52F090DF"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06" w:history="1">
            <w:r w:rsidR="00A53696" w:rsidRPr="00A53696">
              <w:rPr>
                <w:rStyle w:val="Hyperlink"/>
                <w:sz w:val="18"/>
              </w:rPr>
              <w:t>8.3.3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Security as a Service</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_Toc42177306 \h </w:instrText>
            </w:r>
            <w:r w:rsidR="00A53696" w:rsidRPr="00A53696">
              <w:rPr>
                <w:webHidden/>
                <w:sz w:val="18"/>
              </w:rPr>
            </w:r>
            <w:r w:rsidR="00A53696" w:rsidRPr="00A53696">
              <w:rPr>
                <w:webHidden/>
                <w:sz w:val="18"/>
              </w:rPr>
              <w:fldChar w:fldCharType="separate"/>
            </w:r>
            <w:r w:rsidR="003F0180">
              <w:rPr>
                <w:webHidden/>
                <w:sz w:val="18"/>
              </w:rPr>
              <w:t>131</w:t>
            </w:r>
            <w:r w:rsidR="00A53696" w:rsidRPr="00A53696">
              <w:rPr>
                <w:webHidden/>
                <w:sz w:val="18"/>
              </w:rPr>
              <w:fldChar w:fldCharType="end"/>
            </w:r>
          </w:hyperlink>
        </w:p>
        <w:p w14:paraId="3B2BDC01" w14:textId="03E8EDFD"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07" w:history="1">
            <w:r w:rsidR="00A53696" w:rsidRPr="00A53696">
              <w:rPr>
                <w:rStyle w:val="Hyperlink"/>
                <w:sz w:val="18"/>
              </w:rPr>
              <w:t>8.3.4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Security orchestration</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_Toc42177307 \h </w:instrText>
            </w:r>
            <w:r w:rsidR="00A53696" w:rsidRPr="00A53696">
              <w:rPr>
                <w:webHidden/>
                <w:sz w:val="18"/>
              </w:rPr>
            </w:r>
            <w:r w:rsidR="00A53696" w:rsidRPr="00A53696">
              <w:rPr>
                <w:webHidden/>
                <w:sz w:val="18"/>
              </w:rPr>
              <w:fldChar w:fldCharType="separate"/>
            </w:r>
            <w:r w:rsidR="003F0180">
              <w:rPr>
                <w:webHidden/>
                <w:sz w:val="18"/>
              </w:rPr>
              <w:t>131</w:t>
            </w:r>
            <w:r w:rsidR="00A53696" w:rsidRPr="00A53696">
              <w:rPr>
                <w:webHidden/>
                <w:sz w:val="18"/>
              </w:rPr>
              <w:fldChar w:fldCharType="end"/>
            </w:r>
          </w:hyperlink>
        </w:p>
        <w:p w14:paraId="1CA3E9A8" w14:textId="5D683176"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08" w:history="1">
            <w:r w:rsidR="00A53696" w:rsidRPr="00A53696">
              <w:rPr>
                <w:rStyle w:val="Hyperlink"/>
                <w:sz w:val="18"/>
                <w:lang w:val="en-US"/>
              </w:rPr>
              <w:t>8.3.5</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Disruptive Security Strategies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_Toc42177308 \h </w:instrText>
            </w:r>
            <w:r w:rsidR="00A53696" w:rsidRPr="00A53696">
              <w:rPr>
                <w:webHidden/>
                <w:sz w:val="18"/>
              </w:rPr>
            </w:r>
            <w:r w:rsidR="00A53696" w:rsidRPr="00A53696">
              <w:rPr>
                <w:webHidden/>
                <w:sz w:val="18"/>
              </w:rPr>
              <w:fldChar w:fldCharType="separate"/>
            </w:r>
            <w:r w:rsidR="003F0180">
              <w:rPr>
                <w:webHidden/>
                <w:sz w:val="18"/>
              </w:rPr>
              <w:t>131</w:t>
            </w:r>
            <w:r w:rsidR="00A53696" w:rsidRPr="00A53696">
              <w:rPr>
                <w:webHidden/>
                <w:sz w:val="18"/>
              </w:rPr>
              <w:fldChar w:fldCharType="end"/>
            </w:r>
          </w:hyperlink>
        </w:p>
        <w:p w14:paraId="57479CF5" w14:textId="50BE032A"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09" w:history="1">
            <w:r w:rsidR="00A53696" w:rsidRPr="00A53696">
              <w:rPr>
                <w:rStyle w:val="Hyperlink"/>
                <w:sz w:val="18"/>
                <w:lang w:val="en-US"/>
              </w:rPr>
              <w:t>8.3.6</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Distributed Ledger Technologies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_Toc42177309 \h </w:instrText>
            </w:r>
            <w:r w:rsidR="00A53696" w:rsidRPr="00A53696">
              <w:rPr>
                <w:webHidden/>
                <w:sz w:val="18"/>
              </w:rPr>
            </w:r>
            <w:r w:rsidR="00A53696" w:rsidRPr="00A53696">
              <w:rPr>
                <w:webHidden/>
                <w:sz w:val="18"/>
              </w:rPr>
              <w:fldChar w:fldCharType="separate"/>
            </w:r>
            <w:r w:rsidR="003F0180">
              <w:rPr>
                <w:webHidden/>
                <w:sz w:val="18"/>
              </w:rPr>
              <w:t>132</w:t>
            </w:r>
            <w:r w:rsidR="00A53696" w:rsidRPr="00A53696">
              <w:rPr>
                <w:webHidden/>
                <w:sz w:val="18"/>
              </w:rPr>
              <w:fldChar w:fldCharType="end"/>
            </w:r>
          </w:hyperlink>
        </w:p>
        <w:p w14:paraId="715D556B" w14:textId="34B65387"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10" w:history="1">
            <w:r w:rsidR="00A53696" w:rsidRPr="00A53696">
              <w:rPr>
                <w:rStyle w:val="Hyperlink"/>
                <w:sz w:val="18"/>
                <w:lang w:val="en-US"/>
              </w:rPr>
              <w:t>8.3.7</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lang w:val="en-US"/>
              </w:rPr>
              <w:t>Artificial Intelligence</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_Toc42177310 \h </w:instrText>
            </w:r>
            <w:r w:rsidR="00A53696" w:rsidRPr="00A53696">
              <w:rPr>
                <w:webHidden/>
                <w:sz w:val="18"/>
              </w:rPr>
            </w:r>
            <w:r w:rsidR="00A53696" w:rsidRPr="00A53696">
              <w:rPr>
                <w:webHidden/>
                <w:sz w:val="18"/>
              </w:rPr>
              <w:fldChar w:fldCharType="separate"/>
            </w:r>
            <w:r w:rsidR="003F0180">
              <w:rPr>
                <w:webHidden/>
                <w:sz w:val="18"/>
              </w:rPr>
              <w:t>133</w:t>
            </w:r>
            <w:r w:rsidR="00A53696" w:rsidRPr="00A53696">
              <w:rPr>
                <w:webHidden/>
                <w:sz w:val="18"/>
              </w:rPr>
              <w:fldChar w:fldCharType="end"/>
            </w:r>
          </w:hyperlink>
        </w:p>
        <w:p w14:paraId="24A2D1B9" w14:textId="484059CD"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311" w:history="1">
            <w:r w:rsidR="00A53696" w:rsidRPr="00A53696">
              <w:rPr>
                <w:rStyle w:val="Hyperlink"/>
                <w:rFonts w:cstheme="minorHAnsi"/>
                <w:sz w:val="20"/>
              </w:rPr>
              <w:t>9.</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Satellite Communications Technologies</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_Toc42177311 \h </w:instrText>
            </w:r>
            <w:r w:rsidR="00A53696" w:rsidRPr="00A53696">
              <w:rPr>
                <w:webHidden/>
                <w:sz w:val="20"/>
              </w:rPr>
            </w:r>
            <w:r w:rsidR="00A53696" w:rsidRPr="00A53696">
              <w:rPr>
                <w:webHidden/>
                <w:sz w:val="20"/>
              </w:rPr>
              <w:fldChar w:fldCharType="separate"/>
            </w:r>
            <w:r w:rsidR="003F0180">
              <w:rPr>
                <w:webHidden/>
                <w:sz w:val="20"/>
              </w:rPr>
              <w:t>135</w:t>
            </w:r>
            <w:r w:rsidR="00A53696" w:rsidRPr="00A53696">
              <w:rPr>
                <w:webHidden/>
                <w:sz w:val="20"/>
              </w:rPr>
              <w:fldChar w:fldCharType="end"/>
            </w:r>
          </w:hyperlink>
        </w:p>
        <w:p w14:paraId="155476C2" w14:textId="175A7CA4" w:rsidR="00A53696" w:rsidRPr="00A53696" w:rsidRDefault="000C66C8">
          <w:pPr>
            <w:pStyle w:val="TOC2"/>
            <w:rPr>
              <w:rFonts w:asciiTheme="minorHAnsi" w:eastAsiaTheme="minorEastAsia" w:hAnsiTheme="minorHAnsi" w:cstheme="minorBidi"/>
              <w:b w:val="0"/>
              <w:color w:val="auto"/>
              <w:sz w:val="20"/>
              <w:lang w:eastAsia="en-GB"/>
            </w:rPr>
          </w:pPr>
          <w:hyperlink w:anchor="_Toc42177312" w:history="1">
            <w:r w:rsidR="00A53696" w:rsidRPr="00A53696">
              <w:rPr>
                <w:rStyle w:val="Hyperlink"/>
                <w:b w:val="0"/>
                <w:sz w:val="20"/>
              </w:rPr>
              <w:t>9.1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Introduction</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_Toc42177312 \h </w:instrText>
            </w:r>
            <w:r w:rsidR="00A53696" w:rsidRPr="00A53696">
              <w:rPr>
                <w:b w:val="0"/>
                <w:webHidden/>
                <w:sz w:val="20"/>
              </w:rPr>
            </w:r>
            <w:r w:rsidR="00A53696" w:rsidRPr="00A53696">
              <w:rPr>
                <w:b w:val="0"/>
                <w:webHidden/>
                <w:sz w:val="20"/>
              </w:rPr>
              <w:fldChar w:fldCharType="separate"/>
            </w:r>
            <w:r w:rsidR="003F0180">
              <w:rPr>
                <w:b w:val="0"/>
                <w:webHidden/>
                <w:sz w:val="20"/>
              </w:rPr>
              <w:t>135</w:t>
            </w:r>
            <w:r w:rsidR="00A53696" w:rsidRPr="00A53696">
              <w:rPr>
                <w:b w:val="0"/>
                <w:webHidden/>
                <w:sz w:val="20"/>
              </w:rPr>
              <w:fldChar w:fldCharType="end"/>
            </w:r>
          </w:hyperlink>
        </w:p>
        <w:p w14:paraId="645CAE11" w14:textId="26AFBDC9" w:rsidR="00A53696" w:rsidRPr="00A53696" w:rsidRDefault="000C66C8">
          <w:pPr>
            <w:pStyle w:val="TOC2"/>
            <w:rPr>
              <w:rFonts w:asciiTheme="minorHAnsi" w:eastAsiaTheme="minorEastAsia" w:hAnsiTheme="minorHAnsi" w:cstheme="minorBidi"/>
              <w:b w:val="0"/>
              <w:color w:val="auto"/>
              <w:sz w:val="20"/>
              <w:lang w:eastAsia="en-GB"/>
            </w:rPr>
          </w:pPr>
          <w:hyperlink w:anchor="_Toc42177313" w:history="1">
            <w:r w:rsidR="00A53696" w:rsidRPr="00A53696">
              <w:rPr>
                <w:rStyle w:val="Hyperlink"/>
                <w:rFonts w:cs="Arial"/>
                <w:b w:val="0"/>
                <w:sz w:val="20"/>
              </w:rPr>
              <w:t>9.2</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System architectures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_Toc42177313 \h </w:instrText>
            </w:r>
            <w:r w:rsidR="00A53696" w:rsidRPr="00A53696">
              <w:rPr>
                <w:b w:val="0"/>
                <w:webHidden/>
                <w:sz w:val="20"/>
              </w:rPr>
            </w:r>
            <w:r w:rsidR="00A53696" w:rsidRPr="00A53696">
              <w:rPr>
                <w:b w:val="0"/>
                <w:webHidden/>
                <w:sz w:val="20"/>
              </w:rPr>
              <w:fldChar w:fldCharType="separate"/>
            </w:r>
            <w:r w:rsidR="003F0180">
              <w:rPr>
                <w:b w:val="0"/>
                <w:webHidden/>
                <w:sz w:val="20"/>
              </w:rPr>
              <w:t>135</w:t>
            </w:r>
            <w:r w:rsidR="00A53696" w:rsidRPr="00A53696">
              <w:rPr>
                <w:b w:val="0"/>
                <w:webHidden/>
                <w:sz w:val="20"/>
              </w:rPr>
              <w:fldChar w:fldCharType="end"/>
            </w:r>
          </w:hyperlink>
        </w:p>
        <w:p w14:paraId="528EA7DA" w14:textId="7BFEA803"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14" w:history="1">
            <w:r w:rsidR="00A53696" w:rsidRPr="00A53696">
              <w:rPr>
                <w:rStyle w:val="Hyperlink"/>
                <w:rFonts w:eastAsiaTheme="majorEastAsia"/>
                <w:sz w:val="18"/>
              </w:rPr>
              <w:t>9.2.1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_Toc42177314 \h </w:instrText>
            </w:r>
            <w:r w:rsidR="00A53696" w:rsidRPr="00A53696">
              <w:rPr>
                <w:webHidden/>
                <w:sz w:val="18"/>
              </w:rPr>
            </w:r>
            <w:r w:rsidR="00A53696" w:rsidRPr="00A53696">
              <w:rPr>
                <w:webHidden/>
                <w:sz w:val="18"/>
              </w:rPr>
              <w:fldChar w:fldCharType="separate"/>
            </w:r>
            <w:r w:rsidR="003F0180">
              <w:rPr>
                <w:webHidden/>
                <w:sz w:val="18"/>
              </w:rPr>
              <w:t>137</w:t>
            </w:r>
            <w:r w:rsidR="00A53696" w:rsidRPr="00A53696">
              <w:rPr>
                <w:webHidden/>
                <w:sz w:val="18"/>
              </w:rPr>
              <w:fldChar w:fldCharType="end"/>
            </w:r>
          </w:hyperlink>
        </w:p>
        <w:p w14:paraId="45CA42B1" w14:textId="2400D2D2" w:rsidR="00A53696" w:rsidRPr="00A53696" w:rsidRDefault="000C66C8">
          <w:pPr>
            <w:pStyle w:val="TOC2"/>
            <w:rPr>
              <w:rFonts w:asciiTheme="minorHAnsi" w:eastAsiaTheme="minorEastAsia" w:hAnsiTheme="minorHAnsi" w:cstheme="minorBidi"/>
              <w:b w:val="0"/>
              <w:color w:val="auto"/>
              <w:sz w:val="20"/>
              <w:lang w:eastAsia="en-GB"/>
            </w:rPr>
          </w:pPr>
          <w:hyperlink w:anchor="_Toc42177315" w:history="1">
            <w:r w:rsidR="00A53696" w:rsidRPr="00A53696">
              <w:rPr>
                <w:rStyle w:val="Hyperlink"/>
                <w:rFonts w:cs="Arial"/>
                <w:b w:val="0"/>
                <w:sz w:val="20"/>
              </w:rPr>
              <w:t>9.3</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Evolution of Networking Architectures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_Toc42177315 \h </w:instrText>
            </w:r>
            <w:r w:rsidR="00A53696" w:rsidRPr="00A53696">
              <w:rPr>
                <w:b w:val="0"/>
                <w:webHidden/>
                <w:sz w:val="20"/>
              </w:rPr>
            </w:r>
            <w:r w:rsidR="00A53696" w:rsidRPr="00A53696">
              <w:rPr>
                <w:b w:val="0"/>
                <w:webHidden/>
                <w:sz w:val="20"/>
              </w:rPr>
              <w:fldChar w:fldCharType="separate"/>
            </w:r>
            <w:r w:rsidR="003F0180">
              <w:rPr>
                <w:b w:val="0"/>
                <w:webHidden/>
                <w:sz w:val="20"/>
              </w:rPr>
              <w:t>137</w:t>
            </w:r>
            <w:r w:rsidR="00A53696" w:rsidRPr="00A53696">
              <w:rPr>
                <w:b w:val="0"/>
                <w:webHidden/>
                <w:sz w:val="20"/>
              </w:rPr>
              <w:fldChar w:fldCharType="end"/>
            </w:r>
          </w:hyperlink>
        </w:p>
        <w:p w14:paraId="7B6D5ABC" w14:textId="1652315C"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16" w:history="1">
            <w:r w:rsidR="00A53696" w:rsidRPr="00A53696">
              <w:rPr>
                <w:rStyle w:val="Hyperlink"/>
                <w:rFonts w:eastAsiaTheme="majorEastAsia"/>
                <w:sz w:val="18"/>
              </w:rPr>
              <w:t>9.3.1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_Toc42177316 \h </w:instrText>
            </w:r>
            <w:r w:rsidR="00A53696" w:rsidRPr="00A53696">
              <w:rPr>
                <w:webHidden/>
                <w:sz w:val="18"/>
              </w:rPr>
            </w:r>
            <w:r w:rsidR="00A53696" w:rsidRPr="00A53696">
              <w:rPr>
                <w:webHidden/>
                <w:sz w:val="18"/>
              </w:rPr>
              <w:fldChar w:fldCharType="separate"/>
            </w:r>
            <w:r w:rsidR="003F0180">
              <w:rPr>
                <w:webHidden/>
                <w:sz w:val="18"/>
              </w:rPr>
              <w:t>139</w:t>
            </w:r>
            <w:r w:rsidR="00A53696" w:rsidRPr="00A53696">
              <w:rPr>
                <w:webHidden/>
                <w:sz w:val="18"/>
              </w:rPr>
              <w:fldChar w:fldCharType="end"/>
            </w:r>
          </w:hyperlink>
        </w:p>
        <w:p w14:paraId="2D3EE7B8" w14:textId="2921E93E" w:rsidR="00A53696" w:rsidRPr="00A53696" w:rsidRDefault="000C66C8">
          <w:pPr>
            <w:pStyle w:val="TOC2"/>
            <w:rPr>
              <w:rFonts w:asciiTheme="minorHAnsi" w:eastAsiaTheme="minorEastAsia" w:hAnsiTheme="minorHAnsi" w:cstheme="minorBidi"/>
              <w:b w:val="0"/>
              <w:color w:val="auto"/>
              <w:sz w:val="20"/>
              <w:lang w:eastAsia="en-GB"/>
            </w:rPr>
          </w:pPr>
          <w:hyperlink w:anchor="_Toc42177317" w:history="1">
            <w:r w:rsidR="00A53696" w:rsidRPr="00A53696">
              <w:rPr>
                <w:rStyle w:val="Hyperlink"/>
                <w:rFonts w:cs="Arial"/>
                <w:b w:val="0"/>
                <w:sz w:val="20"/>
              </w:rPr>
              <w:t>9.4</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Hybrid infrastructures: Broadcast/Multicast/Unicast/Storage – EDGECASTING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_Toc42177317 \h </w:instrText>
            </w:r>
            <w:r w:rsidR="00A53696" w:rsidRPr="00A53696">
              <w:rPr>
                <w:b w:val="0"/>
                <w:webHidden/>
                <w:sz w:val="20"/>
              </w:rPr>
            </w:r>
            <w:r w:rsidR="00A53696" w:rsidRPr="00A53696">
              <w:rPr>
                <w:b w:val="0"/>
                <w:webHidden/>
                <w:sz w:val="20"/>
              </w:rPr>
              <w:fldChar w:fldCharType="separate"/>
            </w:r>
            <w:r w:rsidR="003F0180">
              <w:rPr>
                <w:b w:val="0"/>
                <w:webHidden/>
                <w:sz w:val="20"/>
              </w:rPr>
              <w:t>139</w:t>
            </w:r>
            <w:r w:rsidR="00A53696" w:rsidRPr="00A53696">
              <w:rPr>
                <w:b w:val="0"/>
                <w:webHidden/>
                <w:sz w:val="20"/>
              </w:rPr>
              <w:fldChar w:fldCharType="end"/>
            </w:r>
          </w:hyperlink>
        </w:p>
        <w:p w14:paraId="614C366A" w14:textId="62E9F715"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18" w:history="1">
            <w:r w:rsidR="00A53696" w:rsidRPr="00A53696">
              <w:rPr>
                <w:rStyle w:val="Hyperlink"/>
                <w:rFonts w:eastAsiaTheme="majorEastAsia"/>
                <w:sz w:val="18"/>
              </w:rPr>
              <w:t>9.4.1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_Toc42177318 \h </w:instrText>
            </w:r>
            <w:r w:rsidR="00A53696" w:rsidRPr="00A53696">
              <w:rPr>
                <w:webHidden/>
                <w:sz w:val="18"/>
              </w:rPr>
            </w:r>
            <w:r w:rsidR="00A53696" w:rsidRPr="00A53696">
              <w:rPr>
                <w:webHidden/>
                <w:sz w:val="18"/>
              </w:rPr>
              <w:fldChar w:fldCharType="separate"/>
            </w:r>
            <w:r w:rsidR="003F0180">
              <w:rPr>
                <w:webHidden/>
                <w:sz w:val="18"/>
              </w:rPr>
              <w:t>140</w:t>
            </w:r>
            <w:r w:rsidR="00A53696" w:rsidRPr="00A53696">
              <w:rPr>
                <w:webHidden/>
                <w:sz w:val="18"/>
              </w:rPr>
              <w:fldChar w:fldCharType="end"/>
            </w:r>
          </w:hyperlink>
        </w:p>
        <w:p w14:paraId="43D05FAB" w14:textId="0004062E" w:rsidR="00A53696" w:rsidRPr="00A53696" w:rsidRDefault="000C66C8">
          <w:pPr>
            <w:pStyle w:val="TOC2"/>
            <w:rPr>
              <w:rFonts w:asciiTheme="minorHAnsi" w:eastAsiaTheme="minorEastAsia" w:hAnsiTheme="minorHAnsi" w:cstheme="minorBidi"/>
              <w:b w:val="0"/>
              <w:color w:val="auto"/>
              <w:sz w:val="20"/>
              <w:lang w:eastAsia="en-GB"/>
            </w:rPr>
          </w:pPr>
          <w:hyperlink w:anchor="_Toc42177319" w:history="1">
            <w:r w:rsidR="00A53696" w:rsidRPr="00A53696">
              <w:rPr>
                <w:rStyle w:val="Hyperlink"/>
                <w:rFonts w:cs="Arial"/>
                <w:b w:val="0"/>
                <w:sz w:val="20"/>
              </w:rPr>
              <w:t>9.5</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Smart Satellite Networking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_Toc42177319 \h </w:instrText>
            </w:r>
            <w:r w:rsidR="00A53696" w:rsidRPr="00A53696">
              <w:rPr>
                <w:b w:val="0"/>
                <w:webHidden/>
                <w:sz w:val="20"/>
              </w:rPr>
            </w:r>
            <w:r w:rsidR="00A53696" w:rsidRPr="00A53696">
              <w:rPr>
                <w:b w:val="0"/>
                <w:webHidden/>
                <w:sz w:val="20"/>
              </w:rPr>
              <w:fldChar w:fldCharType="separate"/>
            </w:r>
            <w:r w:rsidR="003F0180">
              <w:rPr>
                <w:b w:val="0"/>
                <w:webHidden/>
                <w:sz w:val="20"/>
              </w:rPr>
              <w:t>141</w:t>
            </w:r>
            <w:r w:rsidR="00A53696" w:rsidRPr="00A53696">
              <w:rPr>
                <w:b w:val="0"/>
                <w:webHidden/>
                <w:sz w:val="20"/>
              </w:rPr>
              <w:fldChar w:fldCharType="end"/>
            </w:r>
          </w:hyperlink>
        </w:p>
        <w:p w14:paraId="2BF2F0D3" w14:textId="50336748"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20" w:history="1">
            <w:r w:rsidR="00A53696" w:rsidRPr="00A53696">
              <w:rPr>
                <w:rStyle w:val="Hyperlink"/>
                <w:rFonts w:eastAsiaTheme="majorEastAsia"/>
                <w:sz w:val="18"/>
              </w:rPr>
              <w:t>9.5.1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_Toc42177320 \h </w:instrText>
            </w:r>
            <w:r w:rsidR="00A53696" w:rsidRPr="00A53696">
              <w:rPr>
                <w:webHidden/>
                <w:sz w:val="18"/>
              </w:rPr>
            </w:r>
            <w:r w:rsidR="00A53696" w:rsidRPr="00A53696">
              <w:rPr>
                <w:webHidden/>
                <w:sz w:val="18"/>
              </w:rPr>
              <w:fldChar w:fldCharType="separate"/>
            </w:r>
            <w:r w:rsidR="003F0180">
              <w:rPr>
                <w:webHidden/>
                <w:sz w:val="18"/>
              </w:rPr>
              <w:t>141</w:t>
            </w:r>
            <w:r w:rsidR="00A53696" w:rsidRPr="00A53696">
              <w:rPr>
                <w:webHidden/>
                <w:sz w:val="18"/>
              </w:rPr>
              <w:fldChar w:fldCharType="end"/>
            </w:r>
          </w:hyperlink>
        </w:p>
        <w:p w14:paraId="220D8FFE" w14:textId="3A733206" w:rsidR="00A53696" w:rsidRPr="00A53696" w:rsidRDefault="000C66C8">
          <w:pPr>
            <w:pStyle w:val="TOC2"/>
            <w:rPr>
              <w:rFonts w:asciiTheme="minorHAnsi" w:eastAsiaTheme="minorEastAsia" w:hAnsiTheme="minorHAnsi" w:cstheme="minorBidi"/>
              <w:b w:val="0"/>
              <w:color w:val="auto"/>
              <w:sz w:val="20"/>
              <w:lang w:eastAsia="en-GB"/>
            </w:rPr>
          </w:pPr>
          <w:hyperlink w:anchor="_Toc42177321" w:history="1">
            <w:r w:rsidR="00A53696" w:rsidRPr="00A53696">
              <w:rPr>
                <w:rStyle w:val="Hyperlink"/>
                <w:rFonts w:cs="Arial"/>
                <w:b w:val="0"/>
                <w:sz w:val="20"/>
              </w:rPr>
              <w:t>9.6</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Optical based Satellite Communications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_Toc42177321 \h </w:instrText>
            </w:r>
            <w:r w:rsidR="00A53696" w:rsidRPr="00A53696">
              <w:rPr>
                <w:b w:val="0"/>
                <w:webHidden/>
                <w:sz w:val="20"/>
              </w:rPr>
            </w:r>
            <w:r w:rsidR="00A53696" w:rsidRPr="00A53696">
              <w:rPr>
                <w:b w:val="0"/>
                <w:webHidden/>
                <w:sz w:val="20"/>
              </w:rPr>
              <w:fldChar w:fldCharType="separate"/>
            </w:r>
            <w:r w:rsidR="003F0180">
              <w:rPr>
                <w:b w:val="0"/>
                <w:webHidden/>
                <w:sz w:val="20"/>
              </w:rPr>
              <w:t>142</w:t>
            </w:r>
            <w:r w:rsidR="00A53696" w:rsidRPr="00A53696">
              <w:rPr>
                <w:b w:val="0"/>
                <w:webHidden/>
                <w:sz w:val="20"/>
              </w:rPr>
              <w:fldChar w:fldCharType="end"/>
            </w:r>
          </w:hyperlink>
        </w:p>
        <w:p w14:paraId="7D59C5BB" w14:textId="36A981D8"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22" w:history="1">
            <w:r w:rsidR="00A53696" w:rsidRPr="00A53696">
              <w:rPr>
                <w:rStyle w:val="Hyperlink"/>
                <w:rFonts w:eastAsiaTheme="majorEastAsia"/>
                <w:sz w:val="18"/>
              </w:rPr>
              <w:t>9.6.1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_Toc42177322 \h </w:instrText>
            </w:r>
            <w:r w:rsidR="00A53696" w:rsidRPr="00A53696">
              <w:rPr>
                <w:webHidden/>
                <w:sz w:val="18"/>
              </w:rPr>
            </w:r>
            <w:r w:rsidR="00A53696" w:rsidRPr="00A53696">
              <w:rPr>
                <w:webHidden/>
                <w:sz w:val="18"/>
              </w:rPr>
              <w:fldChar w:fldCharType="separate"/>
            </w:r>
            <w:r w:rsidR="003F0180">
              <w:rPr>
                <w:webHidden/>
                <w:sz w:val="18"/>
              </w:rPr>
              <w:t>143</w:t>
            </w:r>
            <w:r w:rsidR="00A53696" w:rsidRPr="00A53696">
              <w:rPr>
                <w:webHidden/>
                <w:sz w:val="18"/>
              </w:rPr>
              <w:fldChar w:fldCharType="end"/>
            </w:r>
          </w:hyperlink>
        </w:p>
        <w:p w14:paraId="78039B8E" w14:textId="7EAACF0F" w:rsidR="00A53696" w:rsidRPr="00A53696" w:rsidRDefault="000C66C8">
          <w:pPr>
            <w:pStyle w:val="TOC2"/>
            <w:rPr>
              <w:rFonts w:asciiTheme="minorHAnsi" w:eastAsiaTheme="minorEastAsia" w:hAnsiTheme="minorHAnsi" w:cstheme="minorBidi"/>
              <w:b w:val="0"/>
              <w:color w:val="auto"/>
              <w:sz w:val="20"/>
              <w:lang w:eastAsia="en-GB"/>
            </w:rPr>
          </w:pPr>
          <w:hyperlink w:anchor="_Toc42177323" w:history="1">
            <w:r w:rsidR="00A53696" w:rsidRPr="00A53696">
              <w:rPr>
                <w:rStyle w:val="Hyperlink"/>
                <w:rFonts w:cs="Arial"/>
                <w:b w:val="0"/>
                <w:sz w:val="20"/>
              </w:rPr>
              <w:t>9.7</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Software Defined Payloads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_Toc42177323 \h </w:instrText>
            </w:r>
            <w:r w:rsidR="00A53696" w:rsidRPr="00A53696">
              <w:rPr>
                <w:b w:val="0"/>
                <w:webHidden/>
                <w:sz w:val="20"/>
              </w:rPr>
            </w:r>
            <w:r w:rsidR="00A53696" w:rsidRPr="00A53696">
              <w:rPr>
                <w:b w:val="0"/>
                <w:webHidden/>
                <w:sz w:val="20"/>
              </w:rPr>
              <w:fldChar w:fldCharType="separate"/>
            </w:r>
            <w:r w:rsidR="003F0180">
              <w:rPr>
                <w:b w:val="0"/>
                <w:webHidden/>
                <w:sz w:val="20"/>
              </w:rPr>
              <w:t>143</w:t>
            </w:r>
            <w:r w:rsidR="00A53696" w:rsidRPr="00A53696">
              <w:rPr>
                <w:b w:val="0"/>
                <w:webHidden/>
                <w:sz w:val="20"/>
              </w:rPr>
              <w:fldChar w:fldCharType="end"/>
            </w:r>
          </w:hyperlink>
        </w:p>
        <w:p w14:paraId="3D7383E8" w14:textId="3155954C"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24" w:history="1">
            <w:r w:rsidR="00A53696" w:rsidRPr="00A53696">
              <w:rPr>
                <w:rStyle w:val="Hyperlink"/>
                <w:rFonts w:eastAsiaTheme="majorEastAsia"/>
                <w:sz w:val="18"/>
              </w:rPr>
              <w:t>9.7.1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_Toc42177324 \h </w:instrText>
            </w:r>
            <w:r w:rsidR="00A53696" w:rsidRPr="00A53696">
              <w:rPr>
                <w:webHidden/>
                <w:sz w:val="18"/>
              </w:rPr>
            </w:r>
            <w:r w:rsidR="00A53696" w:rsidRPr="00A53696">
              <w:rPr>
                <w:webHidden/>
                <w:sz w:val="18"/>
              </w:rPr>
              <w:fldChar w:fldCharType="separate"/>
            </w:r>
            <w:r w:rsidR="003F0180">
              <w:rPr>
                <w:webHidden/>
                <w:sz w:val="18"/>
              </w:rPr>
              <w:t>143</w:t>
            </w:r>
            <w:r w:rsidR="00A53696" w:rsidRPr="00A53696">
              <w:rPr>
                <w:webHidden/>
                <w:sz w:val="18"/>
              </w:rPr>
              <w:fldChar w:fldCharType="end"/>
            </w:r>
          </w:hyperlink>
        </w:p>
        <w:p w14:paraId="139835B9" w14:textId="21587D06" w:rsidR="00A53696" w:rsidRPr="00A53696" w:rsidRDefault="000C66C8">
          <w:pPr>
            <w:pStyle w:val="TOC2"/>
            <w:rPr>
              <w:rFonts w:asciiTheme="minorHAnsi" w:eastAsiaTheme="minorEastAsia" w:hAnsiTheme="minorHAnsi" w:cstheme="minorBidi"/>
              <w:b w:val="0"/>
              <w:color w:val="auto"/>
              <w:sz w:val="20"/>
              <w:lang w:eastAsia="en-GB"/>
            </w:rPr>
          </w:pPr>
          <w:hyperlink w:anchor="_Toc42177325" w:history="1">
            <w:r w:rsidR="00A53696" w:rsidRPr="00A53696">
              <w:rPr>
                <w:rStyle w:val="Hyperlink"/>
                <w:rFonts w:cs="Arial"/>
                <w:b w:val="0"/>
                <w:sz w:val="20"/>
              </w:rPr>
              <w:t>9.8</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Radio Access Network beyond 5G and 6G</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_Toc42177325 \h </w:instrText>
            </w:r>
            <w:r w:rsidR="00A53696" w:rsidRPr="00A53696">
              <w:rPr>
                <w:b w:val="0"/>
                <w:webHidden/>
                <w:sz w:val="20"/>
              </w:rPr>
            </w:r>
            <w:r w:rsidR="00A53696" w:rsidRPr="00A53696">
              <w:rPr>
                <w:b w:val="0"/>
                <w:webHidden/>
                <w:sz w:val="20"/>
              </w:rPr>
              <w:fldChar w:fldCharType="separate"/>
            </w:r>
            <w:r w:rsidR="003F0180">
              <w:rPr>
                <w:b w:val="0"/>
                <w:webHidden/>
                <w:sz w:val="20"/>
              </w:rPr>
              <w:t>144</w:t>
            </w:r>
            <w:r w:rsidR="00A53696" w:rsidRPr="00A53696">
              <w:rPr>
                <w:b w:val="0"/>
                <w:webHidden/>
                <w:sz w:val="20"/>
              </w:rPr>
              <w:fldChar w:fldCharType="end"/>
            </w:r>
          </w:hyperlink>
        </w:p>
        <w:p w14:paraId="5151B6E6" w14:textId="3933BCD8"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26" w:history="1">
            <w:r w:rsidR="00A53696" w:rsidRPr="00A53696">
              <w:rPr>
                <w:rStyle w:val="Hyperlink"/>
                <w:rFonts w:eastAsiaTheme="majorEastAsia"/>
                <w:sz w:val="18"/>
              </w:rPr>
              <w:t>9.8.1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Rationale</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_Toc42177326 \h </w:instrText>
            </w:r>
            <w:r w:rsidR="00A53696" w:rsidRPr="00A53696">
              <w:rPr>
                <w:webHidden/>
                <w:sz w:val="18"/>
              </w:rPr>
            </w:r>
            <w:r w:rsidR="00A53696" w:rsidRPr="00A53696">
              <w:rPr>
                <w:webHidden/>
                <w:sz w:val="18"/>
              </w:rPr>
              <w:fldChar w:fldCharType="separate"/>
            </w:r>
            <w:r w:rsidR="003F0180">
              <w:rPr>
                <w:webHidden/>
                <w:sz w:val="18"/>
              </w:rPr>
              <w:t>144</w:t>
            </w:r>
            <w:r w:rsidR="00A53696" w:rsidRPr="00A53696">
              <w:rPr>
                <w:webHidden/>
                <w:sz w:val="18"/>
              </w:rPr>
              <w:fldChar w:fldCharType="end"/>
            </w:r>
          </w:hyperlink>
        </w:p>
        <w:p w14:paraId="46E27457" w14:textId="0CF38265" w:rsidR="00A53696" w:rsidRPr="00A53696" w:rsidRDefault="000C66C8">
          <w:pPr>
            <w:pStyle w:val="TOC3"/>
            <w:tabs>
              <w:tab w:val="left" w:pos="2268"/>
            </w:tabs>
            <w:rPr>
              <w:rFonts w:asciiTheme="minorHAnsi" w:eastAsiaTheme="minorEastAsia" w:hAnsiTheme="minorHAnsi" w:cstheme="minorBidi"/>
              <w:iCs w:val="0"/>
              <w:color w:val="auto"/>
              <w:sz w:val="16"/>
              <w:szCs w:val="22"/>
              <w:lang w:val="en-GB" w:eastAsia="en-GB"/>
            </w:rPr>
          </w:pPr>
          <w:hyperlink w:anchor="_Toc42177327" w:history="1">
            <w:r w:rsidR="00A53696" w:rsidRPr="00A53696">
              <w:rPr>
                <w:rStyle w:val="Hyperlink"/>
                <w:rFonts w:eastAsiaTheme="majorEastAsia"/>
                <w:sz w:val="18"/>
              </w:rPr>
              <w:t>9.8.2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_Toc42177327 \h </w:instrText>
            </w:r>
            <w:r w:rsidR="00A53696" w:rsidRPr="00A53696">
              <w:rPr>
                <w:webHidden/>
                <w:sz w:val="18"/>
              </w:rPr>
            </w:r>
            <w:r w:rsidR="00A53696" w:rsidRPr="00A53696">
              <w:rPr>
                <w:webHidden/>
                <w:sz w:val="18"/>
              </w:rPr>
              <w:fldChar w:fldCharType="separate"/>
            </w:r>
            <w:r w:rsidR="003F0180">
              <w:rPr>
                <w:webHidden/>
                <w:sz w:val="18"/>
              </w:rPr>
              <w:t>144</w:t>
            </w:r>
            <w:r w:rsidR="00A53696" w:rsidRPr="00A53696">
              <w:rPr>
                <w:webHidden/>
                <w:sz w:val="18"/>
              </w:rPr>
              <w:fldChar w:fldCharType="end"/>
            </w:r>
          </w:hyperlink>
        </w:p>
        <w:p w14:paraId="7895FED3" w14:textId="09666D89" w:rsidR="00A53696" w:rsidRPr="00A53696" w:rsidRDefault="000C66C8">
          <w:pPr>
            <w:pStyle w:val="TOC2"/>
            <w:rPr>
              <w:rFonts w:asciiTheme="minorHAnsi" w:eastAsiaTheme="minorEastAsia" w:hAnsiTheme="minorHAnsi" w:cstheme="minorBidi"/>
              <w:b w:val="0"/>
              <w:color w:val="auto"/>
              <w:sz w:val="20"/>
              <w:lang w:eastAsia="en-GB"/>
            </w:rPr>
          </w:pPr>
          <w:hyperlink w:anchor="_Toc42177328" w:history="1">
            <w:r w:rsidR="00A53696" w:rsidRPr="00A53696">
              <w:rPr>
                <w:rStyle w:val="Hyperlink"/>
                <w:rFonts w:cs="Arial"/>
                <w:b w:val="0"/>
                <w:sz w:val="20"/>
              </w:rPr>
              <w:t>9.9</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Antennas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_Toc42177328 \h </w:instrText>
            </w:r>
            <w:r w:rsidR="00A53696" w:rsidRPr="00A53696">
              <w:rPr>
                <w:b w:val="0"/>
                <w:webHidden/>
                <w:sz w:val="20"/>
              </w:rPr>
            </w:r>
            <w:r w:rsidR="00A53696" w:rsidRPr="00A53696">
              <w:rPr>
                <w:b w:val="0"/>
                <w:webHidden/>
                <w:sz w:val="20"/>
              </w:rPr>
              <w:fldChar w:fldCharType="separate"/>
            </w:r>
            <w:r w:rsidR="003F0180">
              <w:rPr>
                <w:b w:val="0"/>
                <w:webHidden/>
                <w:sz w:val="20"/>
              </w:rPr>
              <w:t>145</w:t>
            </w:r>
            <w:r w:rsidR="00A53696" w:rsidRPr="00A53696">
              <w:rPr>
                <w:b w:val="0"/>
                <w:webHidden/>
                <w:sz w:val="20"/>
              </w:rPr>
              <w:fldChar w:fldCharType="end"/>
            </w:r>
          </w:hyperlink>
        </w:p>
        <w:p w14:paraId="2D5DE0F6" w14:textId="35A75F64" w:rsidR="00A53696" w:rsidRPr="00A53696" w:rsidRDefault="000C66C8">
          <w:pPr>
            <w:pStyle w:val="TOC3"/>
            <w:tabs>
              <w:tab w:val="left" w:pos="2268"/>
            </w:tabs>
            <w:rPr>
              <w:rFonts w:asciiTheme="minorHAnsi" w:eastAsiaTheme="minorEastAsia" w:hAnsiTheme="minorHAnsi" w:cstheme="minorBidi"/>
              <w:iCs w:val="0"/>
              <w:color w:val="auto"/>
              <w:szCs w:val="22"/>
              <w:lang w:val="en-GB" w:eastAsia="en-GB"/>
            </w:rPr>
          </w:pPr>
          <w:hyperlink w:anchor="_Toc42177329" w:history="1">
            <w:r w:rsidR="00A53696" w:rsidRPr="00A53696">
              <w:rPr>
                <w:rStyle w:val="Hyperlink"/>
                <w:rFonts w:eastAsiaTheme="majorEastAsia"/>
                <w:sz w:val="18"/>
              </w:rPr>
              <w:t>9.9.1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_Toc42177329 \h </w:instrText>
            </w:r>
            <w:r w:rsidR="00A53696" w:rsidRPr="00A53696">
              <w:rPr>
                <w:webHidden/>
                <w:sz w:val="18"/>
              </w:rPr>
            </w:r>
            <w:r w:rsidR="00A53696" w:rsidRPr="00A53696">
              <w:rPr>
                <w:webHidden/>
                <w:sz w:val="18"/>
              </w:rPr>
              <w:fldChar w:fldCharType="separate"/>
            </w:r>
            <w:r w:rsidR="003F0180">
              <w:rPr>
                <w:webHidden/>
                <w:sz w:val="18"/>
              </w:rPr>
              <w:t>146</w:t>
            </w:r>
            <w:r w:rsidR="00A53696" w:rsidRPr="00A53696">
              <w:rPr>
                <w:webHidden/>
                <w:sz w:val="18"/>
              </w:rPr>
              <w:fldChar w:fldCharType="end"/>
            </w:r>
          </w:hyperlink>
        </w:p>
        <w:p w14:paraId="058BFE09" w14:textId="264771E7" w:rsidR="00A53696" w:rsidRPr="00A53696" w:rsidRDefault="000C66C8">
          <w:pPr>
            <w:pStyle w:val="TOC2"/>
            <w:rPr>
              <w:rFonts w:asciiTheme="minorHAnsi" w:eastAsiaTheme="minorEastAsia" w:hAnsiTheme="minorHAnsi" w:cstheme="minorBidi"/>
              <w:b w:val="0"/>
              <w:color w:val="auto"/>
              <w:sz w:val="20"/>
              <w:lang w:eastAsia="en-GB"/>
            </w:rPr>
          </w:pPr>
          <w:hyperlink w:anchor="_Toc42177330" w:history="1">
            <w:r w:rsidR="00A53696" w:rsidRPr="00A53696">
              <w:rPr>
                <w:rStyle w:val="Hyperlink"/>
                <w:rFonts w:cs="Arial"/>
                <w:b w:val="0"/>
                <w:sz w:val="20"/>
              </w:rPr>
              <w:t>9.10</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Spectrum usage</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_Toc42177330 \h </w:instrText>
            </w:r>
            <w:r w:rsidR="00A53696" w:rsidRPr="00A53696">
              <w:rPr>
                <w:b w:val="0"/>
                <w:webHidden/>
                <w:sz w:val="20"/>
              </w:rPr>
            </w:r>
            <w:r w:rsidR="00A53696" w:rsidRPr="00A53696">
              <w:rPr>
                <w:b w:val="0"/>
                <w:webHidden/>
                <w:sz w:val="20"/>
              </w:rPr>
              <w:fldChar w:fldCharType="separate"/>
            </w:r>
            <w:r w:rsidR="003F0180">
              <w:rPr>
                <w:b w:val="0"/>
                <w:webHidden/>
                <w:sz w:val="20"/>
              </w:rPr>
              <w:t>146</w:t>
            </w:r>
            <w:r w:rsidR="00A53696" w:rsidRPr="00A53696">
              <w:rPr>
                <w:b w:val="0"/>
                <w:webHidden/>
                <w:sz w:val="20"/>
              </w:rPr>
              <w:fldChar w:fldCharType="end"/>
            </w:r>
          </w:hyperlink>
        </w:p>
        <w:p w14:paraId="669D4961" w14:textId="1E52894B"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31" w:history="1">
            <w:r w:rsidR="00A53696" w:rsidRPr="00A53696">
              <w:rPr>
                <w:rStyle w:val="Hyperlink"/>
                <w:rFonts w:eastAsiaTheme="majorEastAsia"/>
                <w:sz w:val="18"/>
              </w:rPr>
              <w:t>9.10.1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_Toc42177331 \h </w:instrText>
            </w:r>
            <w:r w:rsidR="00A53696" w:rsidRPr="00A53696">
              <w:rPr>
                <w:webHidden/>
                <w:sz w:val="18"/>
              </w:rPr>
            </w:r>
            <w:r w:rsidR="00A53696" w:rsidRPr="00A53696">
              <w:rPr>
                <w:webHidden/>
                <w:sz w:val="18"/>
              </w:rPr>
              <w:fldChar w:fldCharType="separate"/>
            </w:r>
            <w:r w:rsidR="003F0180">
              <w:rPr>
                <w:webHidden/>
                <w:sz w:val="18"/>
              </w:rPr>
              <w:t>147</w:t>
            </w:r>
            <w:r w:rsidR="00A53696" w:rsidRPr="00A53696">
              <w:rPr>
                <w:webHidden/>
                <w:sz w:val="18"/>
              </w:rPr>
              <w:fldChar w:fldCharType="end"/>
            </w:r>
          </w:hyperlink>
        </w:p>
        <w:p w14:paraId="3B14EB3A" w14:textId="7A135656" w:rsidR="00A53696" w:rsidRPr="00A53696" w:rsidRDefault="000C66C8">
          <w:pPr>
            <w:pStyle w:val="TOC2"/>
            <w:rPr>
              <w:rFonts w:asciiTheme="minorHAnsi" w:eastAsiaTheme="minorEastAsia" w:hAnsiTheme="minorHAnsi" w:cstheme="minorBidi"/>
              <w:b w:val="0"/>
              <w:color w:val="auto"/>
              <w:sz w:val="20"/>
              <w:lang w:eastAsia="en-GB"/>
            </w:rPr>
          </w:pPr>
          <w:hyperlink w:anchor="_Toc42177332" w:history="1">
            <w:r w:rsidR="00A53696" w:rsidRPr="00A53696">
              <w:rPr>
                <w:rStyle w:val="Hyperlink"/>
                <w:rFonts w:cs="Arial"/>
                <w:b w:val="0"/>
                <w:sz w:val="20"/>
              </w:rPr>
              <w:t>9.11</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Artificial Intelligence for SatCom</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_Toc42177332 \h </w:instrText>
            </w:r>
            <w:r w:rsidR="00A53696" w:rsidRPr="00A53696">
              <w:rPr>
                <w:b w:val="0"/>
                <w:webHidden/>
                <w:sz w:val="20"/>
              </w:rPr>
            </w:r>
            <w:r w:rsidR="00A53696" w:rsidRPr="00A53696">
              <w:rPr>
                <w:b w:val="0"/>
                <w:webHidden/>
                <w:sz w:val="20"/>
              </w:rPr>
              <w:fldChar w:fldCharType="separate"/>
            </w:r>
            <w:r w:rsidR="003F0180">
              <w:rPr>
                <w:b w:val="0"/>
                <w:webHidden/>
                <w:sz w:val="20"/>
              </w:rPr>
              <w:t>148</w:t>
            </w:r>
            <w:r w:rsidR="00A53696" w:rsidRPr="00A53696">
              <w:rPr>
                <w:b w:val="0"/>
                <w:webHidden/>
                <w:sz w:val="20"/>
              </w:rPr>
              <w:fldChar w:fldCharType="end"/>
            </w:r>
          </w:hyperlink>
        </w:p>
        <w:p w14:paraId="2C90D382" w14:textId="121B043D"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33" w:history="1">
            <w:r w:rsidR="00A53696" w:rsidRPr="00A53696">
              <w:rPr>
                <w:rStyle w:val="Hyperlink"/>
                <w:rFonts w:eastAsiaTheme="majorEastAsia"/>
                <w:sz w:val="18"/>
              </w:rPr>
              <w:t>9.11.1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_Toc42177333 \h </w:instrText>
            </w:r>
            <w:r w:rsidR="00A53696" w:rsidRPr="00A53696">
              <w:rPr>
                <w:webHidden/>
                <w:sz w:val="18"/>
              </w:rPr>
            </w:r>
            <w:r w:rsidR="00A53696" w:rsidRPr="00A53696">
              <w:rPr>
                <w:webHidden/>
                <w:sz w:val="18"/>
              </w:rPr>
              <w:fldChar w:fldCharType="separate"/>
            </w:r>
            <w:r w:rsidR="003F0180">
              <w:rPr>
                <w:webHidden/>
                <w:sz w:val="18"/>
              </w:rPr>
              <w:t>149</w:t>
            </w:r>
            <w:r w:rsidR="00A53696" w:rsidRPr="00A53696">
              <w:rPr>
                <w:webHidden/>
                <w:sz w:val="18"/>
              </w:rPr>
              <w:fldChar w:fldCharType="end"/>
            </w:r>
          </w:hyperlink>
        </w:p>
        <w:p w14:paraId="4B0EE7FC" w14:textId="5411AA6E" w:rsidR="00A53696" w:rsidRPr="00A53696" w:rsidRDefault="000C66C8">
          <w:pPr>
            <w:pStyle w:val="TOC2"/>
            <w:rPr>
              <w:rFonts w:asciiTheme="minorHAnsi" w:eastAsiaTheme="minorEastAsia" w:hAnsiTheme="minorHAnsi" w:cstheme="minorBidi"/>
              <w:b w:val="0"/>
              <w:color w:val="auto"/>
              <w:sz w:val="20"/>
              <w:lang w:eastAsia="en-GB"/>
            </w:rPr>
          </w:pPr>
          <w:hyperlink w:anchor="_Toc42177334" w:history="1">
            <w:r w:rsidR="00A53696" w:rsidRPr="00A53696">
              <w:rPr>
                <w:rStyle w:val="Hyperlink"/>
                <w:rFonts w:cs="Arial"/>
                <w:b w:val="0"/>
                <w:sz w:val="20"/>
              </w:rPr>
              <w:t>9.12</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Security</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_Toc42177334 \h </w:instrText>
            </w:r>
            <w:r w:rsidR="00A53696" w:rsidRPr="00A53696">
              <w:rPr>
                <w:b w:val="0"/>
                <w:webHidden/>
                <w:sz w:val="20"/>
              </w:rPr>
            </w:r>
            <w:r w:rsidR="00A53696" w:rsidRPr="00A53696">
              <w:rPr>
                <w:b w:val="0"/>
                <w:webHidden/>
                <w:sz w:val="20"/>
              </w:rPr>
              <w:fldChar w:fldCharType="separate"/>
            </w:r>
            <w:r w:rsidR="003F0180">
              <w:rPr>
                <w:b w:val="0"/>
                <w:webHidden/>
                <w:sz w:val="20"/>
              </w:rPr>
              <w:t>149</w:t>
            </w:r>
            <w:r w:rsidR="00A53696" w:rsidRPr="00A53696">
              <w:rPr>
                <w:b w:val="0"/>
                <w:webHidden/>
                <w:sz w:val="20"/>
              </w:rPr>
              <w:fldChar w:fldCharType="end"/>
            </w:r>
          </w:hyperlink>
        </w:p>
        <w:p w14:paraId="15E68C83" w14:textId="342AAA1E"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35" w:history="1">
            <w:r w:rsidR="00A53696" w:rsidRPr="00A53696">
              <w:rPr>
                <w:rStyle w:val="Hyperlink"/>
                <w:rFonts w:eastAsiaTheme="majorEastAsia"/>
                <w:sz w:val="18"/>
              </w:rPr>
              <w:t>9.12.1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_Toc42177335 \h </w:instrText>
            </w:r>
            <w:r w:rsidR="00A53696" w:rsidRPr="00A53696">
              <w:rPr>
                <w:webHidden/>
                <w:sz w:val="18"/>
              </w:rPr>
            </w:r>
            <w:r w:rsidR="00A53696" w:rsidRPr="00A53696">
              <w:rPr>
                <w:webHidden/>
                <w:sz w:val="18"/>
              </w:rPr>
              <w:fldChar w:fldCharType="separate"/>
            </w:r>
            <w:r w:rsidR="003F0180">
              <w:rPr>
                <w:webHidden/>
                <w:sz w:val="18"/>
              </w:rPr>
              <w:t>150</w:t>
            </w:r>
            <w:r w:rsidR="00A53696" w:rsidRPr="00A53696">
              <w:rPr>
                <w:webHidden/>
                <w:sz w:val="18"/>
              </w:rPr>
              <w:fldChar w:fldCharType="end"/>
            </w:r>
          </w:hyperlink>
        </w:p>
        <w:p w14:paraId="48A92886" w14:textId="4BDE54FB" w:rsidR="00A53696" w:rsidRPr="00A53696" w:rsidRDefault="000C66C8">
          <w:pPr>
            <w:pStyle w:val="TOC2"/>
            <w:rPr>
              <w:rFonts w:asciiTheme="minorHAnsi" w:eastAsiaTheme="minorEastAsia" w:hAnsiTheme="minorHAnsi" w:cstheme="minorBidi"/>
              <w:b w:val="0"/>
              <w:color w:val="auto"/>
              <w:sz w:val="20"/>
              <w:lang w:eastAsia="en-GB"/>
            </w:rPr>
          </w:pPr>
          <w:hyperlink w:anchor="_Toc42177336" w:history="1">
            <w:r w:rsidR="00A53696" w:rsidRPr="00A53696">
              <w:rPr>
                <w:rStyle w:val="Hyperlink"/>
                <w:rFonts w:cs="Arial"/>
                <w:b w:val="0"/>
                <w:sz w:val="20"/>
              </w:rPr>
              <w:t>9.13</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Communication, Computation and Storage</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_Toc42177336 \h </w:instrText>
            </w:r>
            <w:r w:rsidR="00A53696" w:rsidRPr="00A53696">
              <w:rPr>
                <w:b w:val="0"/>
                <w:webHidden/>
                <w:sz w:val="20"/>
              </w:rPr>
            </w:r>
            <w:r w:rsidR="00A53696" w:rsidRPr="00A53696">
              <w:rPr>
                <w:b w:val="0"/>
                <w:webHidden/>
                <w:sz w:val="20"/>
              </w:rPr>
              <w:fldChar w:fldCharType="separate"/>
            </w:r>
            <w:r w:rsidR="003F0180">
              <w:rPr>
                <w:b w:val="0"/>
                <w:webHidden/>
                <w:sz w:val="20"/>
              </w:rPr>
              <w:t>151</w:t>
            </w:r>
            <w:r w:rsidR="00A53696" w:rsidRPr="00A53696">
              <w:rPr>
                <w:b w:val="0"/>
                <w:webHidden/>
                <w:sz w:val="20"/>
              </w:rPr>
              <w:fldChar w:fldCharType="end"/>
            </w:r>
          </w:hyperlink>
        </w:p>
        <w:p w14:paraId="1C847998" w14:textId="5E33293C"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37" w:history="1">
            <w:r w:rsidR="00A53696" w:rsidRPr="00A53696">
              <w:rPr>
                <w:rStyle w:val="Hyperlink"/>
                <w:rFonts w:eastAsiaTheme="majorEastAsia"/>
                <w:sz w:val="18"/>
              </w:rPr>
              <w:t>9.13.1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_Toc42177337 \h </w:instrText>
            </w:r>
            <w:r w:rsidR="00A53696" w:rsidRPr="00A53696">
              <w:rPr>
                <w:webHidden/>
                <w:sz w:val="18"/>
              </w:rPr>
            </w:r>
            <w:r w:rsidR="00A53696" w:rsidRPr="00A53696">
              <w:rPr>
                <w:webHidden/>
                <w:sz w:val="18"/>
              </w:rPr>
              <w:fldChar w:fldCharType="separate"/>
            </w:r>
            <w:r w:rsidR="003F0180">
              <w:rPr>
                <w:webHidden/>
                <w:sz w:val="18"/>
              </w:rPr>
              <w:t>151</w:t>
            </w:r>
            <w:r w:rsidR="00A53696" w:rsidRPr="00A53696">
              <w:rPr>
                <w:webHidden/>
                <w:sz w:val="18"/>
              </w:rPr>
              <w:fldChar w:fldCharType="end"/>
            </w:r>
          </w:hyperlink>
        </w:p>
        <w:p w14:paraId="213978B0" w14:textId="04AA9128" w:rsidR="00A53696" w:rsidRPr="00A53696" w:rsidRDefault="000C66C8">
          <w:pPr>
            <w:pStyle w:val="TOC2"/>
            <w:rPr>
              <w:rFonts w:asciiTheme="minorHAnsi" w:eastAsiaTheme="minorEastAsia" w:hAnsiTheme="minorHAnsi" w:cstheme="minorBidi"/>
              <w:b w:val="0"/>
              <w:color w:val="auto"/>
              <w:sz w:val="20"/>
              <w:lang w:eastAsia="en-GB"/>
            </w:rPr>
          </w:pPr>
          <w:hyperlink w:anchor="_Toc42177338" w:history="1">
            <w:r w:rsidR="00A53696" w:rsidRPr="00A53696">
              <w:rPr>
                <w:rStyle w:val="Hyperlink"/>
                <w:rFonts w:cs="Arial"/>
                <w:b w:val="0"/>
                <w:sz w:val="20"/>
              </w:rPr>
              <w:t>9.14</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Plug and Play Integrated Satellite and Terrestrial Networks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_Toc42177338 \h </w:instrText>
            </w:r>
            <w:r w:rsidR="00A53696" w:rsidRPr="00A53696">
              <w:rPr>
                <w:b w:val="0"/>
                <w:webHidden/>
                <w:sz w:val="20"/>
              </w:rPr>
            </w:r>
            <w:r w:rsidR="00A53696" w:rsidRPr="00A53696">
              <w:rPr>
                <w:b w:val="0"/>
                <w:webHidden/>
                <w:sz w:val="20"/>
              </w:rPr>
              <w:fldChar w:fldCharType="separate"/>
            </w:r>
            <w:r w:rsidR="003F0180">
              <w:rPr>
                <w:b w:val="0"/>
                <w:webHidden/>
                <w:sz w:val="20"/>
              </w:rPr>
              <w:t>152</w:t>
            </w:r>
            <w:r w:rsidR="00A53696" w:rsidRPr="00A53696">
              <w:rPr>
                <w:b w:val="0"/>
                <w:webHidden/>
                <w:sz w:val="20"/>
              </w:rPr>
              <w:fldChar w:fldCharType="end"/>
            </w:r>
          </w:hyperlink>
        </w:p>
        <w:p w14:paraId="34D7C1D1" w14:textId="7B037B00"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39" w:history="1">
            <w:r w:rsidR="00A53696" w:rsidRPr="00A53696">
              <w:rPr>
                <w:rStyle w:val="Hyperlink"/>
                <w:rFonts w:eastAsiaTheme="majorEastAsia"/>
                <w:sz w:val="18"/>
              </w:rPr>
              <w:t>9.14.1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rFonts w:eastAsiaTheme="majorEastAsia"/>
                <w:sz w:val="18"/>
              </w:rPr>
              <w:t>Expected Impact</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_Toc42177339 \h </w:instrText>
            </w:r>
            <w:r w:rsidR="00A53696" w:rsidRPr="00A53696">
              <w:rPr>
                <w:webHidden/>
                <w:sz w:val="18"/>
              </w:rPr>
            </w:r>
            <w:r w:rsidR="00A53696" w:rsidRPr="00A53696">
              <w:rPr>
                <w:webHidden/>
                <w:sz w:val="18"/>
              </w:rPr>
              <w:fldChar w:fldCharType="separate"/>
            </w:r>
            <w:r w:rsidR="003F0180">
              <w:rPr>
                <w:webHidden/>
                <w:sz w:val="18"/>
              </w:rPr>
              <w:t>153</w:t>
            </w:r>
            <w:r w:rsidR="00A53696" w:rsidRPr="00A53696">
              <w:rPr>
                <w:webHidden/>
                <w:sz w:val="18"/>
              </w:rPr>
              <w:fldChar w:fldCharType="end"/>
            </w:r>
          </w:hyperlink>
        </w:p>
        <w:p w14:paraId="54334C83" w14:textId="4AD39E91"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340" w:history="1">
            <w:r w:rsidR="00A53696" w:rsidRPr="00A53696">
              <w:rPr>
                <w:rStyle w:val="Hyperlink"/>
                <w:rFonts w:cstheme="minorHAnsi"/>
                <w:sz w:val="20"/>
              </w:rPr>
              <w:t>10.</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Opportunities for Devices and Components</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_Toc42177340 \h </w:instrText>
            </w:r>
            <w:r w:rsidR="00A53696" w:rsidRPr="00A53696">
              <w:rPr>
                <w:webHidden/>
                <w:sz w:val="20"/>
              </w:rPr>
            </w:r>
            <w:r w:rsidR="00A53696" w:rsidRPr="00A53696">
              <w:rPr>
                <w:webHidden/>
                <w:sz w:val="20"/>
              </w:rPr>
              <w:fldChar w:fldCharType="separate"/>
            </w:r>
            <w:r w:rsidR="003F0180">
              <w:rPr>
                <w:webHidden/>
                <w:sz w:val="20"/>
              </w:rPr>
              <w:t>154</w:t>
            </w:r>
            <w:r w:rsidR="00A53696" w:rsidRPr="00A53696">
              <w:rPr>
                <w:webHidden/>
                <w:sz w:val="20"/>
              </w:rPr>
              <w:fldChar w:fldCharType="end"/>
            </w:r>
          </w:hyperlink>
        </w:p>
        <w:p w14:paraId="4F0B1268" w14:textId="76670C45" w:rsidR="00A53696" w:rsidRPr="00A53696" w:rsidRDefault="000C66C8">
          <w:pPr>
            <w:pStyle w:val="TOC2"/>
            <w:rPr>
              <w:rFonts w:asciiTheme="minorHAnsi" w:eastAsiaTheme="minorEastAsia" w:hAnsiTheme="minorHAnsi" w:cstheme="minorBidi"/>
              <w:b w:val="0"/>
              <w:color w:val="auto"/>
              <w:sz w:val="20"/>
              <w:lang w:eastAsia="en-GB"/>
            </w:rPr>
          </w:pPr>
          <w:hyperlink w:anchor="_Toc42177341" w:history="1">
            <w:r w:rsidR="00A53696" w:rsidRPr="00A53696">
              <w:rPr>
                <w:rStyle w:val="Hyperlink"/>
                <w:b w:val="0"/>
                <w:sz w:val="20"/>
                <w:lang w:val="nl-BE"/>
              </w:rPr>
              <w:t>10.1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lang w:val="nl-BE"/>
              </w:rPr>
              <w:t>Sub-10GHz RF</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_Toc42177341 \h </w:instrText>
            </w:r>
            <w:r w:rsidR="00A53696" w:rsidRPr="00A53696">
              <w:rPr>
                <w:b w:val="0"/>
                <w:webHidden/>
                <w:sz w:val="20"/>
              </w:rPr>
            </w:r>
            <w:r w:rsidR="00A53696" w:rsidRPr="00A53696">
              <w:rPr>
                <w:b w:val="0"/>
                <w:webHidden/>
                <w:sz w:val="20"/>
              </w:rPr>
              <w:fldChar w:fldCharType="separate"/>
            </w:r>
            <w:r w:rsidR="003F0180">
              <w:rPr>
                <w:b w:val="0"/>
                <w:webHidden/>
                <w:sz w:val="20"/>
              </w:rPr>
              <w:t>154</w:t>
            </w:r>
            <w:r w:rsidR="00A53696" w:rsidRPr="00A53696">
              <w:rPr>
                <w:b w:val="0"/>
                <w:webHidden/>
                <w:sz w:val="20"/>
              </w:rPr>
              <w:fldChar w:fldCharType="end"/>
            </w:r>
          </w:hyperlink>
        </w:p>
        <w:p w14:paraId="76CE114B" w14:textId="6585AF2A" w:rsidR="00A53696" w:rsidRPr="00A53696" w:rsidRDefault="000C66C8">
          <w:pPr>
            <w:pStyle w:val="TOC2"/>
            <w:rPr>
              <w:rFonts w:asciiTheme="minorHAnsi" w:eastAsiaTheme="minorEastAsia" w:hAnsiTheme="minorHAnsi" w:cstheme="minorBidi"/>
              <w:b w:val="0"/>
              <w:color w:val="auto"/>
              <w:sz w:val="20"/>
              <w:lang w:eastAsia="en-GB"/>
            </w:rPr>
          </w:pPr>
          <w:hyperlink w:anchor="_Toc42177342" w:history="1">
            <w:r w:rsidR="00A53696" w:rsidRPr="00A53696">
              <w:rPr>
                <w:rStyle w:val="Hyperlink"/>
                <w:rFonts w:cs="Arial"/>
                <w:b w:val="0"/>
                <w:sz w:val="20"/>
              </w:rPr>
              <w:t>10.2</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Millimeter-wave and TeraHertz</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_Toc42177342 \h </w:instrText>
            </w:r>
            <w:r w:rsidR="00A53696" w:rsidRPr="00A53696">
              <w:rPr>
                <w:b w:val="0"/>
                <w:webHidden/>
                <w:sz w:val="20"/>
              </w:rPr>
            </w:r>
            <w:r w:rsidR="00A53696" w:rsidRPr="00A53696">
              <w:rPr>
                <w:b w:val="0"/>
                <w:webHidden/>
                <w:sz w:val="20"/>
              </w:rPr>
              <w:fldChar w:fldCharType="separate"/>
            </w:r>
            <w:r w:rsidR="003F0180">
              <w:rPr>
                <w:b w:val="0"/>
                <w:webHidden/>
                <w:sz w:val="20"/>
              </w:rPr>
              <w:t>155</w:t>
            </w:r>
            <w:r w:rsidR="00A53696" w:rsidRPr="00A53696">
              <w:rPr>
                <w:b w:val="0"/>
                <w:webHidden/>
                <w:sz w:val="20"/>
              </w:rPr>
              <w:fldChar w:fldCharType="end"/>
            </w:r>
          </w:hyperlink>
        </w:p>
        <w:p w14:paraId="5A7A7191" w14:textId="423382AD"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43" w:history="1">
            <w:r w:rsidR="00A53696" w:rsidRPr="00A53696">
              <w:rPr>
                <w:rStyle w:val="Hyperlink"/>
                <w:sz w:val="18"/>
              </w:rPr>
              <w:t>10.2.1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THz Communications: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_Toc42177343 \h </w:instrText>
            </w:r>
            <w:r w:rsidR="00A53696" w:rsidRPr="00A53696">
              <w:rPr>
                <w:webHidden/>
                <w:sz w:val="18"/>
              </w:rPr>
            </w:r>
            <w:r w:rsidR="00A53696" w:rsidRPr="00A53696">
              <w:rPr>
                <w:webHidden/>
                <w:sz w:val="18"/>
              </w:rPr>
              <w:fldChar w:fldCharType="separate"/>
            </w:r>
            <w:r w:rsidR="003F0180">
              <w:rPr>
                <w:webHidden/>
                <w:sz w:val="18"/>
              </w:rPr>
              <w:t>155</w:t>
            </w:r>
            <w:r w:rsidR="00A53696" w:rsidRPr="00A53696">
              <w:rPr>
                <w:webHidden/>
                <w:sz w:val="18"/>
              </w:rPr>
              <w:fldChar w:fldCharType="end"/>
            </w:r>
          </w:hyperlink>
        </w:p>
        <w:p w14:paraId="2663A351" w14:textId="38B3159F"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44" w:history="1">
            <w:r w:rsidR="00A53696" w:rsidRPr="00A53696">
              <w:rPr>
                <w:rStyle w:val="Hyperlink"/>
                <w:sz w:val="18"/>
              </w:rPr>
              <w:t>10.2.2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Solid-state technologies for THz applications: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_Toc42177344 \h </w:instrText>
            </w:r>
            <w:r w:rsidR="00A53696" w:rsidRPr="00A53696">
              <w:rPr>
                <w:webHidden/>
                <w:sz w:val="18"/>
              </w:rPr>
            </w:r>
            <w:r w:rsidR="00A53696" w:rsidRPr="00A53696">
              <w:rPr>
                <w:webHidden/>
                <w:sz w:val="18"/>
              </w:rPr>
              <w:fldChar w:fldCharType="separate"/>
            </w:r>
            <w:r w:rsidR="003F0180">
              <w:rPr>
                <w:webHidden/>
                <w:sz w:val="18"/>
              </w:rPr>
              <w:t>155</w:t>
            </w:r>
            <w:r w:rsidR="00A53696" w:rsidRPr="00A53696">
              <w:rPr>
                <w:webHidden/>
                <w:sz w:val="18"/>
              </w:rPr>
              <w:fldChar w:fldCharType="end"/>
            </w:r>
          </w:hyperlink>
        </w:p>
        <w:p w14:paraId="577D1385" w14:textId="4B5608C0"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45" w:history="1">
            <w:r w:rsidR="00A53696" w:rsidRPr="00A53696">
              <w:rPr>
                <w:rStyle w:val="Hyperlink"/>
                <w:sz w:val="18"/>
              </w:rPr>
              <w:t>10.2.3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Passive THz Imaging:</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_Toc42177345 \h </w:instrText>
            </w:r>
            <w:r w:rsidR="00A53696" w:rsidRPr="00A53696">
              <w:rPr>
                <w:webHidden/>
                <w:sz w:val="18"/>
              </w:rPr>
            </w:r>
            <w:r w:rsidR="00A53696" w:rsidRPr="00A53696">
              <w:rPr>
                <w:webHidden/>
                <w:sz w:val="18"/>
              </w:rPr>
              <w:fldChar w:fldCharType="separate"/>
            </w:r>
            <w:r w:rsidR="003F0180">
              <w:rPr>
                <w:webHidden/>
                <w:sz w:val="18"/>
              </w:rPr>
              <w:t>157</w:t>
            </w:r>
            <w:r w:rsidR="00A53696" w:rsidRPr="00A53696">
              <w:rPr>
                <w:webHidden/>
                <w:sz w:val="18"/>
              </w:rPr>
              <w:fldChar w:fldCharType="end"/>
            </w:r>
          </w:hyperlink>
        </w:p>
        <w:p w14:paraId="7462BEE3" w14:textId="4C10BDD8"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46" w:history="1">
            <w:r w:rsidR="00A53696" w:rsidRPr="00A53696">
              <w:rPr>
                <w:rStyle w:val="Hyperlink"/>
                <w:sz w:val="18"/>
              </w:rPr>
              <w:t>10.2.4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Active mm-wave and THz radar imaging:</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_Toc42177346 \h </w:instrText>
            </w:r>
            <w:r w:rsidR="00A53696" w:rsidRPr="00A53696">
              <w:rPr>
                <w:webHidden/>
                <w:sz w:val="18"/>
              </w:rPr>
            </w:r>
            <w:r w:rsidR="00A53696" w:rsidRPr="00A53696">
              <w:rPr>
                <w:webHidden/>
                <w:sz w:val="18"/>
              </w:rPr>
              <w:fldChar w:fldCharType="separate"/>
            </w:r>
            <w:r w:rsidR="003F0180">
              <w:rPr>
                <w:webHidden/>
                <w:sz w:val="18"/>
              </w:rPr>
              <w:t>158</w:t>
            </w:r>
            <w:r w:rsidR="00A53696" w:rsidRPr="00A53696">
              <w:rPr>
                <w:webHidden/>
                <w:sz w:val="18"/>
              </w:rPr>
              <w:fldChar w:fldCharType="end"/>
            </w:r>
          </w:hyperlink>
        </w:p>
        <w:p w14:paraId="0B42080C" w14:textId="469D9B3A" w:rsidR="00A53696" w:rsidRPr="00A53696" w:rsidRDefault="000C66C8">
          <w:pPr>
            <w:pStyle w:val="TOC2"/>
            <w:rPr>
              <w:rFonts w:asciiTheme="minorHAnsi" w:eastAsiaTheme="minorEastAsia" w:hAnsiTheme="minorHAnsi" w:cstheme="minorBidi"/>
              <w:b w:val="0"/>
              <w:color w:val="auto"/>
              <w:sz w:val="20"/>
              <w:lang w:eastAsia="en-GB"/>
            </w:rPr>
          </w:pPr>
          <w:hyperlink w:anchor="_Toc42177347" w:history="1">
            <w:r w:rsidR="00A53696" w:rsidRPr="00A53696">
              <w:rPr>
                <w:rStyle w:val="Hyperlink"/>
                <w:rFonts w:cs="Arial"/>
                <w:b w:val="0"/>
                <w:sz w:val="20"/>
              </w:rPr>
              <w:t>10.3</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Ultra-low Power Wireless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_Toc42177347 \h </w:instrText>
            </w:r>
            <w:r w:rsidR="00A53696" w:rsidRPr="00A53696">
              <w:rPr>
                <w:b w:val="0"/>
                <w:webHidden/>
                <w:sz w:val="20"/>
              </w:rPr>
            </w:r>
            <w:r w:rsidR="00A53696" w:rsidRPr="00A53696">
              <w:rPr>
                <w:b w:val="0"/>
                <w:webHidden/>
                <w:sz w:val="20"/>
              </w:rPr>
              <w:fldChar w:fldCharType="separate"/>
            </w:r>
            <w:r w:rsidR="003F0180">
              <w:rPr>
                <w:b w:val="0"/>
                <w:webHidden/>
                <w:sz w:val="20"/>
              </w:rPr>
              <w:t>158</w:t>
            </w:r>
            <w:r w:rsidR="00A53696" w:rsidRPr="00A53696">
              <w:rPr>
                <w:b w:val="0"/>
                <w:webHidden/>
                <w:sz w:val="20"/>
              </w:rPr>
              <w:fldChar w:fldCharType="end"/>
            </w:r>
          </w:hyperlink>
        </w:p>
        <w:p w14:paraId="7F3B7851" w14:textId="177E67E1"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48" w:history="1">
            <w:r w:rsidR="00A53696" w:rsidRPr="00A53696">
              <w:rPr>
                <w:rStyle w:val="Hyperlink"/>
                <w:sz w:val="18"/>
              </w:rPr>
              <w:t>10.3.1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Battery-free operation</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_Toc42177348 \h </w:instrText>
            </w:r>
            <w:r w:rsidR="00A53696" w:rsidRPr="00A53696">
              <w:rPr>
                <w:webHidden/>
                <w:sz w:val="18"/>
              </w:rPr>
            </w:r>
            <w:r w:rsidR="00A53696" w:rsidRPr="00A53696">
              <w:rPr>
                <w:webHidden/>
                <w:sz w:val="18"/>
              </w:rPr>
              <w:fldChar w:fldCharType="separate"/>
            </w:r>
            <w:r w:rsidR="003F0180">
              <w:rPr>
                <w:webHidden/>
                <w:sz w:val="18"/>
              </w:rPr>
              <w:t>158</w:t>
            </w:r>
            <w:r w:rsidR="00A53696" w:rsidRPr="00A53696">
              <w:rPr>
                <w:webHidden/>
                <w:sz w:val="18"/>
              </w:rPr>
              <w:fldChar w:fldCharType="end"/>
            </w:r>
          </w:hyperlink>
        </w:p>
        <w:p w14:paraId="2783B1F7" w14:textId="7CF563F3"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49" w:history="1">
            <w:r w:rsidR="00A53696" w:rsidRPr="00A53696">
              <w:rPr>
                <w:rStyle w:val="Hyperlink"/>
                <w:sz w:val="18"/>
              </w:rPr>
              <w:t>10.3.2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Spatial Awareness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_Toc42177349 \h </w:instrText>
            </w:r>
            <w:r w:rsidR="00A53696" w:rsidRPr="00A53696">
              <w:rPr>
                <w:webHidden/>
                <w:sz w:val="18"/>
              </w:rPr>
            </w:r>
            <w:r w:rsidR="00A53696" w:rsidRPr="00A53696">
              <w:rPr>
                <w:webHidden/>
                <w:sz w:val="18"/>
              </w:rPr>
              <w:fldChar w:fldCharType="separate"/>
            </w:r>
            <w:r w:rsidR="003F0180">
              <w:rPr>
                <w:webHidden/>
                <w:sz w:val="18"/>
              </w:rPr>
              <w:t>159</w:t>
            </w:r>
            <w:r w:rsidR="00A53696" w:rsidRPr="00A53696">
              <w:rPr>
                <w:webHidden/>
                <w:sz w:val="18"/>
              </w:rPr>
              <w:fldChar w:fldCharType="end"/>
            </w:r>
          </w:hyperlink>
        </w:p>
        <w:p w14:paraId="024F11FF" w14:textId="752BE1E1" w:rsidR="00A53696" w:rsidRPr="00A53696" w:rsidRDefault="000C66C8">
          <w:pPr>
            <w:pStyle w:val="TOC2"/>
            <w:rPr>
              <w:rFonts w:asciiTheme="minorHAnsi" w:eastAsiaTheme="minorEastAsia" w:hAnsiTheme="minorHAnsi" w:cstheme="minorBidi"/>
              <w:b w:val="0"/>
              <w:color w:val="auto"/>
              <w:sz w:val="20"/>
              <w:lang w:eastAsia="en-GB"/>
            </w:rPr>
          </w:pPr>
          <w:hyperlink w:anchor="_Toc42177350" w:history="1">
            <w:r w:rsidR="00A53696" w:rsidRPr="00A53696">
              <w:rPr>
                <w:rStyle w:val="Hyperlink"/>
                <w:rFonts w:cs="Arial"/>
                <w:b w:val="0"/>
                <w:sz w:val="20"/>
                <w:lang w:val="it-IT"/>
              </w:rPr>
              <w:t>10.4</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lang w:val="it-IT"/>
              </w:rPr>
              <w:t>Antenna and Packages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_Toc42177350 \h </w:instrText>
            </w:r>
            <w:r w:rsidR="00A53696" w:rsidRPr="00A53696">
              <w:rPr>
                <w:b w:val="0"/>
                <w:webHidden/>
                <w:sz w:val="20"/>
              </w:rPr>
            </w:r>
            <w:r w:rsidR="00A53696" w:rsidRPr="00A53696">
              <w:rPr>
                <w:b w:val="0"/>
                <w:webHidden/>
                <w:sz w:val="20"/>
              </w:rPr>
              <w:fldChar w:fldCharType="separate"/>
            </w:r>
            <w:r w:rsidR="003F0180">
              <w:rPr>
                <w:b w:val="0"/>
                <w:webHidden/>
                <w:sz w:val="20"/>
              </w:rPr>
              <w:t>159</w:t>
            </w:r>
            <w:r w:rsidR="00A53696" w:rsidRPr="00A53696">
              <w:rPr>
                <w:b w:val="0"/>
                <w:webHidden/>
                <w:sz w:val="20"/>
              </w:rPr>
              <w:fldChar w:fldCharType="end"/>
            </w:r>
          </w:hyperlink>
        </w:p>
        <w:p w14:paraId="2E721F22" w14:textId="2C7423DA"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51" w:history="1">
            <w:r w:rsidR="00A53696" w:rsidRPr="00A53696">
              <w:rPr>
                <w:rStyle w:val="Hyperlink"/>
                <w:sz w:val="18"/>
              </w:rPr>
              <w:t>10.4.1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On-chip antennas, lens-integrated antennas, antenna MIMO arrays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_Toc42177351 \h </w:instrText>
            </w:r>
            <w:r w:rsidR="00A53696" w:rsidRPr="00A53696">
              <w:rPr>
                <w:webHidden/>
                <w:sz w:val="18"/>
              </w:rPr>
            </w:r>
            <w:r w:rsidR="00A53696" w:rsidRPr="00A53696">
              <w:rPr>
                <w:webHidden/>
                <w:sz w:val="18"/>
              </w:rPr>
              <w:fldChar w:fldCharType="separate"/>
            </w:r>
            <w:r w:rsidR="003F0180">
              <w:rPr>
                <w:webHidden/>
                <w:sz w:val="18"/>
              </w:rPr>
              <w:t>159</w:t>
            </w:r>
            <w:r w:rsidR="00A53696" w:rsidRPr="00A53696">
              <w:rPr>
                <w:webHidden/>
                <w:sz w:val="18"/>
              </w:rPr>
              <w:fldChar w:fldCharType="end"/>
            </w:r>
          </w:hyperlink>
        </w:p>
        <w:p w14:paraId="6B21175F" w14:textId="7DE61C3E"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52" w:history="1">
            <w:r w:rsidR="00A53696" w:rsidRPr="00A53696">
              <w:rPr>
                <w:rStyle w:val="Hyperlink"/>
                <w:sz w:val="18"/>
              </w:rPr>
              <w:t>10.4.2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Metamaterials and metasurfaces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_Toc42177352 \h </w:instrText>
            </w:r>
            <w:r w:rsidR="00A53696" w:rsidRPr="00A53696">
              <w:rPr>
                <w:webHidden/>
                <w:sz w:val="18"/>
              </w:rPr>
            </w:r>
            <w:r w:rsidR="00A53696" w:rsidRPr="00A53696">
              <w:rPr>
                <w:webHidden/>
                <w:sz w:val="18"/>
              </w:rPr>
              <w:fldChar w:fldCharType="separate"/>
            </w:r>
            <w:r w:rsidR="003F0180">
              <w:rPr>
                <w:webHidden/>
                <w:sz w:val="18"/>
              </w:rPr>
              <w:t>160</w:t>
            </w:r>
            <w:r w:rsidR="00A53696" w:rsidRPr="00A53696">
              <w:rPr>
                <w:webHidden/>
                <w:sz w:val="18"/>
              </w:rPr>
              <w:fldChar w:fldCharType="end"/>
            </w:r>
          </w:hyperlink>
        </w:p>
        <w:p w14:paraId="6F8A74F2" w14:textId="5E1A7768" w:rsidR="00A53696" w:rsidRPr="00A53696" w:rsidRDefault="000C66C8">
          <w:pPr>
            <w:pStyle w:val="TOC2"/>
            <w:rPr>
              <w:rFonts w:asciiTheme="minorHAnsi" w:eastAsiaTheme="minorEastAsia" w:hAnsiTheme="minorHAnsi" w:cstheme="minorBidi"/>
              <w:b w:val="0"/>
              <w:color w:val="auto"/>
              <w:sz w:val="20"/>
              <w:lang w:eastAsia="en-GB"/>
            </w:rPr>
          </w:pPr>
          <w:hyperlink w:anchor="_Toc42177353" w:history="1">
            <w:r w:rsidR="00A53696" w:rsidRPr="00A53696">
              <w:rPr>
                <w:rStyle w:val="Hyperlink"/>
                <w:rFonts w:cs="Arial"/>
                <w:b w:val="0"/>
                <w:sz w:val="20"/>
              </w:rPr>
              <w:t>10.5</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High-speed Transceivers, Wireline and Optical</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_Toc42177353 \h </w:instrText>
            </w:r>
            <w:r w:rsidR="00A53696" w:rsidRPr="00A53696">
              <w:rPr>
                <w:b w:val="0"/>
                <w:webHidden/>
                <w:sz w:val="20"/>
              </w:rPr>
            </w:r>
            <w:r w:rsidR="00A53696" w:rsidRPr="00A53696">
              <w:rPr>
                <w:b w:val="0"/>
                <w:webHidden/>
                <w:sz w:val="20"/>
              </w:rPr>
              <w:fldChar w:fldCharType="separate"/>
            </w:r>
            <w:r w:rsidR="003F0180">
              <w:rPr>
                <w:b w:val="0"/>
                <w:webHidden/>
                <w:sz w:val="20"/>
              </w:rPr>
              <w:t>161</w:t>
            </w:r>
            <w:r w:rsidR="00A53696" w:rsidRPr="00A53696">
              <w:rPr>
                <w:b w:val="0"/>
                <w:webHidden/>
                <w:sz w:val="20"/>
              </w:rPr>
              <w:fldChar w:fldCharType="end"/>
            </w:r>
          </w:hyperlink>
        </w:p>
        <w:p w14:paraId="2DB5553C" w14:textId="654D0822"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54" w:history="1">
            <w:r w:rsidR="00A53696" w:rsidRPr="00A53696">
              <w:rPr>
                <w:rStyle w:val="Hyperlink"/>
                <w:sz w:val="18"/>
              </w:rPr>
              <w:t>10.5.1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Radio-over-fiber communication, sub-systems and components for B5G and 6G networks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_Toc42177354 \h </w:instrText>
            </w:r>
            <w:r w:rsidR="00A53696" w:rsidRPr="00A53696">
              <w:rPr>
                <w:webHidden/>
                <w:sz w:val="18"/>
              </w:rPr>
            </w:r>
            <w:r w:rsidR="00A53696" w:rsidRPr="00A53696">
              <w:rPr>
                <w:webHidden/>
                <w:sz w:val="18"/>
              </w:rPr>
              <w:fldChar w:fldCharType="separate"/>
            </w:r>
            <w:r w:rsidR="003F0180">
              <w:rPr>
                <w:webHidden/>
                <w:sz w:val="18"/>
              </w:rPr>
              <w:t>161</w:t>
            </w:r>
            <w:r w:rsidR="00A53696" w:rsidRPr="00A53696">
              <w:rPr>
                <w:webHidden/>
                <w:sz w:val="18"/>
              </w:rPr>
              <w:fldChar w:fldCharType="end"/>
            </w:r>
          </w:hyperlink>
        </w:p>
        <w:p w14:paraId="2093B93D" w14:textId="009C99C7"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55" w:history="1">
            <w:r w:rsidR="00A53696" w:rsidRPr="00A53696">
              <w:rPr>
                <w:rStyle w:val="Hyperlink"/>
                <w:sz w:val="18"/>
              </w:rPr>
              <w:t>10.5.2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Terabaud capable opto-electronic transceivers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_Toc42177355 \h </w:instrText>
            </w:r>
            <w:r w:rsidR="00A53696" w:rsidRPr="00A53696">
              <w:rPr>
                <w:webHidden/>
                <w:sz w:val="18"/>
              </w:rPr>
            </w:r>
            <w:r w:rsidR="00A53696" w:rsidRPr="00A53696">
              <w:rPr>
                <w:webHidden/>
                <w:sz w:val="18"/>
              </w:rPr>
              <w:fldChar w:fldCharType="separate"/>
            </w:r>
            <w:r w:rsidR="003F0180">
              <w:rPr>
                <w:webHidden/>
                <w:sz w:val="18"/>
              </w:rPr>
              <w:t>161</w:t>
            </w:r>
            <w:r w:rsidR="00A53696" w:rsidRPr="00A53696">
              <w:rPr>
                <w:webHidden/>
                <w:sz w:val="18"/>
              </w:rPr>
              <w:fldChar w:fldCharType="end"/>
            </w:r>
          </w:hyperlink>
        </w:p>
        <w:p w14:paraId="5E3615DA" w14:textId="0AAAED91"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56" w:history="1">
            <w:r w:rsidR="00A53696" w:rsidRPr="00A53696">
              <w:rPr>
                <w:rStyle w:val="Hyperlink"/>
                <w:sz w:val="18"/>
              </w:rPr>
              <w:t>10.5.3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Ultra low-cost and low-power coherent “lite” transceivers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_Toc42177356 \h </w:instrText>
            </w:r>
            <w:r w:rsidR="00A53696" w:rsidRPr="00A53696">
              <w:rPr>
                <w:webHidden/>
                <w:sz w:val="18"/>
              </w:rPr>
            </w:r>
            <w:r w:rsidR="00A53696" w:rsidRPr="00A53696">
              <w:rPr>
                <w:webHidden/>
                <w:sz w:val="18"/>
              </w:rPr>
              <w:fldChar w:fldCharType="separate"/>
            </w:r>
            <w:r w:rsidR="003F0180">
              <w:rPr>
                <w:webHidden/>
                <w:sz w:val="18"/>
              </w:rPr>
              <w:t>163</w:t>
            </w:r>
            <w:r w:rsidR="00A53696" w:rsidRPr="00A53696">
              <w:rPr>
                <w:webHidden/>
                <w:sz w:val="18"/>
              </w:rPr>
              <w:fldChar w:fldCharType="end"/>
            </w:r>
          </w:hyperlink>
        </w:p>
        <w:p w14:paraId="5BF12AFA" w14:textId="78CEF0FC"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57" w:history="1">
            <w:r w:rsidR="00A53696" w:rsidRPr="00A53696">
              <w:rPr>
                <w:rStyle w:val="Hyperlink"/>
                <w:sz w:val="18"/>
              </w:rPr>
              <w:t>10.5.4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Optically assisted wireless subsystems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_Toc42177357 \h </w:instrText>
            </w:r>
            <w:r w:rsidR="00A53696" w:rsidRPr="00A53696">
              <w:rPr>
                <w:webHidden/>
                <w:sz w:val="18"/>
              </w:rPr>
            </w:r>
            <w:r w:rsidR="00A53696" w:rsidRPr="00A53696">
              <w:rPr>
                <w:webHidden/>
                <w:sz w:val="18"/>
              </w:rPr>
              <w:fldChar w:fldCharType="separate"/>
            </w:r>
            <w:r w:rsidR="003F0180">
              <w:rPr>
                <w:webHidden/>
                <w:sz w:val="18"/>
              </w:rPr>
              <w:t>164</w:t>
            </w:r>
            <w:r w:rsidR="00A53696" w:rsidRPr="00A53696">
              <w:rPr>
                <w:webHidden/>
                <w:sz w:val="18"/>
              </w:rPr>
              <w:fldChar w:fldCharType="end"/>
            </w:r>
          </w:hyperlink>
        </w:p>
        <w:p w14:paraId="4E0AB068" w14:textId="3733FEB4" w:rsidR="00A53696" w:rsidRPr="00A53696" w:rsidRDefault="000C66C8">
          <w:pPr>
            <w:pStyle w:val="TOC2"/>
            <w:rPr>
              <w:rFonts w:asciiTheme="minorHAnsi" w:eastAsiaTheme="minorEastAsia" w:hAnsiTheme="minorHAnsi" w:cstheme="minorBidi"/>
              <w:b w:val="0"/>
              <w:color w:val="auto"/>
              <w:sz w:val="20"/>
              <w:lang w:eastAsia="en-GB"/>
            </w:rPr>
          </w:pPr>
          <w:hyperlink w:anchor="_Toc42177358" w:history="1">
            <w:r w:rsidR="00A53696" w:rsidRPr="00A53696">
              <w:rPr>
                <w:rStyle w:val="Hyperlink"/>
                <w:rFonts w:cs="Arial"/>
                <w:b w:val="0"/>
                <w:sz w:val="20"/>
                <w:lang w:val="nl-BE"/>
              </w:rPr>
              <w:t>10.6</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lang w:val="nl-BE"/>
              </w:rPr>
              <w:t>Baseband Modems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_Toc42177358 \h </w:instrText>
            </w:r>
            <w:r w:rsidR="00A53696" w:rsidRPr="00A53696">
              <w:rPr>
                <w:b w:val="0"/>
                <w:webHidden/>
                <w:sz w:val="20"/>
              </w:rPr>
            </w:r>
            <w:r w:rsidR="00A53696" w:rsidRPr="00A53696">
              <w:rPr>
                <w:b w:val="0"/>
                <w:webHidden/>
                <w:sz w:val="20"/>
              </w:rPr>
              <w:fldChar w:fldCharType="separate"/>
            </w:r>
            <w:r w:rsidR="003F0180">
              <w:rPr>
                <w:b w:val="0"/>
                <w:webHidden/>
                <w:sz w:val="20"/>
              </w:rPr>
              <w:t>164</w:t>
            </w:r>
            <w:r w:rsidR="00A53696" w:rsidRPr="00A53696">
              <w:rPr>
                <w:b w:val="0"/>
                <w:webHidden/>
                <w:sz w:val="20"/>
              </w:rPr>
              <w:fldChar w:fldCharType="end"/>
            </w:r>
          </w:hyperlink>
        </w:p>
        <w:p w14:paraId="0B1E5BBA" w14:textId="1B1B81EE" w:rsidR="00A53696" w:rsidRPr="00A53696" w:rsidRDefault="000C66C8">
          <w:pPr>
            <w:pStyle w:val="TOC2"/>
            <w:rPr>
              <w:rFonts w:asciiTheme="minorHAnsi" w:eastAsiaTheme="minorEastAsia" w:hAnsiTheme="minorHAnsi" w:cstheme="minorBidi"/>
              <w:b w:val="0"/>
              <w:color w:val="auto"/>
              <w:sz w:val="20"/>
              <w:lang w:eastAsia="en-GB"/>
            </w:rPr>
          </w:pPr>
          <w:hyperlink w:anchor="_Toc42177359" w:history="1">
            <w:r w:rsidR="00A53696" w:rsidRPr="00A53696">
              <w:rPr>
                <w:rStyle w:val="Hyperlink"/>
                <w:rFonts w:cs="Arial"/>
                <w:b w:val="0"/>
                <w:sz w:val="20"/>
              </w:rPr>
              <w:t>10.7</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Processors for Cloud-AI, Edge-AI and on-device-AI</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_Toc42177359 \h </w:instrText>
            </w:r>
            <w:r w:rsidR="00A53696" w:rsidRPr="00A53696">
              <w:rPr>
                <w:b w:val="0"/>
                <w:webHidden/>
                <w:sz w:val="20"/>
              </w:rPr>
            </w:r>
            <w:r w:rsidR="00A53696" w:rsidRPr="00A53696">
              <w:rPr>
                <w:b w:val="0"/>
                <w:webHidden/>
                <w:sz w:val="20"/>
              </w:rPr>
              <w:fldChar w:fldCharType="separate"/>
            </w:r>
            <w:r w:rsidR="003F0180">
              <w:rPr>
                <w:b w:val="0"/>
                <w:webHidden/>
                <w:sz w:val="20"/>
              </w:rPr>
              <w:t>165</w:t>
            </w:r>
            <w:r w:rsidR="00A53696" w:rsidRPr="00A53696">
              <w:rPr>
                <w:b w:val="0"/>
                <w:webHidden/>
                <w:sz w:val="20"/>
              </w:rPr>
              <w:fldChar w:fldCharType="end"/>
            </w:r>
          </w:hyperlink>
        </w:p>
        <w:p w14:paraId="26B1AF29" w14:textId="03AD0997" w:rsidR="00A53696" w:rsidRPr="00A53696" w:rsidRDefault="000C66C8">
          <w:pPr>
            <w:pStyle w:val="TOC2"/>
            <w:rPr>
              <w:rFonts w:asciiTheme="minorHAnsi" w:eastAsiaTheme="minorEastAsia" w:hAnsiTheme="minorHAnsi" w:cstheme="minorBidi"/>
              <w:b w:val="0"/>
              <w:color w:val="auto"/>
              <w:sz w:val="20"/>
              <w:lang w:eastAsia="en-GB"/>
            </w:rPr>
          </w:pPr>
          <w:hyperlink w:anchor="_Toc42177360" w:history="1">
            <w:r w:rsidR="00A53696" w:rsidRPr="00A53696">
              <w:rPr>
                <w:rStyle w:val="Hyperlink"/>
                <w:rFonts w:cs="Arial"/>
                <w:b w:val="0"/>
                <w:sz w:val="20"/>
              </w:rPr>
              <w:t>10.8</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Memories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_Toc42177360 \h </w:instrText>
            </w:r>
            <w:r w:rsidR="00A53696" w:rsidRPr="00A53696">
              <w:rPr>
                <w:b w:val="0"/>
                <w:webHidden/>
                <w:sz w:val="20"/>
              </w:rPr>
            </w:r>
            <w:r w:rsidR="00A53696" w:rsidRPr="00A53696">
              <w:rPr>
                <w:b w:val="0"/>
                <w:webHidden/>
                <w:sz w:val="20"/>
              </w:rPr>
              <w:fldChar w:fldCharType="separate"/>
            </w:r>
            <w:r w:rsidR="003F0180">
              <w:rPr>
                <w:b w:val="0"/>
                <w:webHidden/>
                <w:sz w:val="20"/>
              </w:rPr>
              <w:t>167</w:t>
            </w:r>
            <w:r w:rsidR="00A53696" w:rsidRPr="00A53696">
              <w:rPr>
                <w:b w:val="0"/>
                <w:webHidden/>
                <w:sz w:val="20"/>
              </w:rPr>
              <w:fldChar w:fldCharType="end"/>
            </w:r>
          </w:hyperlink>
        </w:p>
        <w:p w14:paraId="09998167" w14:textId="0F413F8C"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61" w:history="1">
            <w:r w:rsidR="00A53696" w:rsidRPr="00A53696">
              <w:rPr>
                <w:rStyle w:val="Hyperlink"/>
                <w:sz w:val="18"/>
              </w:rPr>
              <w:t>10.8.1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Memory technologies towards 2030</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_Toc42177361 \h </w:instrText>
            </w:r>
            <w:r w:rsidR="00A53696" w:rsidRPr="00A53696">
              <w:rPr>
                <w:webHidden/>
                <w:sz w:val="18"/>
              </w:rPr>
            </w:r>
            <w:r w:rsidR="00A53696" w:rsidRPr="00A53696">
              <w:rPr>
                <w:webHidden/>
                <w:sz w:val="18"/>
              </w:rPr>
              <w:fldChar w:fldCharType="separate"/>
            </w:r>
            <w:r w:rsidR="003F0180">
              <w:rPr>
                <w:webHidden/>
                <w:sz w:val="18"/>
              </w:rPr>
              <w:t>167</w:t>
            </w:r>
            <w:r w:rsidR="00A53696" w:rsidRPr="00A53696">
              <w:rPr>
                <w:webHidden/>
                <w:sz w:val="18"/>
              </w:rPr>
              <w:fldChar w:fldCharType="end"/>
            </w:r>
          </w:hyperlink>
        </w:p>
        <w:p w14:paraId="61060729" w14:textId="1AF0588C"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62" w:history="1">
            <w:r w:rsidR="00A53696" w:rsidRPr="00A53696">
              <w:rPr>
                <w:rStyle w:val="Hyperlink"/>
                <w:sz w:val="18"/>
              </w:rPr>
              <w:t>10.8.2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Compute-in-Memory</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_Toc42177362 \h </w:instrText>
            </w:r>
            <w:r w:rsidR="00A53696" w:rsidRPr="00A53696">
              <w:rPr>
                <w:webHidden/>
                <w:sz w:val="18"/>
              </w:rPr>
            </w:r>
            <w:r w:rsidR="00A53696" w:rsidRPr="00A53696">
              <w:rPr>
                <w:webHidden/>
                <w:sz w:val="18"/>
              </w:rPr>
              <w:fldChar w:fldCharType="separate"/>
            </w:r>
            <w:r w:rsidR="003F0180">
              <w:rPr>
                <w:webHidden/>
                <w:sz w:val="18"/>
              </w:rPr>
              <w:t>169</w:t>
            </w:r>
            <w:r w:rsidR="00A53696" w:rsidRPr="00A53696">
              <w:rPr>
                <w:webHidden/>
                <w:sz w:val="18"/>
              </w:rPr>
              <w:fldChar w:fldCharType="end"/>
            </w:r>
          </w:hyperlink>
        </w:p>
        <w:p w14:paraId="3F4D9952" w14:textId="3A5D6ECC" w:rsidR="00A53696" w:rsidRPr="00A53696" w:rsidRDefault="000C66C8">
          <w:pPr>
            <w:pStyle w:val="TOC2"/>
            <w:rPr>
              <w:rFonts w:asciiTheme="minorHAnsi" w:eastAsiaTheme="minorEastAsia" w:hAnsiTheme="minorHAnsi" w:cstheme="minorBidi"/>
              <w:b w:val="0"/>
              <w:color w:val="auto"/>
              <w:sz w:val="20"/>
              <w:lang w:eastAsia="en-GB"/>
            </w:rPr>
          </w:pPr>
          <w:hyperlink w:anchor="_Toc42177363" w:history="1">
            <w:r w:rsidR="00A53696" w:rsidRPr="00A53696">
              <w:rPr>
                <w:rStyle w:val="Hyperlink"/>
                <w:rFonts w:cs="Arial"/>
                <w:b w:val="0"/>
                <w:sz w:val="20"/>
              </w:rPr>
              <w:t>10.9</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Hardware for Security</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_Toc42177363 \h </w:instrText>
            </w:r>
            <w:r w:rsidR="00A53696" w:rsidRPr="00A53696">
              <w:rPr>
                <w:b w:val="0"/>
                <w:webHidden/>
                <w:sz w:val="20"/>
              </w:rPr>
            </w:r>
            <w:r w:rsidR="00A53696" w:rsidRPr="00A53696">
              <w:rPr>
                <w:b w:val="0"/>
                <w:webHidden/>
                <w:sz w:val="20"/>
              </w:rPr>
              <w:fldChar w:fldCharType="separate"/>
            </w:r>
            <w:r w:rsidR="003F0180">
              <w:rPr>
                <w:b w:val="0"/>
                <w:webHidden/>
                <w:sz w:val="20"/>
              </w:rPr>
              <w:t>170</w:t>
            </w:r>
            <w:r w:rsidR="00A53696" w:rsidRPr="00A53696">
              <w:rPr>
                <w:b w:val="0"/>
                <w:webHidden/>
                <w:sz w:val="20"/>
              </w:rPr>
              <w:fldChar w:fldCharType="end"/>
            </w:r>
          </w:hyperlink>
        </w:p>
        <w:p w14:paraId="1EFFA812" w14:textId="49ACECFF" w:rsidR="00A53696" w:rsidRPr="00A53696" w:rsidRDefault="000C66C8">
          <w:pPr>
            <w:pStyle w:val="TOC2"/>
            <w:rPr>
              <w:rFonts w:asciiTheme="minorHAnsi" w:eastAsiaTheme="minorEastAsia" w:hAnsiTheme="minorHAnsi" w:cstheme="minorBidi"/>
              <w:b w:val="0"/>
              <w:color w:val="auto"/>
              <w:sz w:val="20"/>
              <w:lang w:eastAsia="en-GB"/>
            </w:rPr>
          </w:pPr>
          <w:hyperlink w:anchor="_Toc42177364" w:history="1">
            <w:r w:rsidR="00A53696" w:rsidRPr="00A53696">
              <w:rPr>
                <w:rStyle w:val="Hyperlink"/>
                <w:rFonts w:cs="Arial"/>
                <w:b w:val="0"/>
                <w:sz w:val="20"/>
              </w:rPr>
              <w:t>10.10</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Opportunities for IoT Components and Devices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_Toc42177364 \h </w:instrText>
            </w:r>
            <w:r w:rsidR="00A53696" w:rsidRPr="00A53696">
              <w:rPr>
                <w:b w:val="0"/>
                <w:webHidden/>
                <w:sz w:val="20"/>
              </w:rPr>
            </w:r>
            <w:r w:rsidR="00A53696" w:rsidRPr="00A53696">
              <w:rPr>
                <w:b w:val="0"/>
                <w:webHidden/>
                <w:sz w:val="20"/>
              </w:rPr>
              <w:fldChar w:fldCharType="separate"/>
            </w:r>
            <w:r w:rsidR="003F0180">
              <w:rPr>
                <w:b w:val="0"/>
                <w:webHidden/>
                <w:sz w:val="20"/>
              </w:rPr>
              <w:t>171</w:t>
            </w:r>
            <w:r w:rsidR="00A53696" w:rsidRPr="00A53696">
              <w:rPr>
                <w:b w:val="0"/>
                <w:webHidden/>
                <w:sz w:val="20"/>
              </w:rPr>
              <w:fldChar w:fldCharType="end"/>
            </w:r>
          </w:hyperlink>
        </w:p>
        <w:p w14:paraId="50DF86BE" w14:textId="25F96DEB"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65" w:history="1">
            <w:r w:rsidR="00A53696" w:rsidRPr="00A53696">
              <w:rPr>
                <w:rStyle w:val="Hyperlink"/>
                <w:sz w:val="18"/>
              </w:rPr>
              <w:t>10.10.1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Approach for components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_Toc42177365 \h </w:instrText>
            </w:r>
            <w:r w:rsidR="00A53696" w:rsidRPr="00A53696">
              <w:rPr>
                <w:webHidden/>
                <w:sz w:val="18"/>
              </w:rPr>
            </w:r>
            <w:r w:rsidR="00A53696" w:rsidRPr="00A53696">
              <w:rPr>
                <w:webHidden/>
                <w:sz w:val="18"/>
              </w:rPr>
              <w:fldChar w:fldCharType="separate"/>
            </w:r>
            <w:r w:rsidR="003F0180">
              <w:rPr>
                <w:webHidden/>
                <w:sz w:val="18"/>
              </w:rPr>
              <w:t>172</w:t>
            </w:r>
            <w:r w:rsidR="00A53696" w:rsidRPr="00A53696">
              <w:rPr>
                <w:webHidden/>
                <w:sz w:val="18"/>
              </w:rPr>
              <w:fldChar w:fldCharType="end"/>
            </w:r>
          </w:hyperlink>
        </w:p>
        <w:p w14:paraId="2A40F673" w14:textId="66949478"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66" w:history="1">
            <w:r w:rsidR="00A53696" w:rsidRPr="00A53696">
              <w:rPr>
                <w:rStyle w:val="Hyperlink"/>
                <w:sz w:val="18"/>
              </w:rPr>
              <w:t>10.10.2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Approach for devices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_Toc42177366 \h </w:instrText>
            </w:r>
            <w:r w:rsidR="00A53696" w:rsidRPr="00A53696">
              <w:rPr>
                <w:webHidden/>
                <w:sz w:val="18"/>
              </w:rPr>
            </w:r>
            <w:r w:rsidR="00A53696" w:rsidRPr="00A53696">
              <w:rPr>
                <w:webHidden/>
                <w:sz w:val="18"/>
              </w:rPr>
              <w:fldChar w:fldCharType="separate"/>
            </w:r>
            <w:r w:rsidR="003F0180">
              <w:rPr>
                <w:webHidden/>
                <w:sz w:val="18"/>
              </w:rPr>
              <w:t>173</w:t>
            </w:r>
            <w:r w:rsidR="00A53696" w:rsidRPr="00A53696">
              <w:rPr>
                <w:webHidden/>
                <w:sz w:val="18"/>
              </w:rPr>
              <w:fldChar w:fldCharType="end"/>
            </w:r>
          </w:hyperlink>
        </w:p>
        <w:p w14:paraId="193B61F0" w14:textId="34676021"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67" w:history="1">
            <w:r w:rsidR="00A53696" w:rsidRPr="00A53696">
              <w:rPr>
                <w:rStyle w:val="Hyperlink"/>
                <w:sz w:val="18"/>
              </w:rPr>
              <w:t>10.10.3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Requirements for IoT devices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_Toc42177367 \h </w:instrText>
            </w:r>
            <w:r w:rsidR="00A53696" w:rsidRPr="00A53696">
              <w:rPr>
                <w:webHidden/>
                <w:sz w:val="18"/>
              </w:rPr>
            </w:r>
            <w:r w:rsidR="00A53696" w:rsidRPr="00A53696">
              <w:rPr>
                <w:webHidden/>
                <w:sz w:val="18"/>
              </w:rPr>
              <w:fldChar w:fldCharType="separate"/>
            </w:r>
            <w:r w:rsidR="003F0180">
              <w:rPr>
                <w:webHidden/>
                <w:sz w:val="18"/>
              </w:rPr>
              <w:t>173</w:t>
            </w:r>
            <w:r w:rsidR="00A53696" w:rsidRPr="00A53696">
              <w:rPr>
                <w:webHidden/>
                <w:sz w:val="18"/>
              </w:rPr>
              <w:fldChar w:fldCharType="end"/>
            </w:r>
          </w:hyperlink>
        </w:p>
        <w:p w14:paraId="1628E498" w14:textId="2C14B296"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368" w:history="1">
            <w:r w:rsidR="00A53696" w:rsidRPr="00A53696">
              <w:rPr>
                <w:rStyle w:val="Hyperlink"/>
                <w:rFonts w:cstheme="minorHAnsi"/>
                <w:sz w:val="20"/>
              </w:rPr>
              <w:t>11.</w:t>
            </w:r>
            <w:r w:rsidR="00A53696" w:rsidRPr="00A53696">
              <w:rPr>
                <w:rFonts w:asciiTheme="minorHAnsi" w:eastAsiaTheme="minorEastAsia" w:hAnsiTheme="minorHAnsi" w:cstheme="minorBidi"/>
                <w:bCs w:val="0"/>
                <w:color w:val="auto"/>
                <w:sz w:val="20"/>
                <w:szCs w:val="22"/>
                <w:lang w:val="en-GB" w:eastAsia="en-GB"/>
              </w:rPr>
              <w:tab/>
            </w:r>
            <w:r w:rsidR="00A53696" w:rsidRPr="00A53696">
              <w:rPr>
                <w:rStyle w:val="Hyperlink"/>
                <w:sz w:val="20"/>
              </w:rPr>
              <w:t>Emerging Technologies and Challenging Trends</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_Toc42177368 \h </w:instrText>
            </w:r>
            <w:r w:rsidR="00A53696" w:rsidRPr="00A53696">
              <w:rPr>
                <w:webHidden/>
                <w:sz w:val="20"/>
              </w:rPr>
            </w:r>
            <w:r w:rsidR="00A53696" w:rsidRPr="00A53696">
              <w:rPr>
                <w:webHidden/>
                <w:sz w:val="20"/>
              </w:rPr>
              <w:fldChar w:fldCharType="separate"/>
            </w:r>
            <w:r w:rsidR="003F0180">
              <w:rPr>
                <w:webHidden/>
                <w:sz w:val="20"/>
              </w:rPr>
              <w:t>175</w:t>
            </w:r>
            <w:r w:rsidR="00A53696" w:rsidRPr="00A53696">
              <w:rPr>
                <w:webHidden/>
                <w:sz w:val="20"/>
              </w:rPr>
              <w:fldChar w:fldCharType="end"/>
            </w:r>
          </w:hyperlink>
        </w:p>
        <w:p w14:paraId="39D65BBC" w14:textId="63B27B59" w:rsidR="00A53696" w:rsidRPr="00A53696" w:rsidRDefault="000C66C8">
          <w:pPr>
            <w:pStyle w:val="TOC2"/>
            <w:rPr>
              <w:rFonts w:asciiTheme="minorHAnsi" w:eastAsiaTheme="minorEastAsia" w:hAnsiTheme="minorHAnsi" w:cstheme="minorBidi"/>
              <w:b w:val="0"/>
              <w:color w:val="auto"/>
              <w:sz w:val="20"/>
              <w:lang w:eastAsia="en-GB"/>
            </w:rPr>
          </w:pPr>
          <w:hyperlink w:anchor="_Toc42177369" w:history="1">
            <w:r w:rsidR="00A53696" w:rsidRPr="00A53696">
              <w:rPr>
                <w:rStyle w:val="Hyperlink"/>
                <w:b w:val="0"/>
                <w:sz w:val="20"/>
              </w:rPr>
              <w:t>11.1</w:t>
            </w:r>
            <w:r w:rsidR="00A53696" w:rsidRPr="00A53696">
              <w:rPr>
                <w:rFonts w:asciiTheme="minorHAnsi" w:eastAsiaTheme="minorEastAsia" w:hAnsiTheme="minorHAnsi" w:cstheme="minorBidi"/>
                <w:b w:val="0"/>
                <w:color w:val="auto"/>
                <w:sz w:val="20"/>
                <w:lang w:eastAsia="en-GB"/>
              </w:rPr>
              <w:tab/>
            </w:r>
            <w:r w:rsidR="00A53696" w:rsidRPr="00A53696">
              <w:rPr>
                <w:rStyle w:val="Hyperlink"/>
                <w:b w:val="0"/>
                <w:sz w:val="20"/>
              </w:rPr>
              <w:t>The Physical Stratum: Communication and Computing Resources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_Toc42177369 \h </w:instrText>
            </w:r>
            <w:r w:rsidR="00A53696" w:rsidRPr="00A53696">
              <w:rPr>
                <w:b w:val="0"/>
                <w:webHidden/>
                <w:sz w:val="20"/>
              </w:rPr>
            </w:r>
            <w:r w:rsidR="00A53696" w:rsidRPr="00A53696">
              <w:rPr>
                <w:b w:val="0"/>
                <w:webHidden/>
                <w:sz w:val="20"/>
              </w:rPr>
              <w:fldChar w:fldCharType="separate"/>
            </w:r>
            <w:r w:rsidR="003F0180">
              <w:rPr>
                <w:b w:val="0"/>
                <w:webHidden/>
                <w:sz w:val="20"/>
              </w:rPr>
              <w:t>178</w:t>
            </w:r>
            <w:r w:rsidR="00A53696" w:rsidRPr="00A53696">
              <w:rPr>
                <w:b w:val="0"/>
                <w:webHidden/>
                <w:sz w:val="20"/>
              </w:rPr>
              <w:fldChar w:fldCharType="end"/>
            </w:r>
          </w:hyperlink>
        </w:p>
        <w:p w14:paraId="6F89FDD5" w14:textId="28E49E6F"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0" w:history="1">
            <w:r w:rsidR="00A53696" w:rsidRPr="00A53696">
              <w:rPr>
                <w:rStyle w:val="Hyperlink"/>
                <w:sz w:val="18"/>
              </w:rPr>
              <w:t>11.1.1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Nano- and Bio-Nano Things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_Toc42177370 \h </w:instrText>
            </w:r>
            <w:r w:rsidR="00A53696" w:rsidRPr="00A53696">
              <w:rPr>
                <w:webHidden/>
                <w:sz w:val="18"/>
              </w:rPr>
            </w:r>
            <w:r w:rsidR="00A53696" w:rsidRPr="00A53696">
              <w:rPr>
                <w:webHidden/>
                <w:sz w:val="18"/>
              </w:rPr>
              <w:fldChar w:fldCharType="separate"/>
            </w:r>
            <w:r w:rsidR="003F0180">
              <w:rPr>
                <w:webHidden/>
                <w:sz w:val="18"/>
              </w:rPr>
              <w:t>178</w:t>
            </w:r>
            <w:r w:rsidR="00A53696" w:rsidRPr="00A53696">
              <w:rPr>
                <w:webHidden/>
                <w:sz w:val="18"/>
              </w:rPr>
              <w:fldChar w:fldCharType="end"/>
            </w:r>
          </w:hyperlink>
        </w:p>
        <w:p w14:paraId="1BDBB99C" w14:textId="16946DC4"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1" w:history="1">
            <w:r w:rsidR="00A53696" w:rsidRPr="00A53696">
              <w:rPr>
                <w:rStyle w:val="Hyperlink"/>
                <w:sz w:val="18"/>
              </w:rPr>
              <w:t>11.1.2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Quantum Networking</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_Toc42177371 \h </w:instrText>
            </w:r>
            <w:r w:rsidR="00A53696" w:rsidRPr="00A53696">
              <w:rPr>
                <w:webHidden/>
                <w:sz w:val="18"/>
              </w:rPr>
            </w:r>
            <w:r w:rsidR="00A53696" w:rsidRPr="00A53696">
              <w:rPr>
                <w:webHidden/>
                <w:sz w:val="18"/>
              </w:rPr>
              <w:fldChar w:fldCharType="separate"/>
            </w:r>
            <w:r w:rsidR="003F0180">
              <w:rPr>
                <w:webHidden/>
                <w:sz w:val="18"/>
              </w:rPr>
              <w:t>180</w:t>
            </w:r>
            <w:r w:rsidR="00A53696" w:rsidRPr="00A53696">
              <w:rPr>
                <w:webHidden/>
                <w:sz w:val="18"/>
              </w:rPr>
              <w:fldChar w:fldCharType="end"/>
            </w:r>
          </w:hyperlink>
        </w:p>
        <w:p w14:paraId="576C586F" w14:textId="5D31A072"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2" w:history="1">
            <w:r w:rsidR="00A53696" w:rsidRPr="00A53696">
              <w:rPr>
                <w:rStyle w:val="Hyperlink"/>
                <w:sz w:val="18"/>
              </w:rPr>
              <w:t>11.1.3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AI/ML for the Physical Layer</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_Toc42177372 \h </w:instrText>
            </w:r>
            <w:r w:rsidR="00A53696" w:rsidRPr="00A53696">
              <w:rPr>
                <w:webHidden/>
                <w:sz w:val="18"/>
              </w:rPr>
            </w:r>
            <w:r w:rsidR="00A53696" w:rsidRPr="00A53696">
              <w:rPr>
                <w:webHidden/>
                <w:sz w:val="18"/>
              </w:rPr>
              <w:fldChar w:fldCharType="separate"/>
            </w:r>
            <w:r w:rsidR="003F0180">
              <w:rPr>
                <w:webHidden/>
                <w:sz w:val="18"/>
              </w:rPr>
              <w:t>183</w:t>
            </w:r>
            <w:r w:rsidR="00A53696" w:rsidRPr="00A53696">
              <w:rPr>
                <w:webHidden/>
                <w:sz w:val="18"/>
              </w:rPr>
              <w:fldChar w:fldCharType="end"/>
            </w:r>
          </w:hyperlink>
        </w:p>
        <w:p w14:paraId="72896E17" w14:textId="18B75D8F"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3" w:history="1">
            <w:r w:rsidR="00A53696" w:rsidRPr="00A53696">
              <w:rPr>
                <w:rStyle w:val="Hyperlink"/>
                <w:sz w:val="18"/>
              </w:rPr>
              <w:t>11.1.4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DSL</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_Toc42177373 \h </w:instrText>
            </w:r>
            <w:r w:rsidR="00A53696" w:rsidRPr="00A53696">
              <w:rPr>
                <w:webHidden/>
                <w:sz w:val="18"/>
              </w:rPr>
            </w:r>
            <w:r w:rsidR="00A53696" w:rsidRPr="00A53696">
              <w:rPr>
                <w:webHidden/>
                <w:sz w:val="18"/>
              </w:rPr>
              <w:fldChar w:fldCharType="separate"/>
            </w:r>
            <w:r w:rsidR="003F0180">
              <w:rPr>
                <w:webHidden/>
                <w:sz w:val="18"/>
              </w:rPr>
              <w:t>184</w:t>
            </w:r>
            <w:r w:rsidR="00A53696" w:rsidRPr="00A53696">
              <w:rPr>
                <w:webHidden/>
                <w:sz w:val="18"/>
              </w:rPr>
              <w:fldChar w:fldCharType="end"/>
            </w:r>
          </w:hyperlink>
        </w:p>
        <w:p w14:paraId="1D516B68" w14:textId="34CD4975"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4" w:history="1">
            <w:r w:rsidR="00A53696" w:rsidRPr="00A53696">
              <w:rPr>
                <w:rStyle w:val="Hyperlink"/>
                <w:sz w:val="18"/>
              </w:rPr>
              <w:t>11.1.5</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The Air Mobility Network</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_Toc42177374 \h </w:instrText>
            </w:r>
            <w:r w:rsidR="00A53696" w:rsidRPr="00A53696">
              <w:rPr>
                <w:webHidden/>
                <w:sz w:val="18"/>
              </w:rPr>
            </w:r>
            <w:r w:rsidR="00A53696" w:rsidRPr="00A53696">
              <w:rPr>
                <w:webHidden/>
                <w:sz w:val="18"/>
              </w:rPr>
              <w:fldChar w:fldCharType="separate"/>
            </w:r>
            <w:r w:rsidR="003F0180">
              <w:rPr>
                <w:webHidden/>
                <w:sz w:val="18"/>
              </w:rPr>
              <w:t>184</w:t>
            </w:r>
            <w:r w:rsidR="00A53696" w:rsidRPr="00A53696">
              <w:rPr>
                <w:webHidden/>
                <w:sz w:val="18"/>
              </w:rPr>
              <w:fldChar w:fldCharType="end"/>
            </w:r>
          </w:hyperlink>
        </w:p>
        <w:p w14:paraId="579242C8" w14:textId="703F099B" w:rsidR="00A53696" w:rsidRPr="00A53696" w:rsidRDefault="000C66C8">
          <w:pPr>
            <w:pStyle w:val="TOC2"/>
            <w:rPr>
              <w:rFonts w:asciiTheme="minorHAnsi" w:eastAsiaTheme="minorEastAsia" w:hAnsiTheme="minorHAnsi" w:cstheme="minorBidi"/>
              <w:b w:val="0"/>
              <w:color w:val="auto"/>
              <w:sz w:val="20"/>
              <w:lang w:eastAsia="en-GB"/>
            </w:rPr>
          </w:pPr>
          <w:hyperlink w:anchor="_Toc42177375" w:history="1">
            <w:r w:rsidR="00A53696" w:rsidRPr="00A53696">
              <w:rPr>
                <w:rStyle w:val="Hyperlink"/>
                <w:rFonts w:cs="Arial"/>
                <w:b w:val="0"/>
                <w:sz w:val="20"/>
              </w:rPr>
              <w:t>11.2</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Protocols, Algorithms and Data</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_Toc42177375 \h </w:instrText>
            </w:r>
            <w:r w:rsidR="00A53696" w:rsidRPr="00A53696">
              <w:rPr>
                <w:b w:val="0"/>
                <w:webHidden/>
                <w:sz w:val="20"/>
              </w:rPr>
            </w:r>
            <w:r w:rsidR="00A53696" w:rsidRPr="00A53696">
              <w:rPr>
                <w:b w:val="0"/>
                <w:webHidden/>
                <w:sz w:val="20"/>
              </w:rPr>
              <w:fldChar w:fldCharType="separate"/>
            </w:r>
            <w:r w:rsidR="003F0180">
              <w:rPr>
                <w:b w:val="0"/>
                <w:webHidden/>
                <w:sz w:val="20"/>
              </w:rPr>
              <w:t>187</w:t>
            </w:r>
            <w:r w:rsidR="00A53696" w:rsidRPr="00A53696">
              <w:rPr>
                <w:b w:val="0"/>
                <w:webHidden/>
                <w:sz w:val="20"/>
              </w:rPr>
              <w:fldChar w:fldCharType="end"/>
            </w:r>
          </w:hyperlink>
        </w:p>
        <w:p w14:paraId="2118CFDF" w14:textId="3A5352FA"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6" w:history="1">
            <w:r w:rsidR="00A53696" w:rsidRPr="00A53696">
              <w:rPr>
                <w:rStyle w:val="Hyperlink"/>
                <w:sz w:val="18"/>
              </w:rPr>
              <w:t>11.2.1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Impact of AI/ML on the Network</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_Toc42177376 \h </w:instrText>
            </w:r>
            <w:r w:rsidR="00A53696" w:rsidRPr="00A53696">
              <w:rPr>
                <w:webHidden/>
                <w:sz w:val="18"/>
              </w:rPr>
            </w:r>
            <w:r w:rsidR="00A53696" w:rsidRPr="00A53696">
              <w:rPr>
                <w:webHidden/>
                <w:sz w:val="18"/>
              </w:rPr>
              <w:fldChar w:fldCharType="separate"/>
            </w:r>
            <w:r w:rsidR="003F0180">
              <w:rPr>
                <w:webHidden/>
                <w:sz w:val="18"/>
              </w:rPr>
              <w:t>187</w:t>
            </w:r>
            <w:r w:rsidR="00A53696" w:rsidRPr="00A53696">
              <w:rPr>
                <w:webHidden/>
                <w:sz w:val="18"/>
              </w:rPr>
              <w:fldChar w:fldCharType="end"/>
            </w:r>
          </w:hyperlink>
        </w:p>
        <w:p w14:paraId="4FEB4FFD" w14:textId="6DADA052"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7" w:history="1">
            <w:r w:rsidR="00A53696" w:rsidRPr="00A53696">
              <w:rPr>
                <w:rStyle w:val="Hyperlink"/>
                <w:sz w:val="18"/>
              </w:rPr>
              <w:t>11.2.2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Impact of IoT on the Network</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_Toc42177377 \h </w:instrText>
            </w:r>
            <w:r w:rsidR="00A53696" w:rsidRPr="00A53696">
              <w:rPr>
                <w:webHidden/>
                <w:sz w:val="18"/>
              </w:rPr>
            </w:r>
            <w:r w:rsidR="00A53696" w:rsidRPr="00A53696">
              <w:rPr>
                <w:webHidden/>
                <w:sz w:val="18"/>
              </w:rPr>
              <w:fldChar w:fldCharType="separate"/>
            </w:r>
            <w:r w:rsidR="003F0180">
              <w:rPr>
                <w:webHidden/>
                <w:sz w:val="18"/>
              </w:rPr>
              <w:t>190</w:t>
            </w:r>
            <w:r w:rsidR="00A53696" w:rsidRPr="00A53696">
              <w:rPr>
                <w:webHidden/>
                <w:sz w:val="18"/>
              </w:rPr>
              <w:fldChar w:fldCharType="end"/>
            </w:r>
          </w:hyperlink>
        </w:p>
        <w:p w14:paraId="11687CAC" w14:textId="5C63D85E"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8" w:history="1">
            <w:r w:rsidR="00A53696" w:rsidRPr="00A53696">
              <w:rPr>
                <w:rStyle w:val="Hyperlink"/>
                <w:sz w:val="18"/>
              </w:rPr>
              <w:t>11.2.3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Impact of Blockchain Technologies on the Network</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_Toc42177378 \h </w:instrText>
            </w:r>
            <w:r w:rsidR="00A53696" w:rsidRPr="00A53696">
              <w:rPr>
                <w:webHidden/>
                <w:sz w:val="18"/>
              </w:rPr>
            </w:r>
            <w:r w:rsidR="00A53696" w:rsidRPr="00A53696">
              <w:rPr>
                <w:webHidden/>
                <w:sz w:val="18"/>
              </w:rPr>
              <w:fldChar w:fldCharType="separate"/>
            </w:r>
            <w:r w:rsidR="003F0180">
              <w:rPr>
                <w:webHidden/>
                <w:sz w:val="18"/>
              </w:rPr>
              <w:t>192</w:t>
            </w:r>
            <w:r w:rsidR="00A53696" w:rsidRPr="00A53696">
              <w:rPr>
                <w:webHidden/>
                <w:sz w:val="18"/>
              </w:rPr>
              <w:fldChar w:fldCharType="end"/>
            </w:r>
          </w:hyperlink>
        </w:p>
        <w:p w14:paraId="70838B34" w14:textId="5DED3416"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79" w:history="1">
            <w:r w:rsidR="00A53696" w:rsidRPr="00A53696">
              <w:rPr>
                <w:rStyle w:val="Hyperlink"/>
                <w:sz w:val="18"/>
              </w:rPr>
              <w:t>11.2.4</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Evolution of Protocols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_Toc42177379 \h </w:instrText>
            </w:r>
            <w:r w:rsidR="00A53696" w:rsidRPr="00A53696">
              <w:rPr>
                <w:webHidden/>
                <w:sz w:val="18"/>
              </w:rPr>
            </w:r>
            <w:r w:rsidR="00A53696" w:rsidRPr="00A53696">
              <w:rPr>
                <w:webHidden/>
                <w:sz w:val="18"/>
              </w:rPr>
              <w:fldChar w:fldCharType="separate"/>
            </w:r>
            <w:r w:rsidR="003F0180">
              <w:rPr>
                <w:webHidden/>
                <w:sz w:val="18"/>
              </w:rPr>
              <w:t>195</w:t>
            </w:r>
            <w:r w:rsidR="00A53696" w:rsidRPr="00A53696">
              <w:rPr>
                <w:webHidden/>
                <w:sz w:val="18"/>
              </w:rPr>
              <w:fldChar w:fldCharType="end"/>
            </w:r>
          </w:hyperlink>
        </w:p>
        <w:p w14:paraId="018036FE" w14:textId="03C79869"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80" w:history="1">
            <w:r w:rsidR="00A53696" w:rsidRPr="00A53696">
              <w:rPr>
                <w:rStyle w:val="Hyperlink"/>
                <w:sz w:val="18"/>
              </w:rPr>
              <w:t>11.2.5</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Smart Living Environments</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_Toc42177380 \h </w:instrText>
            </w:r>
            <w:r w:rsidR="00A53696" w:rsidRPr="00A53696">
              <w:rPr>
                <w:webHidden/>
                <w:sz w:val="18"/>
              </w:rPr>
            </w:r>
            <w:r w:rsidR="00A53696" w:rsidRPr="00A53696">
              <w:rPr>
                <w:webHidden/>
                <w:sz w:val="18"/>
              </w:rPr>
              <w:fldChar w:fldCharType="separate"/>
            </w:r>
            <w:r w:rsidR="003F0180">
              <w:rPr>
                <w:webHidden/>
                <w:sz w:val="18"/>
              </w:rPr>
              <w:t>197</w:t>
            </w:r>
            <w:r w:rsidR="00A53696" w:rsidRPr="00A53696">
              <w:rPr>
                <w:webHidden/>
                <w:sz w:val="18"/>
              </w:rPr>
              <w:fldChar w:fldCharType="end"/>
            </w:r>
          </w:hyperlink>
        </w:p>
        <w:p w14:paraId="2ECA4D5F" w14:textId="6A2BB60D" w:rsidR="00A53696" w:rsidRPr="00A53696" w:rsidRDefault="000C66C8">
          <w:pPr>
            <w:pStyle w:val="TOC2"/>
            <w:rPr>
              <w:rFonts w:asciiTheme="minorHAnsi" w:eastAsiaTheme="minorEastAsia" w:hAnsiTheme="minorHAnsi" w:cstheme="minorBidi"/>
              <w:b w:val="0"/>
              <w:color w:val="auto"/>
              <w:sz w:val="20"/>
              <w:lang w:eastAsia="en-GB"/>
            </w:rPr>
          </w:pPr>
          <w:hyperlink w:anchor="_Toc42177381" w:history="1">
            <w:r w:rsidR="00A53696" w:rsidRPr="00A53696">
              <w:rPr>
                <w:rStyle w:val="Hyperlink"/>
                <w:rFonts w:cs="Arial"/>
                <w:b w:val="0"/>
                <w:sz w:val="20"/>
              </w:rPr>
              <w:t>11.3</w:t>
            </w:r>
            <w:r w:rsidR="00A53696" w:rsidRPr="00A53696">
              <w:rPr>
                <w:rFonts w:asciiTheme="minorHAnsi" w:eastAsiaTheme="minorEastAsia" w:hAnsiTheme="minorHAnsi" w:cstheme="minorBidi"/>
                <w:b w:val="0"/>
                <w:color w:val="auto"/>
                <w:sz w:val="20"/>
                <w:lang w:eastAsia="en-GB"/>
              </w:rPr>
              <w:tab/>
            </w:r>
            <w:r w:rsidR="00A53696" w:rsidRPr="00A53696">
              <w:rPr>
                <w:rStyle w:val="Hyperlink"/>
                <w:rFonts w:cs="Arial"/>
                <w:b w:val="0"/>
                <w:sz w:val="20"/>
              </w:rPr>
              <w:t>Applications</w:t>
            </w:r>
            <w:r w:rsidR="00A53696" w:rsidRPr="00A53696">
              <w:rPr>
                <w:b w:val="0"/>
                <w:webHidden/>
                <w:sz w:val="20"/>
              </w:rPr>
              <w:tab/>
            </w:r>
            <w:r w:rsidR="00A53696" w:rsidRPr="00A53696">
              <w:rPr>
                <w:b w:val="0"/>
                <w:webHidden/>
                <w:sz w:val="20"/>
              </w:rPr>
              <w:fldChar w:fldCharType="begin"/>
            </w:r>
            <w:r w:rsidR="00A53696" w:rsidRPr="00A53696">
              <w:rPr>
                <w:b w:val="0"/>
                <w:webHidden/>
                <w:sz w:val="20"/>
              </w:rPr>
              <w:instrText xml:space="preserve"> PAGEREF _Toc42177381 \h </w:instrText>
            </w:r>
            <w:r w:rsidR="00A53696" w:rsidRPr="00A53696">
              <w:rPr>
                <w:b w:val="0"/>
                <w:webHidden/>
                <w:sz w:val="20"/>
              </w:rPr>
            </w:r>
            <w:r w:rsidR="00A53696" w:rsidRPr="00A53696">
              <w:rPr>
                <w:b w:val="0"/>
                <w:webHidden/>
                <w:sz w:val="20"/>
              </w:rPr>
              <w:fldChar w:fldCharType="separate"/>
            </w:r>
            <w:r w:rsidR="003F0180">
              <w:rPr>
                <w:b w:val="0"/>
                <w:webHidden/>
                <w:sz w:val="20"/>
              </w:rPr>
              <w:t>199</w:t>
            </w:r>
            <w:r w:rsidR="00A53696" w:rsidRPr="00A53696">
              <w:rPr>
                <w:b w:val="0"/>
                <w:webHidden/>
                <w:sz w:val="20"/>
              </w:rPr>
              <w:fldChar w:fldCharType="end"/>
            </w:r>
          </w:hyperlink>
        </w:p>
        <w:p w14:paraId="2206F79A" w14:textId="0DE7A313"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82" w:history="1">
            <w:r w:rsidR="00A53696" w:rsidRPr="00A53696">
              <w:rPr>
                <w:rStyle w:val="Hyperlink"/>
                <w:sz w:val="18"/>
              </w:rPr>
              <w:t>11.3.1</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Application Level Networking</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_Toc42177382 \h </w:instrText>
            </w:r>
            <w:r w:rsidR="00A53696" w:rsidRPr="00A53696">
              <w:rPr>
                <w:webHidden/>
                <w:sz w:val="18"/>
              </w:rPr>
            </w:r>
            <w:r w:rsidR="00A53696" w:rsidRPr="00A53696">
              <w:rPr>
                <w:webHidden/>
                <w:sz w:val="18"/>
              </w:rPr>
              <w:fldChar w:fldCharType="separate"/>
            </w:r>
            <w:r w:rsidR="003F0180">
              <w:rPr>
                <w:webHidden/>
                <w:sz w:val="18"/>
              </w:rPr>
              <w:t>199</w:t>
            </w:r>
            <w:r w:rsidR="00A53696" w:rsidRPr="00A53696">
              <w:rPr>
                <w:webHidden/>
                <w:sz w:val="18"/>
              </w:rPr>
              <w:fldChar w:fldCharType="end"/>
            </w:r>
          </w:hyperlink>
        </w:p>
        <w:p w14:paraId="005595DF" w14:textId="4935381E"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83" w:history="1">
            <w:r w:rsidR="00A53696" w:rsidRPr="00A53696">
              <w:rPr>
                <w:rStyle w:val="Hyperlink"/>
                <w:sz w:val="18"/>
              </w:rPr>
              <w:t>11.3.2</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Applications (Components) in the Network</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_Toc42177383 \h </w:instrText>
            </w:r>
            <w:r w:rsidR="00A53696" w:rsidRPr="00A53696">
              <w:rPr>
                <w:webHidden/>
                <w:sz w:val="18"/>
              </w:rPr>
            </w:r>
            <w:r w:rsidR="00A53696" w:rsidRPr="00A53696">
              <w:rPr>
                <w:webHidden/>
                <w:sz w:val="18"/>
              </w:rPr>
              <w:fldChar w:fldCharType="separate"/>
            </w:r>
            <w:r w:rsidR="003F0180">
              <w:rPr>
                <w:webHidden/>
                <w:sz w:val="18"/>
              </w:rPr>
              <w:t>200</w:t>
            </w:r>
            <w:r w:rsidR="00A53696" w:rsidRPr="00A53696">
              <w:rPr>
                <w:webHidden/>
                <w:sz w:val="18"/>
              </w:rPr>
              <w:fldChar w:fldCharType="end"/>
            </w:r>
          </w:hyperlink>
        </w:p>
        <w:p w14:paraId="6E632958" w14:textId="117BCAC4" w:rsidR="00A53696" w:rsidRPr="00A53696" w:rsidRDefault="000C66C8">
          <w:pPr>
            <w:pStyle w:val="TOC3"/>
            <w:tabs>
              <w:tab w:val="left" w:pos="3119"/>
            </w:tabs>
            <w:rPr>
              <w:rFonts w:asciiTheme="minorHAnsi" w:eastAsiaTheme="minorEastAsia" w:hAnsiTheme="minorHAnsi" w:cstheme="minorBidi"/>
              <w:iCs w:val="0"/>
              <w:color w:val="auto"/>
              <w:szCs w:val="22"/>
              <w:lang w:val="en-GB" w:eastAsia="en-GB"/>
            </w:rPr>
          </w:pPr>
          <w:hyperlink w:anchor="_Toc42177384" w:history="1">
            <w:r w:rsidR="00A53696" w:rsidRPr="00A53696">
              <w:rPr>
                <w:rStyle w:val="Hyperlink"/>
                <w:sz w:val="18"/>
              </w:rPr>
              <w:t>11.3.3</w:t>
            </w:r>
            <w:r w:rsidR="00A53696" w:rsidRPr="00A53696">
              <w:rPr>
                <w:rFonts w:asciiTheme="minorHAnsi" w:eastAsiaTheme="minorEastAsia" w:hAnsiTheme="minorHAnsi" w:cstheme="minorBidi"/>
                <w:iCs w:val="0"/>
                <w:color w:val="auto"/>
                <w:szCs w:val="22"/>
                <w:lang w:val="en-GB" w:eastAsia="en-GB"/>
              </w:rPr>
              <w:tab/>
            </w:r>
            <w:r w:rsidR="00A53696" w:rsidRPr="00A53696">
              <w:rPr>
                <w:rStyle w:val="Hyperlink"/>
                <w:sz w:val="18"/>
              </w:rPr>
              <w:t>Applications Making Specific Demands to the Network</w:t>
            </w:r>
            <w:r w:rsidR="00A53696" w:rsidRPr="00A53696">
              <w:rPr>
                <w:webHidden/>
                <w:sz w:val="18"/>
              </w:rPr>
              <w:tab/>
            </w:r>
            <w:r w:rsidR="00A53696" w:rsidRPr="00A53696">
              <w:rPr>
                <w:webHidden/>
                <w:sz w:val="18"/>
              </w:rPr>
              <w:fldChar w:fldCharType="begin"/>
            </w:r>
            <w:r w:rsidR="00A53696" w:rsidRPr="00A53696">
              <w:rPr>
                <w:webHidden/>
                <w:sz w:val="18"/>
              </w:rPr>
              <w:instrText xml:space="preserve"> PAGEREF _Toc42177384 \h </w:instrText>
            </w:r>
            <w:r w:rsidR="00A53696" w:rsidRPr="00A53696">
              <w:rPr>
                <w:webHidden/>
                <w:sz w:val="18"/>
              </w:rPr>
            </w:r>
            <w:r w:rsidR="00A53696" w:rsidRPr="00A53696">
              <w:rPr>
                <w:webHidden/>
                <w:sz w:val="18"/>
              </w:rPr>
              <w:fldChar w:fldCharType="separate"/>
            </w:r>
            <w:r w:rsidR="003F0180">
              <w:rPr>
                <w:webHidden/>
                <w:sz w:val="18"/>
              </w:rPr>
              <w:t>202</w:t>
            </w:r>
            <w:r w:rsidR="00A53696" w:rsidRPr="00A53696">
              <w:rPr>
                <w:webHidden/>
                <w:sz w:val="18"/>
              </w:rPr>
              <w:fldChar w:fldCharType="end"/>
            </w:r>
          </w:hyperlink>
        </w:p>
        <w:p w14:paraId="6D36064C" w14:textId="0CA8864D"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385" w:history="1">
            <w:r w:rsidR="00A53696" w:rsidRPr="00A53696">
              <w:rPr>
                <w:rStyle w:val="Hyperlink"/>
                <w:sz w:val="20"/>
              </w:rPr>
              <w:t>Annex 1: SDG Evaluation Examples</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_Toc42177385 \h </w:instrText>
            </w:r>
            <w:r w:rsidR="00A53696" w:rsidRPr="00A53696">
              <w:rPr>
                <w:webHidden/>
                <w:sz w:val="20"/>
              </w:rPr>
            </w:r>
            <w:r w:rsidR="00A53696" w:rsidRPr="00A53696">
              <w:rPr>
                <w:webHidden/>
                <w:sz w:val="20"/>
              </w:rPr>
              <w:fldChar w:fldCharType="separate"/>
            </w:r>
            <w:r w:rsidR="003F0180">
              <w:rPr>
                <w:webHidden/>
                <w:sz w:val="20"/>
              </w:rPr>
              <w:t>205</w:t>
            </w:r>
            <w:r w:rsidR="00A53696" w:rsidRPr="00A53696">
              <w:rPr>
                <w:webHidden/>
                <w:sz w:val="20"/>
              </w:rPr>
              <w:fldChar w:fldCharType="end"/>
            </w:r>
          </w:hyperlink>
        </w:p>
        <w:p w14:paraId="4C9C82D3" w14:textId="604DB70D"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386" w:history="1">
            <w:r w:rsidR="00A53696" w:rsidRPr="00A53696">
              <w:rPr>
                <w:rStyle w:val="Hyperlink"/>
                <w:sz w:val="20"/>
              </w:rPr>
              <w:t>References</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_Toc42177386 \h </w:instrText>
            </w:r>
            <w:r w:rsidR="00A53696" w:rsidRPr="00A53696">
              <w:rPr>
                <w:webHidden/>
                <w:sz w:val="20"/>
              </w:rPr>
            </w:r>
            <w:r w:rsidR="00A53696" w:rsidRPr="00A53696">
              <w:rPr>
                <w:webHidden/>
                <w:sz w:val="20"/>
              </w:rPr>
              <w:fldChar w:fldCharType="separate"/>
            </w:r>
            <w:r w:rsidR="003F0180">
              <w:rPr>
                <w:webHidden/>
                <w:sz w:val="20"/>
              </w:rPr>
              <w:t>207</w:t>
            </w:r>
            <w:r w:rsidR="00A53696" w:rsidRPr="00A53696">
              <w:rPr>
                <w:webHidden/>
                <w:sz w:val="20"/>
              </w:rPr>
              <w:fldChar w:fldCharType="end"/>
            </w:r>
          </w:hyperlink>
        </w:p>
        <w:p w14:paraId="2B53C42D" w14:textId="2C7EFC39" w:rsidR="00A53696" w:rsidRPr="00A53696" w:rsidRDefault="000C66C8">
          <w:pPr>
            <w:pStyle w:val="TOC1"/>
            <w:rPr>
              <w:rFonts w:asciiTheme="minorHAnsi" w:eastAsiaTheme="minorEastAsia" w:hAnsiTheme="minorHAnsi" w:cstheme="minorBidi"/>
              <w:bCs w:val="0"/>
              <w:color w:val="auto"/>
              <w:sz w:val="20"/>
              <w:szCs w:val="22"/>
              <w:lang w:val="en-GB" w:eastAsia="en-GB"/>
            </w:rPr>
          </w:pPr>
          <w:hyperlink w:anchor="_Toc42177387" w:history="1">
            <w:r w:rsidR="00A53696" w:rsidRPr="00A53696">
              <w:rPr>
                <w:rStyle w:val="Hyperlink"/>
                <w:sz w:val="20"/>
              </w:rPr>
              <w:t>List of Contributors</w:t>
            </w:r>
            <w:r w:rsidR="00A53696" w:rsidRPr="00A53696">
              <w:rPr>
                <w:webHidden/>
                <w:sz w:val="20"/>
              </w:rPr>
              <w:tab/>
            </w:r>
            <w:r w:rsidR="00A53696" w:rsidRPr="00A53696">
              <w:rPr>
                <w:webHidden/>
                <w:sz w:val="20"/>
              </w:rPr>
              <w:fldChar w:fldCharType="begin"/>
            </w:r>
            <w:r w:rsidR="00A53696" w:rsidRPr="00A53696">
              <w:rPr>
                <w:webHidden/>
                <w:sz w:val="20"/>
              </w:rPr>
              <w:instrText xml:space="preserve"> PAGEREF _Toc42177387 \h </w:instrText>
            </w:r>
            <w:r w:rsidR="00A53696" w:rsidRPr="00A53696">
              <w:rPr>
                <w:webHidden/>
                <w:sz w:val="20"/>
              </w:rPr>
            </w:r>
            <w:r w:rsidR="00A53696" w:rsidRPr="00A53696">
              <w:rPr>
                <w:webHidden/>
                <w:sz w:val="20"/>
              </w:rPr>
              <w:fldChar w:fldCharType="separate"/>
            </w:r>
            <w:r w:rsidR="003F0180">
              <w:rPr>
                <w:webHidden/>
                <w:sz w:val="20"/>
              </w:rPr>
              <w:t>232</w:t>
            </w:r>
            <w:r w:rsidR="00A53696" w:rsidRPr="00A53696">
              <w:rPr>
                <w:webHidden/>
                <w:sz w:val="20"/>
              </w:rPr>
              <w:fldChar w:fldCharType="end"/>
            </w:r>
          </w:hyperlink>
        </w:p>
        <w:p w14:paraId="096A38B1" w14:textId="6B984CDC" w:rsidR="00D906C3" w:rsidRDefault="00DE7527" w:rsidP="00AE4EB4">
          <w:pPr>
            <w:rPr>
              <w:rFonts w:ascii="Arial" w:hAnsi="Arial" w:cs="Arial"/>
              <w:sz w:val="20"/>
              <w:szCs w:val="20"/>
            </w:rPr>
          </w:pPr>
          <w:r w:rsidRPr="00A53696">
            <w:rPr>
              <w:rFonts w:ascii="Arial" w:hAnsi="Arial" w:cs="Arial"/>
              <w:bCs/>
              <w:noProof/>
              <w:sz w:val="18"/>
              <w:szCs w:val="20"/>
            </w:rPr>
            <w:fldChar w:fldCharType="end"/>
          </w:r>
        </w:p>
      </w:sdtContent>
    </w:sdt>
    <w:p w14:paraId="00B279C7" w14:textId="77777777" w:rsidR="00D906C3" w:rsidRDefault="00D906C3">
      <w:pPr>
        <w:rPr>
          <w:rFonts w:ascii="Arial" w:hAnsi="Arial" w:cs="Arial"/>
          <w:sz w:val="20"/>
          <w:szCs w:val="20"/>
        </w:rPr>
      </w:pPr>
      <w:r>
        <w:rPr>
          <w:rFonts w:ascii="Arial" w:hAnsi="Arial" w:cs="Arial"/>
          <w:sz w:val="20"/>
          <w:szCs w:val="20"/>
        </w:rPr>
        <w:br w:type="page"/>
      </w:r>
    </w:p>
    <w:p w14:paraId="71B3B06B" w14:textId="77777777" w:rsidR="00DE7527" w:rsidRPr="00F737D8" w:rsidRDefault="00DE7527" w:rsidP="00AE4EB4">
      <w:pPr>
        <w:rPr>
          <w:rFonts w:ascii="Arial" w:hAnsi="Arial" w:cs="Arial"/>
          <w:sz w:val="20"/>
          <w:szCs w:val="20"/>
        </w:rPr>
      </w:pPr>
    </w:p>
    <w:p w14:paraId="01492C1D" w14:textId="10BB15A3" w:rsidR="00A41C93" w:rsidRDefault="003B3AA3" w:rsidP="00124439">
      <w:pPr>
        <w:pStyle w:val="Heading1"/>
        <w:numPr>
          <w:ilvl w:val="0"/>
          <w:numId w:val="19"/>
        </w:numPr>
        <w:jc w:val="both"/>
      </w:pPr>
      <w:bookmarkStart w:id="1" w:name="_Toc37227201"/>
      <w:bookmarkStart w:id="2" w:name="_Toc37227347"/>
      <w:bookmarkStart w:id="3" w:name="_Toc42177210"/>
      <w:r w:rsidRPr="00A41C93">
        <w:t>Introduction</w:t>
      </w:r>
      <w:bookmarkEnd w:id="1"/>
      <w:bookmarkEnd w:id="2"/>
      <w:bookmarkEnd w:id="3"/>
      <w:r w:rsidR="00F0496C" w:rsidRPr="00A41C93">
        <w:t xml:space="preserve"> </w:t>
      </w:r>
    </w:p>
    <w:p w14:paraId="7439B6C0" w14:textId="77777777" w:rsidR="005D580B" w:rsidRPr="005D580B" w:rsidRDefault="005D580B" w:rsidP="005D580B"/>
    <w:p w14:paraId="201A8E4C" w14:textId="77777777" w:rsidR="00D7053E" w:rsidRPr="00A41C93" w:rsidRDefault="00D7053E" w:rsidP="00A41C93">
      <w:pPr>
        <w:jc w:val="both"/>
        <w:rPr>
          <w:rFonts w:ascii="Arial" w:hAnsi="Arial" w:cs="Arial"/>
          <w:noProof/>
        </w:rPr>
      </w:pPr>
      <w:r w:rsidRPr="00A41C93">
        <w:rPr>
          <w:rFonts w:ascii="Arial" w:hAnsi="Arial" w:cs="Arial"/>
          <w:noProof/>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A41C93">
        <w:rPr>
          <w:rFonts w:ascii="Arial" w:hAnsi="Arial" w:cs="Arial"/>
          <w:noProof/>
        </w:rPr>
        <w:t>1000 entities, representing</w:t>
      </w:r>
      <w:r w:rsidRPr="00A41C93">
        <w:rPr>
          <w:rFonts w:ascii="Arial" w:hAnsi="Arial" w:cs="Arial"/>
          <w:noProof/>
        </w:rPr>
        <w:t xml:space="preserve"> 5 % of European GDP, are contributing to the definition of research areas especially in the domain of communication systems and networks.</w:t>
      </w:r>
    </w:p>
    <w:p w14:paraId="35D1AA50" w14:textId="17D618B1" w:rsidR="00D7053E" w:rsidRPr="00A41C93" w:rsidRDefault="00D7053E" w:rsidP="00A41C93">
      <w:pPr>
        <w:jc w:val="both"/>
        <w:rPr>
          <w:rFonts w:ascii="Arial" w:hAnsi="Arial" w:cs="Arial"/>
        </w:rPr>
      </w:pPr>
      <w:r w:rsidRPr="00A41C93">
        <w:rPr>
          <w:rFonts w:ascii="Arial" w:hAnsi="Arial" w:cs="Arial"/>
        </w:rPr>
        <w:t xml:space="preserve">ICT in general and networks (mobile and fixed) in particular is a fundamental enabler of a modern society. The </w:t>
      </w:r>
      <w:r w:rsidRPr="00A41C93">
        <w:rPr>
          <w:rFonts w:ascii="Arial" w:hAnsi="Arial" w:cs="Arial"/>
          <w:noProof/>
        </w:rPr>
        <w:t xml:space="preserve">Smart Networks of the future will be the nervous system of the Next Generation Internet and other commercial networks and are the platform for driving the digital transformation. </w:t>
      </w:r>
      <w:r w:rsidRPr="00A41C93">
        <w:rPr>
          <w:rFonts w:ascii="Arial" w:hAnsi="Arial" w:cs="Arial"/>
        </w:rPr>
        <w:t>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A41C93">
        <w:rPr>
          <w:rFonts w:ascii="Arial" w:hAnsi="Arial" w:cs="Arial"/>
        </w:rPr>
        <w:t xml:space="preserve"> and Machine Learning – AI/ML)</w:t>
      </w:r>
      <w:r w:rsidRPr="00A41C93">
        <w:rPr>
          <w:rFonts w:ascii="Arial" w:hAnsi="Arial" w:cs="Arial"/>
        </w:rPr>
        <w:t xml:space="preserve">) for decentralised and automated network management, data analytics and shared contexts and knowledge. Such infrastructures are the enabler for the future data economy. By virtualisation and strict policies, they will foster a free and fair flow of </w:t>
      </w:r>
      <w:r w:rsidR="00625E6C" w:rsidRPr="00A41C93">
        <w:rPr>
          <w:rFonts w:ascii="Arial" w:hAnsi="Arial" w:cs="Arial"/>
        </w:rPr>
        <w:t>data, which</w:t>
      </w:r>
      <w:r w:rsidRPr="00A41C93">
        <w:rPr>
          <w:rFonts w:ascii="Arial" w:hAnsi="Arial" w:cs="Arial"/>
        </w:rPr>
        <w:t xml:space="preserve"> can be shared whilst at the same time protecting the integrity and privacy of </w:t>
      </w:r>
      <w:r w:rsidR="00625E6C" w:rsidRPr="00A41C93">
        <w:rPr>
          <w:rFonts w:ascii="Arial" w:hAnsi="Arial" w:cs="Arial"/>
        </w:rPr>
        <w:t>data, which</w:t>
      </w:r>
      <w:r w:rsidRPr="00A41C93">
        <w:rPr>
          <w:rFonts w:ascii="Arial" w:hAnsi="Arial" w:cs="Arial"/>
        </w:rPr>
        <w:t xml:space="preserve"> is confidential or private: Users should be able to control their environment in the Internet and not </w:t>
      </w:r>
      <w:r w:rsidR="00625E6C">
        <w:rPr>
          <w:rFonts w:ascii="Arial" w:hAnsi="Arial" w:cs="Arial"/>
        </w:rPr>
        <w:t xml:space="preserve">to </w:t>
      </w:r>
      <w:r w:rsidRPr="00A41C93">
        <w:rPr>
          <w:rFonts w:ascii="Arial" w:hAnsi="Arial" w:cs="Arial"/>
        </w:rPr>
        <w:t>be controlled by the Internet.</w:t>
      </w:r>
    </w:p>
    <w:p w14:paraId="477F9B73" w14:textId="44195112" w:rsidR="00D7053E" w:rsidRPr="00A41C93" w:rsidRDefault="00D7053E" w:rsidP="00A41C93">
      <w:pPr>
        <w:jc w:val="both"/>
        <w:rPr>
          <w:rFonts w:ascii="Arial" w:hAnsi="Arial" w:cs="Arial"/>
        </w:rPr>
      </w:pPr>
      <w:r w:rsidRPr="00A41C93">
        <w:rPr>
          <w:rFonts w:ascii="Arial" w:hAnsi="Arial" w:cs="Arial"/>
        </w:rPr>
        <w:t xml:space="preserve">The United Nations 2030 sustainable development goals </w:t>
      </w:r>
      <w:r w:rsidR="00DA6395">
        <w:rPr>
          <w:rFonts w:ascii="Arial" w:hAnsi="Arial" w:cs="Arial"/>
        </w:rPr>
        <w:t xml:space="preserve">[C1-1] </w:t>
      </w:r>
      <w:r w:rsidRPr="00A41C93">
        <w:rPr>
          <w:rFonts w:ascii="Arial" w:hAnsi="Arial" w:cs="Arial"/>
        </w:rPr>
        <w:t xml:space="preserve">require Smart Networks in many different domains </w:t>
      </w:r>
      <w:r w:rsidR="0033457E" w:rsidRPr="00A41C93">
        <w:rPr>
          <w:rFonts w:ascii="Arial" w:hAnsi="Arial" w:cs="Arial"/>
        </w:rPr>
        <w:t xml:space="preserve">using various appropriate communication technologies </w:t>
      </w:r>
      <w:r w:rsidRPr="00A41C93">
        <w:rPr>
          <w:rFonts w:ascii="Arial" w:hAnsi="Arial" w:cs="Arial"/>
        </w:rPr>
        <w:t xml:space="preserve">to support the digitalisation of society and economy in developing and developed countries. The United Nations Broadband Commission for Sustainable Development has set deployment targets for 2025 </w:t>
      </w:r>
      <w:r w:rsidR="00DA6395">
        <w:rPr>
          <w:rFonts w:ascii="Arial" w:hAnsi="Arial" w:cs="Arial"/>
        </w:rPr>
        <w:t xml:space="preserve">[C1-2] </w:t>
      </w:r>
      <w:r w:rsidRPr="00A41C93">
        <w:rPr>
          <w:rFonts w:ascii="Arial" w:hAnsi="Arial" w:cs="Arial"/>
        </w:rPr>
        <w:t xml:space="preserve"> to underline the importance of communication systems and networks.</w:t>
      </w:r>
    </w:p>
    <w:p w14:paraId="183CB5DF" w14:textId="7BAE973F" w:rsidR="00A41C93" w:rsidRDefault="00A41C93" w:rsidP="00BB302D">
      <w:pPr>
        <w:spacing w:after="0" w:line="240" w:lineRule="auto"/>
        <w:jc w:val="both"/>
        <w:rPr>
          <w:rFonts w:ascii="Arial" w:hAnsi="Arial" w:cs="Arial"/>
          <w:color w:val="000000" w:themeColor="text1"/>
        </w:rPr>
      </w:pPr>
    </w:p>
    <w:p w14:paraId="7DC74247" w14:textId="706596D7" w:rsidR="00A41C93" w:rsidRPr="00A41C93" w:rsidRDefault="00A41C93" w:rsidP="00124439">
      <w:pPr>
        <w:pStyle w:val="Heading2"/>
        <w:numPr>
          <w:ilvl w:val="1"/>
          <w:numId w:val="19"/>
        </w:numPr>
      </w:pPr>
      <w:bookmarkStart w:id="4" w:name="_Toc42177211"/>
      <w:r w:rsidRPr="00A41C93">
        <w:t>Global Megatrends – Societal Challenges</w:t>
      </w:r>
      <w:bookmarkEnd w:id="4"/>
    </w:p>
    <w:p w14:paraId="6046A244" w14:textId="77777777" w:rsidR="00A41C93" w:rsidRPr="00A41C93" w:rsidRDefault="00A41C93" w:rsidP="00A41C93">
      <w:pPr>
        <w:spacing w:after="0" w:line="240" w:lineRule="auto"/>
        <w:jc w:val="both"/>
        <w:rPr>
          <w:rFonts w:ascii="Arial" w:hAnsi="Arial" w:cs="Arial"/>
          <w:color w:val="000000" w:themeColor="text1"/>
        </w:rPr>
      </w:pPr>
    </w:p>
    <w:p w14:paraId="10CBE9F1" w14:textId="08CE38D4"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beyond 5G research and development are unfolding against the background of global megatrends that will shape our world over the coming decades. Megatrends are change-related phenomena and transformative, global forces that define the future world. They have impact on businesses, societies, economies, cultures, and personal lives. Though the COVID-19 pandemic dominates the news, climate change is probably the most topical today, but phenomena including population growth and demographics, increasing environmental pollution or global competition for resources are also current megatrends [</w:t>
      </w:r>
      <w:r w:rsidR="005E184F">
        <w:rPr>
          <w:rFonts w:ascii="Arial" w:hAnsi="Arial" w:cs="Arial"/>
          <w:color w:val="000000" w:themeColor="text1"/>
          <w:lang w:val="en-US"/>
        </w:rPr>
        <w:t>C1-3</w:t>
      </w:r>
      <w:r w:rsidRPr="00A41C93">
        <w:rPr>
          <w:rFonts w:ascii="Arial" w:hAnsi="Arial" w:cs="Arial"/>
          <w:color w:val="000000" w:themeColor="text1"/>
          <w:lang w:val="en-US"/>
        </w:rPr>
        <w:t>]. The United Nations in Geneve (UNOG), as well as the Government of Norway, have pointed out the challenge of Digital Divide as one of the global challenges [</w:t>
      </w:r>
      <w:r w:rsidR="005E184F">
        <w:rPr>
          <w:rFonts w:ascii="Arial" w:hAnsi="Arial" w:cs="Arial"/>
          <w:color w:val="000000" w:themeColor="text1"/>
          <w:lang w:val="en-US"/>
        </w:rPr>
        <w:t>C1-4</w:t>
      </w:r>
      <w:r w:rsidRPr="00A41C93">
        <w:rPr>
          <w:rFonts w:ascii="Arial" w:hAnsi="Arial" w:cs="Arial"/>
          <w:color w:val="000000" w:themeColor="text1"/>
          <w:lang w:val="en-US"/>
        </w:rPr>
        <w:t>]. The governmental report on “Digital transformation and development policy” identified the four barriers to digitalization (i) access, (ii) regulation, (iii) digital competence and (iv) exclusion, as priorities for the government. In a similar matter, USAID has added “last mile connectivity” as the main priority for development policy. From the perspective of digitally empowering the users globally, it should be emphasized that digital inclusion is the catalyst for achieving the UN SDGs, implying that we also need to address how everyone in the society can benefit from basic information in the digital world available free on the web. Furthermore, certain UN SDGs require global cooperation to be successful leaving aside national interests, such as environment and ecological reconstruction, controlling spread of diseases [</w:t>
      </w:r>
      <w:r w:rsidR="005E184F">
        <w:rPr>
          <w:rFonts w:ascii="Arial" w:hAnsi="Arial" w:cs="Arial"/>
          <w:color w:val="000000" w:themeColor="text1"/>
          <w:lang w:val="en-US"/>
        </w:rPr>
        <w:t>C1-5</w:t>
      </w:r>
      <w:r w:rsidRPr="00A41C93">
        <w:rPr>
          <w:rFonts w:ascii="Arial" w:hAnsi="Arial" w:cs="Arial"/>
          <w:color w:val="000000" w:themeColor="text1"/>
          <w:lang w:val="en-US"/>
        </w:rPr>
        <w:t>].</w:t>
      </w:r>
    </w:p>
    <w:p w14:paraId="79DA70DA" w14:textId="0C622A3E"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lastRenderedPageBreak/>
        <w:t xml:space="preserve">The trends identified in the </w:t>
      </w:r>
      <w:r w:rsidR="00C36ACC">
        <w:rPr>
          <w:rFonts w:ascii="Arial" w:hAnsi="Arial" w:cs="Arial"/>
          <w:color w:val="000000" w:themeColor="text1"/>
          <w:lang w:val="en-US"/>
        </w:rPr>
        <w:t xml:space="preserve">6G Flagship </w:t>
      </w:r>
      <w:r w:rsidRPr="00A41C93">
        <w:rPr>
          <w:rFonts w:ascii="Arial" w:hAnsi="Arial" w:cs="Arial"/>
          <w:color w:val="000000" w:themeColor="text1"/>
          <w:lang w:val="en-US"/>
        </w:rPr>
        <w:t>White Paper on Business of 6G</w:t>
      </w:r>
      <w:r w:rsidR="005E184F">
        <w:rPr>
          <w:rFonts w:ascii="Arial" w:hAnsi="Arial" w:cs="Arial"/>
          <w:color w:val="000000" w:themeColor="text1"/>
          <w:lang w:val="en-US"/>
        </w:rPr>
        <w:t xml:space="preserve"> [C1-6]</w:t>
      </w:r>
      <w:r w:rsidRPr="00A41C93">
        <w:rPr>
          <w:rFonts w:ascii="Arial" w:hAnsi="Arial" w:cs="Arial"/>
          <w:color w:val="000000" w:themeColor="text1"/>
          <w:lang w:val="en-US"/>
        </w:rPr>
        <w:t xml:space="preserve"> and </w:t>
      </w:r>
      <w:r w:rsidR="00C36ACC">
        <w:rPr>
          <w:rFonts w:ascii="Arial" w:hAnsi="Arial" w:cs="Arial"/>
          <w:color w:val="000000" w:themeColor="text1"/>
          <w:lang w:val="en-US"/>
        </w:rPr>
        <w:t xml:space="preserve">6G Flagship </w:t>
      </w:r>
      <w:r w:rsidRPr="00A41C93">
        <w:rPr>
          <w:rFonts w:ascii="Arial" w:hAnsi="Arial" w:cs="Arial"/>
          <w:color w:val="000000" w:themeColor="text1"/>
          <w:lang w:val="en-US"/>
        </w:rPr>
        <w:t>White Paper on 6G Drivers and the UN SDGs [</w:t>
      </w:r>
      <w:r w:rsidR="005E184F">
        <w:rPr>
          <w:rFonts w:ascii="Arial" w:hAnsi="Arial" w:cs="Arial"/>
          <w:color w:val="000000" w:themeColor="text1"/>
          <w:lang w:val="en-US"/>
        </w:rPr>
        <w:t>C1-7]</w:t>
      </w:r>
      <w:r w:rsidRPr="00A41C93">
        <w:rPr>
          <w:rFonts w:ascii="Arial" w:hAnsi="Arial" w:cs="Arial"/>
          <w:color w:val="000000" w:themeColor="text1"/>
          <w:lang w:val="en-US"/>
        </w:rPr>
        <w:t xml:space="preserve"> were taken as the baseline and categorized according to the Quintuple Helix model [</w:t>
      </w:r>
      <w:r w:rsidR="005E184F">
        <w:rPr>
          <w:rFonts w:ascii="Arial" w:hAnsi="Arial" w:cs="Arial"/>
          <w:color w:val="000000" w:themeColor="text1"/>
          <w:lang w:val="en-US"/>
        </w:rPr>
        <w:t>C1-8</w:t>
      </w:r>
      <w:r w:rsidRPr="00A41C93">
        <w:rPr>
          <w:rFonts w:ascii="Arial" w:hAnsi="Arial" w:cs="Arial"/>
          <w:color w:val="000000" w:themeColor="text1"/>
          <w:lang w:val="en-US"/>
        </w:rPr>
        <w:t>]. The Quintuple Helix aims to support a win-win situation between ecology, knowledge and innovation, creating synergies between economy, society, and democracy. Identified key megatrends</w:t>
      </w:r>
      <w:r w:rsidR="009E2209">
        <w:rPr>
          <w:rFonts w:ascii="Arial" w:hAnsi="Arial" w:cs="Arial"/>
          <w:color w:val="000000" w:themeColor="text1"/>
          <w:lang w:val="en-US"/>
        </w:rPr>
        <w:t xml:space="preserve"> in functional domain</w:t>
      </w:r>
      <w:r w:rsidRPr="00A41C93">
        <w:rPr>
          <w:rFonts w:ascii="Arial" w:hAnsi="Arial" w:cs="Arial"/>
          <w:color w:val="000000" w:themeColor="text1"/>
          <w:lang w:val="en-US"/>
        </w:rPr>
        <w:t xml:space="preserve"> impacting Future Networks are summarized in the Fig. </w:t>
      </w:r>
      <w:r w:rsidR="00C36ACC">
        <w:rPr>
          <w:rFonts w:ascii="Arial" w:hAnsi="Arial" w:cs="Arial"/>
          <w:color w:val="000000" w:themeColor="text1"/>
          <w:lang w:val="en-US"/>
        </w:rPr>
        <w:t>1</w:t>
      </w:r>
      <w:r w:rsidR="00DE4AC9">
        <w:rPr>
          <w:rFonts w:ascii="Arial" w:hAnsi="Arial" w:cs="Arial"/>
          <w:color w:val="000000" w:themeColor="text1"/>
          <w:lang w:val="en-US"/>
        </w:rPr>
        <w:t>-1</w:t>
      </w:r>
      <w:r w:rsidRPr="00A41C93">
        <w:rPr>
          <w:rFonts w:ascii="Arial" w:hAnsi="Arial" w:cs="Arial"/>
          <w:color w:val="000000" w:themeColor="text1"/>
          <w:lang w:val="en-US"/>
        </w:rPr>
        <w:t xml:space="preserve"> utilizing PESTLE (Political, Economic, Social, Technological, Legal and Environmental) framework.</w:t>
      </w:r>
    </w:p>
    <w:p w14:paraId="4C286523" w14:textId="77777777" w:rsidR="00A41C93" w:rsidRPr="00A41C93" w:rsidRDefault="00A41C93" w:rsidP="00C36ACC">
      <w:pPr>
        <w:spacing w:after="0" w:line="240" w:lineRule="auto"/>
        <w:jc w:val="center"/>
        <w:rPr>
          <w:rFonts w:ascii="Arial" w:hAnsi="Arial" w:cs="Arial"/>
          <w:color w:val="000000" w:themeColor="text1"/>
          <w:lang w:val="en-US"/>
        </w:rPr>
      </w:pPr>
      <w:r w:rsidRPr="00A41C93">
        <w:rPr>
          <w:rFonts w:ascii="Arial" w:hAnsi="Arial" w:cs="Arial"/>
          <w:noProof/>
          <w:color w:val="000000" w:themeColor="text1"/>
          <w:lang w:eastAsia="en-GB"/>
        </w:rPr>
        <w:drawing>
          <wp:inline distT="0" distB="0" distL="0" distR="0" wp14:anchorId="08350F7E" wp14:editId="769FF943">
            <wp:extent cx="4236665" cy="32997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1683" cy="3303681"/>
                    </a:xfrm>
                    <a:prstGeom prst="rect">
                      <a:avLst/>
                    </a:prstGeom>
                    <a:noFill/>
                    <a:ln>
                      <a:noFill/>
                    </a:ln>
                  </pic:spPr>
                </pic:pic>
              </a:graphicData>
            </a:graphic>
          </wp:inline>
        </w:drawing>
      </w:r>
    </w:p>
    <w:p w14:paraId="44BCD8FD" w14:textId="7BBFB6A6" w:rsidR="00A41C93" w:rsidRDefault="00A41C93" w:rsidP="00A41C93">
      <w:pPr>
        <w:spacing w:after="0" w:line="240" w:lineRule="auto"/>
        <w:jc w:val="both"/>
        <w:rPr>
          <w:rFonts w:ascii="Arial" w:hAnsi="Arial" w:cs="Arial"/>
          <w:b/>
          <w:bCs/>
          <w:color w:val="000000" w:themeColor="text1"/>
          <w:lang w:val="en-US"/>
        </w:rPr>
      </w:pPr>
      <w:r w:rsidRPr="00A41C93">
        <w:rPr>
          <w:rFonts w:ascii="Arial" w:hAnsi="Arial" w:cs="Arial"/>
          <w:b/>
          <w:bCs/>
          <w:color w:val="000000" w:themeColor="text1"/>
          <w:lang w:val="en-US"/>
        </w:rPr>
        <w:t xml:space="preserve">Figure </w:t>
      </w:r>
      <w:r w:rsidR="00CB3564">
        <w:rPr>
          <w:rFonts w:ascii="Arial" w:hAnsi="Arial" w:cs="Arial"/>
          <w:b/>
          <w:bCs/>
          <w:color w:val="000000" w:themeColor="text1"/>
        </w:rPr>
        <w:t>1</w:t>
      </w:r>
      <w:r w:rsidR="00DE4AC9">
        <w:rPr>
          <w:rFonts w:ascii="Arial" w:hAnsi="Arial" w:cs="Arial"/>
          <w:b/>
          <w:bCs/>
          <w:color w:val="000000" w:themeColor="text1"/>
        </w:rPr>
        <w:t>-1</w:t>
      </w:r>
      <w:r w:rsidRPr="00A41C93">
        <w:rPr>
          <w:rFonts w:ascii="Arial" w:hAnsi="Arial" w:cs="Arial"/>
          <w:b/>
          <w:bCs/>
          <w:color w:val="000000" w:themeColor="text1"/>
          <w:lang w:val="en-US"/>
        </w:rPr>
        <w:t>. Identified megatrends impacting Future Networks, PESTLE (Political, Economic, Social, Technological, Legal and Environmental).</w:t>
      </w:r>
    </w:p>
    <w:p w14:paraId="2F8F44CF" w14:textId="77777777" w:rsidR="00A41C93" w:rsidRPr="00A41C93" w:rsidRDefault="00A41C93" w:rsidP="00A41C93">
      <w:pPr>
        <w:spacing w:after="0" w:line="240" w:lineRule="auto"/>
        <w:jc w:val="both"/>
        <w:rPr>
          <w:rFonts w:ascii="Arial" w:hAnsi="Arial" w:cs="Arial"/>
          <w:b/>
          <w:bCs/>
          <w:color w:val="000000" w:themeColor="text1"/>
          <w:lang w:val="en-US"/>
        </w:rPr>
      </w:pPr>
    </w:p>
    <w:p w14:paraId="1BDD439F" w14:textId="1639356C" w:rsidR="00A41C93" w:rsidRPr="00A41C93" w:rsidRDefault="00A41C93" w:rsidP="00DA6395">
      <w:pPr>
        <w:pStyle w:val="Heading3"/>
        <w:numPr>
          <w:ilvl w:val="2"/>
          <w:numId w:val="19"/>
        </w:numPr>
        <w:rPr>
          <w:lang w:val="en-US"/>
        </w:rPr>
      </w:pPr>
      <w:bookmarkStart w:id="5" w:name="_Toc42177212"/>
      <w:r w:rsidRPr="00A41C93">
        <w:rPr>
          <w:lang w:val="en-US"/>
        </w:rPr>
        <w:t>Trends related to the natural environment</w:t>
      </w:r>
      <w:bookmarkEnd w:id="5"/>
    </w:p>
    <w:p w14:paraId="1277D8D9"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Arguably the key trend influencing our future is the need for ecological reconstruction: how do we respond to climate change, decreasing biodiversity, the dwindling availability of resources and waste-related problems? Other trends need to be viewed against this backdrop as well. For example, the political system should be able to make decisions quickly – but are they made through centralization of power or inclusive decision-making or political correctness?</w:t>
      </w:r>
    </w:p>
    <w:p w14:paraId="1AC6A52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Other trends in the natural environment system includes e.g. sustainable materials, which in turn contributes to Innovating to zero and circular economy trends. Towards 2030 companies will shift focus and develop products and technologies that innovate to zero, including zero-waste and zero-emission technologies. While technology offers new solutions for the production of energy it also simultaneously increases the demand for energy. This creates a conflict: to what extent does technology promote ecological reconstruction and to what extent does technology hinder it? 6G net positive impact and sustainability are expected to be through enabling increased efficiencies and improved environmental performance. Technologies of computing will be miniaturized to the extent that they sustain on the power generated through everyday human activity. The everyday activity of walking, jogging and everyday housework could produce energy to support the person’s information devices which in turn would monitor person’s vitals from time to time as well as cater to information and entertainment needs through over-the-top connectivity.</w:t>
      </w:r>
    </w:p>
    <w:p w14:paraId="51BA4BA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At the same time, environmental awareness among people and companies has increased, reflected in a growing number of people and communities changing their habits and companies taking corresponding actions to offer customer experience. Dissatisfaction with the current measures taken with respect to climate change and biodiversity has motivated a growing number of people to voice their opinions and participate in demonstrations. </w:t>
      </w:r>
      <w:r w:rsidRPr="00A41C93">
        <w:rPr>
          <w:rFonts w:ascii="Arial" w:hAnsi="Arial" w:cs="Arial"/>
          <w:color w:val="000000" w:themeColor="text1"/>
          <w:lang w:val="en-US"/>
        </w:rPr>
        <w:lastRenderedPageBreak/>
        <w:t>Responding to the increased environmental awareness requires changes in culture and practices and has been accompanied by a polarization of views.</w:t>
      </w:r>
    </w:p>
    <w:p w14:paraId="72F4AC31" w14:textId="4A2EFD1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In the future smart grids are extended to a variety of sectors including electricity, internet and healthcare. All of these are hyperconnected and completely automated. They serve as a middle layer between humans and natural environments enhancing the capabilities of both. These networks have been put together with public-private-personal ownership funding model with a view towards sustainable growth and usage of digital infrastructure.</w:t>
      </w:r>
    </w:p>
    <w:p w14:paraId="07B15F1D" w14:textId="77777777" w:rsidR="00A41C93" w:rsidRPr="00A41C93" w:rsidRDefault="00A41C93" w:rsidP="00A41C93">
      <w:pPr>
        <w:spacing w:after="0" w:line="240" w:lineRule="auto"/>
        <w:jc w:val="both"/>
        <w:rPr>
          <w:rFonts w:ascii="Arial" w:hAnsi="Arial" w:cs="Arial"/>
          <w:color w:val="000000" w:themeColor="text1"/>
          <w:lang w:val="en-US"/>
        </w:rPr>
      </w:pPr>
    </w:p>
    <w:p w14:paraId="2F7EB6EF" w14:textId="3857E6B1" w:rsidR="00A41C93" w:rsidRPr="00A41C93" w:rsidRDefault="00A41C93" w:rsidP="00DA6395">
      <w:pPr>
        <w:pStyle w:val="Heading3"/>
        <w:numPr>
          <w:ilvl w:val="2"/>
          <w:numId w:val="19"/>
        </w:numPr>
        <w:rPr>
          <w:lang w:val="en-US"/>
        </w:rPr>
      </w:pPr>
      <w:bookmarkStart w:id="6" w:name="_Toc42177213"/>
      <w:r w:rsidRPr="00A41C93">
        <w:rPr>
          <w:lang w:val="en-US"/>
        </w:rPr>
        <w:t>Trends related to the political system</w:t>
      </w:r>
      <w:bookmarkEnd w:id="6"/>
    </w:p>
    <w:p w14:paraId="2B3CAE4A"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We are moving from multipolar world to a “poly-nodal” world, where strengthening of relational power is vital. In geopolitics the tension between the globalization, networking power and the urgency of the ecological reconstruction is linked to the balance between centralized decisions and the strengthening of inclusion and democracy. Towards 2030 power configuration is transforming from a multi-polarized world to a poly-nodal world where power will be determined in the economic, technological and cultural networks and interaction. Power is determined by relational influence and held not only by states but also by companies, regions, communities and transnational organizations. Societies are struggling to find a balance between quick-moving decision making, community engagement and the reasserting of democratic values and commitments.</w:t>
      </w:r>
    </w:p>
    <w:p w14:paraId="51F720F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Public network funding has traditionally been directed to unserved and underserved areas in terms of broadband access and coverage. Lately support for deployment programs has extended to policy areas, such as smart city community development, worksites and ecosystems (such as harbors and airports), advanced health services, logistics and transport, Smart Cities, public safety and critical infrastructure at length. Smart society builds dependable systems and communication where standardized data is utilized by walled garden platform monopolies across verticals. Smart city focus is extended to rural inclusion. 6G will transform urban and rural living existing at the intersection of geopolitics, growth of nationalism, rights to information transparency and information citizenry. Resource orchestration and configuration relates to the power over development and adoption of innovations and technology that ubiquitously embedded in society and our daily life. Technology is increasingly seen as a geopolitical issue of power and the questions of future resource orchestration power emerge: who will own the continuously accumulating data, who will get to decide on technology, and who sets the rules and regulation.</w:t>
      </w:r>
    </w:p>
    <w:p w14:paraId="10B802D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Access to data and data ownership are increasingly the major factors in value creation, and limiting such access is a means of control. Creating a system that transforms how data is collected, shared and analyzed in real time can create strong drivers for future value, introduce novel stakeholder roles, but may also lead to serious privacy and ethical concerns over the location and use of data. Privacy regulation is strongly linked with the rising trends of platform data economy, p2p sharing economy, intelligent assistants, connected living in smart cities, transhumanism and digital twins’ reality at length.  “I own my data” is expected to grow particularly in Europe based on GDPR evolution, though severe differences in the global data privacy laws are expected to be living on borrowed time. Artificial intelligence rights trends have contrary interpretations. Assuming the availability of appropriate data sets for training purposes, artificial intelligence has the ability to propose solutions to increasingly complex problems. AI can be the source of great economic growth, shared prosperity, and the fulfilment of all human rights. In the alternative future it drives inequality, inadvertently divides communities, and is even actively used to deny human rights.</w:t>
      </w:r>
    </w:p>
    <w:p w14:paraId="7E51AF8B" w14:textId="4103EEEF"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Wireless spectrum politics and spectrum management in the 6G era will reveal a new level of complexity that stems from the variety of spectrum bands and spectrum access models with different levels of spectrum sharing. Local deployments of networks by a variety of stakeholders is expected to further grow in 6G. Furthermore, in national technology politics, spectrum regulation is used to gain competitive advantage. According to Net neutrality ruling Internet access providers should treat all traffic equally irrespective of sender, receiver, content, service, application or device in use. At the same time, the 5G evolution is already </w:t>
      </w:r>
      <w:r w:rsidRPr="00A41C93">
        <w:rPr>
          <w:rFonts w:ascii="Arial" w:hAnsi="Arial" w:cs="Arial"/>
          <w:color w:val="000000" w:themeColor="text1"/>
          <w:lang w:val="en-US"/>
        </w:rPr>
        <w:lastRenderedPageBreak/>
        <w:t>developing a network that can be extremely tailored to a use case intending to treat traffic differently for each use case. This legislation creates uncertainties by impacting companies’ capabilities to create and capture value in virtualized network-based services between telecom operators and cloud providers.</w:t>
      </w:r>
    </w:p>
    <w:p w14:paraId="4EF22E13" w14:textId="77777777" w:rsidR="00A41C93" w:rsidRPr="00A41C93" w:rsidRDefault="00A41C93" w:rsidP="00A41C93">
      <w:pPr>
        <w:spacing w:after="0" w:line="240" w:lineRule="auto"/>
        <w:jc w:val="both"/>
        <w:rPr>
          <w:rFonts w:ascii="Arial" w:hAnsi="Arial" w:cs="Arial"/>
          <w:color w:val="000000" w:themeColor="text1"/>
          <w:lang w:val="en-US"/>
        </w:rPr>
      </w:pPr>
    </w:p>
    <w:p w14:paraId="79561A31" w14:textId="5748A2E5" w:rsidR="00A41C93" w:rsidRPr="00C42C17" w:rsidRDefault="00A41C93" w:rsidP="00DA6395">
      <w:pPr>
        <w:pStyle w:val="Heading3"/>
        <w:numPr>
          <w:ilvl w:val="2"/>
          <w:numId w:val="19"/>
        </w:numPr>
        <w:rPr>
          <w:lang w:val="en-US"/>
        </w:rPr>
      </w:pPr>
      <w:bookmarkStart w:id="7" w:name="_Toc42177214"/>
      <w:r w:rsidRPr="00A41C93">
        <w:rPr>
          <w:lang w:val="en-US"/>
        </w:rPr>
        <w:t>Trends related to the education system</w:t>
      </w:r>
      <w:bookmarkEnd w:id="7"/>
    </w:p>
    <w:p w14:paraId="08EE9366" w14:textId="187315EA"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Diversification of the population: We see two trends, both ageing in well-established societies, as well as young generations in developing economies trying to catch up to the welfare of established economies. In well-established societies</w:t>
      </w:r>
      <w:r w:rsidR="003D6AA2" w:rsidRPr="00A41C93">
        <w:rPr>
          <w:rFonts w:ascii="Arial" w:hAnsi="Arial" w:cs="Arial"/>
          <w:color w:val="000000" w:themeColor="text1"/>
          <w:lang w:val="en-US"/>
        </w:rPr>
        <w:t>, the</w:t>
      </w:r>
      <w:r w:rsidRPr="00A41C93">
        <w:rPr>
          <w:rFonts w:ascii="Arial" w:hAnsi="Arial" w:cs="Arial"/>
          <w:color w:val="000000" w:themeColor="text1"/>
          <w:lang w:val="en-US"/>
        </w:rPr>
        <w:t xml:space="preserve"> population is not only ageing but also becoming more diversified in terms of backgrounds, opportunities and habits [</w:t>
      </w:r>
      <w:r w:rsidR="003D6AA2">
        <w:rPr>
          <w:rFonts w:ascii="Arial" w:hAnsi="Arial" w:cs="Arial"/>
          <w:color w:val="000000" w:themeColor="text1"/>
          <w:lang w:val="en-US"/>
        </w:rPr>
        <w:t>C1-3</w:t>
      </w:r>
      <w:r w:rsidRPr="00A41C93">
        <w:rPr>
          <w:rFonts w:ascii="Arial" w:hAnsi="Arial" w:cs="Arial"/>
          <w:color w:val="000000" w:themeColor="text1"/>
          <w:lang w:val="en-US"/>
        </w:rPr>
        <w:t>]. Highly functional educational system can help to provide equal opportunities for all. Continuous competence development is not required only from work force but all citizens. Learning capabilities will have a key role in the future, which creates pressure to re-evaluate educational structures and policies.</w:t>
      </w:r>
    </w:p>
    <w:p w14:paraId="43996A59" w14:textId="55A1B229"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New technological innovations can revolutionize education in the future. Emerging opportunity of redefining human machine and brain-UI interface enables connecting people and the biological world in novel ways. Holopresence systems can project realistic, full-motion, real-time 3D digital twin images of distant people and objects into a room, along with real-time audio communication, with a level of realism rivaling physical presence. Images of remote people and surrounding objects are captured and transmitted over a 6G network and projected using laser beams in real time. The pervasive influence of artificial intelligence will not just reflect what something looks like but also its context, meaning and function, creating Internet of skills, Internet of senses and digital twins [</w:t>
      </w:r>
      <w:r w:rsidR="003D6AA2">
        <w:rPr>
          <w:rFonts w:ascii="Arial" w:hAnsi="Arial" w:cs="Arial"/>
          <w:color w:val="000000" w:themeColor="text1"/>
          <w:lang w:val="en-US"/>
        </w:rPr>
        <w:t>C1-9</w:t>
      </w:r>
      <w:r w:rsidRPr="00A41C93">
        <w:rPr>
          <w:rFonts w:ascii="Arial" w:hAnsi="Arial" w:cs="Arial"/>
          <w:color w:val="000000" w:themeColor="text1"/>
          <w:lang w:val="en-US"/>
        </w:rPr>
        <w:t>].</w:t>
      </w:r>
    </w:p>
    <w:p w14:paraId="6F91BE4F"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However, not all have equal opportunities to access latest educational technology. Trends in mobile only next billion means, how ubiquitous cheap phones and increasingly affordable network connections in mega cities and rural are helping another billion users join the internet and access applications and digital content increasing at non-English speaking markets (www.basicinternet.org). For many, mobile is the primary or only channel for accessing the internet and services. With its unprecedented scale and growing impact on daily lives, mobile is a powerful tool also for achieving the SDGs and drive sustainable economic growth.</w:t>
      </w:r>
    </w:p>
    <w:p w14:paraId="453EBEB5" w14:textId="3740F2C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Academia is crucially important stakeholder not only when providing education but also fostering groundbreaking research. Alternative concepts and models for computing such as quantum computing that is at its best in sorting, finding prime numbers, simulating molecules, and optimization, and thus could disrupt segments like finance, intelligence, drug design and discovery, utilities, polymer design, AI and Big Data search, and digital manufacturing. For long the technology will be limited to selected industries, such as military, national laboratories, and aerospace agencies while other alternative approaches of compute to help handle greatly increasing level of parallelism in algorithms may be available more widely.</w:t>
      </w:r>
    </w:p>
    <w:p w14:paraId="51ADD664" w14:textId="77777777" w:rsidR="00A41C93" w:rsidRPr="00A41C93" w:rsidRDefault="00A41C93" w:rsidP="00A41C93">
      <w:pPr>
        <w:spacing w:after="0" w:line="240" w:lineRule="auto"/>
        <w:jc w:val="both"/>
        <w:rPr>
          <w:rFonts w:ascii="Arial" w:hAnsi="Arial" w:cs="Arial"/>
          <w:color w:val="000000" w:themeColor="text1"/>
          <w:lang w:val="en-US"/>
        </w:rPr>
      </w:pPr>
    </w:p>
    <w:p w14:paraId="015F16E0" w14:textId="24E1C15A" w:rsidR="00A41C93" w:rsidRPr="00C42C17" w:rsidRDefault="00A41C93" w:rsidP="00DA6395">
      <w:pPr>
        <w:pStyle w:val="Heading3"/>
        <w:numPr>
          <w:ilvl w:val="2"/>
          <w:numId w:val="19"/>
        </w:numPr>
        <w:rPr>
          <w:lang w:val="en-US"/>
        </w:rPr>
      </w:pPr>
      <w:bookmarkStart w:id="8" w:name="_Toc42177215"/>
      <w:r w:rsidRPr="00A41C93">
        <w:rPr>
          <w:lang w:val="en-US"/>
        </w:rPr>
        <w:t>Trends related to the economic system</w:t>
      </w:r>
      <w:bookmarkEnd w:id="8"/>
    </w:p>
    <w:p w14:paraId="57C6D74E"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redefinition of the economy, is also linked to sustainable development: is the environment only to be regarded as a resource or should the economy aim to improve the state of the environment?</w:t>
      </w:r>
    </w:p>
    <w:p w14:paraId="023EC26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Urbanization will bring 5 billion people together to live in cities by 2030 occupying 3 per cent of the Earth’s land but accounting for 80 per cent of energy consumption and 75 per cent of carbon emissions. 95 per cent of urban expansion in the next decades will take place in developing world where 883 million people live in slums today. Rapid urbanization is exerting pressure on fresh water supplies, sewage, the living environment, and public health. Cities are hungry, global economic engines and the economic powerhouses of the global economy. In 2015, 85% of global GDP was generated in cities. Cities are increasingly functioning as autonomous entities, setting social and economic standards. Urban identity will grow in importance compared to national identity.</w:t>
      </w:r>
    </w:p>
    <w:p w14:paraId="3CB48E95"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Open value configuration and open source paradigm may provide a powerful avenue to reinvent civil society participatory process and regulatory capability. Utilizing sharing and </w:t>
      </w:r>
      <w:r w:rsidRPr="00A41C93">
        <w:rPr>
          <w:rFonts w:ascii="Arial" w:hAnsi="Arial" w:cs="Arial"/>
          <w:color w:val="000000" w:themeColor="text1"/>
          <w:lang w:val="en-US"/>
        </w:rPr>
        <w:lastRenderedPageBreak/>
        <w:t xml:space="preserve">circular economy trends co-creation utilize existing resources and processes to promote the stable interaction of mechanisms. As counterforces to the creation of platform monopolies decentralized platform co-operatives, the peer-to-peer economy and sharing economy models and the progress of a human-driven fair data economy has emerged. Towards 2030 platform ecosystems will provide an infrastructure on which innovation and transaction platforms are built.  Crowdsourcing and crowdfunding are expanding the space for new forms of organization and innovation. Component prices have already decreased significantly, more sophisticated components will become cheaper, and new ones are invented. Low component prices provide possibilities for both local businesses as well as international ones. This encourages frugal innovations that are supported by the global do-it-yourself culture where sharing of blueprints and working processes is the norm to fight inequality in the world. In the heterogeneous society social networks and the trust and reciprocity they foster are highlighted from the perspective of well-being as well as working life. Novel decentralized business models do not necessitate a focal point but depicts the design of transaction content, structure, and governance to create value. </w:t>
      </w:r>
    </w:p>
    <w:p w14:paraId="75CEC7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Via Edge and extreme edge intelligence the proliferation of ever more powerful communication, computing and analytics resources at the edge of the network has turned the architecturally disaggregated 6G access networks into a rich service provisioning and access platform. Hyper-local services, such as augmented reality scenarios, do not require connectivity to distant service platform but, instead, perform better with local real time service access. Furthermore, the person will be supporting part of shared information processing and edge intelligence networks that address collective problems for humanity, such as genome sequencing (citizen science), through shared resources. The individual emerges as a node in the network of intelligence relations rooted in the local physical world while connected to the hyper-real 6G intelligence networks. This adopts a viewpoint of a public good through digital infrastructure of 6G supported through an ecology of information devices, products and services of IoT/IoE.</w:t>
      </w:r>
    </w:p>
    <w:p w14:paraId="18CAE390"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Over-the-top companies will utilize their customer data, cloud infrastructure and AI/ML capabilities to challenge traditional operator’s customer relationship ownership as users perceive connectivity as basic utility. In addition to the media space OTT players are offering basic telco services such as voice or messaging and are active in growth areas, such as cloud space and services, competing with telcos for clients and revenue. They are tying customers to their own ecosystems with carrier-neutral connectivity, while making reliance on traditional operators a thing of the past.</w:t>
      </w:r>
    </w:p>
    <w:p w14:paraId="3A88D5B8" w14:textId="0ADFFCB2" w:rsid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Towards 2030 industry 5.0 will allow collaborative human-machine interaction (HMI) across services and industries as human intelligence is in perfect harmony with advanced, cognitive computing. With real-time data, effective data monetization and digital automation of the manufacturing process, businesses will be able to shift focus towards generating higher revenues from servitization of products. Advanced manufacturing capabilities will help to overcome design complexities and with its ability to facilitate extreme long tail of mass customization and further return the control back to customers and in a haptic way. Private networks driven by industrial digital automation calls for standalone networks for high reliability, high performance in terms of both bandwidth and reliability, secure communications and data privacy, fulfilling business and mission critical needs.</w:t>
      </w:r>
    </w:p>
    <w:p w14:paraId="4DEDF355" w14:textId="77777777" w:rsidR="00A41C93" w:rsidRPr="00A41C93" w:rsidRDefault="00A41C93" w:rsidP="00A41C93">
      <w:pPr>
        <w:spacing w:after="0" w:line="240" w:lineRule="auto"/>
        <w:jc w:val="both"/>
        <w:rPr>
          <w:rFonts w:ascii="Arial" w:hAnsi="Arial" w:cs="Arial"/>
          <w:color w:val="000000" w:themeColor="text1"/>
          <w:lang w:val="en-US"/>
        </w:rPr>
      </w:pPr>
    </w:p>
    <w:p w14:paraId="1ED12CD5" w14:textId="31E91A85" w:rsidR="00A41C93" w:rsidRPr="00C42C17" w:rsidRDefault="00A41C93" w:rsidP="00DA6395">
      <w:pPr>
        <w:pStyle w:val="Heading3"/>
        <w:numPr>
          <w:ilvl w:val="2"/>
          <w:numId w:val="19"/>
        </w:numPr>
        <w:rPr>
          <w:lang w:val="en-US"/>
        </w:rPr>
      </w:pPr>
      <w:bookmarkStart w:id="9" w:name="_Toc42177216"/>
      <w:r w:rsidRPr="00A41C93">
        <w:rPr>
          <w:lang w:val="en-US"/>
        </w:rPr>
        <w:t>Trends related to the media-based and culture-based public system</w:t>
      </w:r>
      <w:bookmarkEnd w:id="9"/>
    </w:p>
    <w:p w14:paraId="5AEE0E0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technology is an embedded enabler in everything: in knowledge creation and circulation of knowledge. Technology is becoming a part of society and everyday life.</w:t>
      </w:r>
    </w:p>
    <w:p w14:paraId="799CA39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 xml:space="preserve">The sense of community created by 6G technology and the ability to directly collaborate with others enables humans to participate and act in society in an unprecedented way. Hyper Connected globe will continue to feel ever smaller in 2030: Globally 90% people will be able to read and have access to Internet and this trend is on the move. The aim is to recognize that 6G will transform urban and rural living existing at the intersection of geopolitics, growth of nationalism, rights to information transparency and information citizenry. Thus, once the </w:t>
      </w:r>
      <w:r w:rsidRPr="00A41C93">
        <w:rPr>
          <w:rFonts w:ascii="Arial" w:hAnsi="Arial" w:cs="Arial"/>
          <w:color w:val="000000" w:themeColor="text1"/>
          <w:lang w:val="en-US"/>
        </w:rPr>
        <w:lastRenderedPageBreak/>
        <w:t>infrastructure of 6G is in place, the content growth will be in terms of supporting multiple social and technological identities of people through a variety of media. This would require a mindful view on decision making and regulation of future, data, information, media and network usage in light of sustainable growth for economy. Thus, the human in 6G worlds will be increasingly sophisticated in terms of their media and service consumption while being rooted in their local economies. Connectivity is therefore not only virtual and digital, but also physical, such that the physical world will seamlessly meet the virtual world and, with novel ways of interacting with the human biological world.</w:t>
      </w:r>
    </w:p>
    <w:p w14:paraId="093CC687"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When 6G technology has penetrated most parts of the world, IoT devices and sensors controlled by AI are an integrated part of environment. Automatic collection of different kinds of data (from humans: functioning of human body, biometrics, biosensors, etc. as well as from our environment etc.) and its analysis are used for highly sophisticated products and systems that make people’s lives easier and provide better user experience through convenience as everything is automated.</w:t>
      </w:r>
    </w:p>
    <w:p w14:paraId="7B98E774"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The need for cybersecurity and trust will be ubiquitous in the hyper connected world 2030. Even a temporary loss of technology may have, not only a productivity impact, but also a psychological impact on our lives. Furthermore, the subversion or corruption of our technology could result in the disastrous harm to our lives and businesses if, e.g., medical treatment devices deliver the wrong medication, educational systems teach propaganda, or home, on the autonomous move or work automation cause us injury or damage our products and businesses. In particular, expectations to protect and safeguard society and critical infrastructures from emergency situations by means of technological advancements are anticipated to grow.</w:t>
      </w:r>
    </w:p>
    <w:p w14:paraId="33F4591C" w14:textId="77777777" w:rsidR="00A41C93" w:rsidRPr="00A41C93"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Furthermore, with increasing polarization and the ageing and diversification of the population new tribes and communities will emerge around various imaginary groups representing wide variety of values, place of residence, political opinion, consumption choices or lifestyles. With weakened and fragmented future prospects, the absence of togetherness and the polarizing effect of social media have led to a rise in populism, skepticism towards changes in the environment and in the worst case, extreme attitudes.</w:t>
      </w:r>
    </w:p>
    <w:p w14:paraId="4DDF8428" w14:textId="3B4A5CD2" w:rsidR="00DF325B" w:rsidRPr="003D6AA2" w:rsidRDefault="00A41C93" w:rsidP="00A41C93">
      <w:pPr>
        <w:spacing w:after="0" w:line="240" w:lineRule="auto"/>
        <w:jc w:val="both"/>
        <w:rPr>
          <w:rFonts w:ascii="Arial" w:hAnsi="Arial" w:cs="Arial"/>
          <w:color w:val="000000" w:themeColor="text1"/>
          <w:lang w:val="en-US"/>
        </w:rPr>
      </w:pPr>
      <w:r w:rsidRPr="00A41C93">
        <w:rPr>
          <w:rFonts w:ascii="Arial" w:hAnsi="Arial" w:cs="Arial"/>
          <w:color w:val="000000" w:themeColor="text1"/>
          <w:lang w:val="en-US"/>
        </w:rPr>
        <w:t>Transhumanism reflects the rise of technology-driven evolution at an unprecedented speed of change, propelling deeper questions into what it is to be human from biological, behavioral and human-machine evolutional perspectives. Cognitive intelligence revolution via ascendancy of sentient tools and further possibly human orchestrated self-directed selection in biological, neurol</w:t>
      </w:r>
      <w:r w:rsidR="003D6AA2">
        <w:rPr>
          <w:rFonts w:ascii="Arial" w:hAnsi="Arial" w:cs="Arial"/>
          <w:color w:val="000000" w:themeColor="text1"/>
          <w:lang w:val="en-US"/>
        </w:rPr>
        <w:t>ogical, and physical evolution.</w:t>
      </w:r>
    </w:p>
    <w:p w14:paraId="73ED4D0F" w14:textId="6907C8A1" w:rsidR="00A41C93" w:rsidRPr="0012294F" w:rsidRDefault="00A41C93" w:rsidP="00BB302D">
      <w:pPr>
        <w:spacing w:after="0" w:line="240" w:lineRule="auto"/>
        <w:jc w:val="both"/>
        <w:rPr>
          <w:rFonts w:ascii="Arial" w:hAnsi="Arial" w:cs="Arial"/>
          <w:color w:val="000000" w:themeColor="text1"/>
        </w:rPr>
      </w:pPr>
    </w:p>
    <w:p w14:paraId="057B6332" w14:textId="77777777" w:rsidR="00270C8A" w:rsidRPr="0012294F" w:rsidRDefault="00270C8A" w:rsidP="00BB302D">
      <w:pPr>
        <w:spacing w:after="0" w:line="240" w:lineRule="auto"/>
        <w:jc w:val="both"/>
        <w:rPr>
          <w:rFonts w:ascii="Arial" w:hAnsi="Arial" w:cs="Arial"/>
          <w:color w:val="000000" w:themeColor="text1"/>
        </w:rPr>
      </w:pPr>
    </w:p>
    <w:p w14:paraId="69993586" w14:textId="0C3DBAF6" w:rsidR="003B3AA3" w:rsidRPr="0012294F" w:rsidRDefault="003B3AA3" w:rsidP="00124439">
      <w:pPr>
        <w:pStyle w:val="Heading2"/>
        <w:numPr>
          <w:ilvl w:val="1"/>
          <w:numId w:val="41"/>
        </w:numPr>
        <w:ind w:left="993"/>
      </w:pPr>
      <w:bookmarkStart w:id="10" w:name="_Toc42177217"/>
      <w:r w:rsidRPr="0012294F">
        <w:t>Strong Contribution to the European Economy</w:t>
      </w:r>
      <w:bookmarkEnd w:id="10"/>
      <w:r w:rsidR="00DF325B">
        <w:br/>
      </w:r>
    </w:p>
    <w:p w14:paraId="4AE91B26" w14:textId="50D65410" w:rsidR="00A51503" w:rsidRPr="00726918" w:rsidRDefault="00A51503" w:rsidP="00A51503">
      <w:pPr>
        <w:spacing w:after="120"/>
        <w:jc w:val="both"/>
        <w:rPr>
          <w:lang w:val="en-US"/>
        </w:rPr>
      </w:pPr>
      <w:r>
        <w:rPr>
          <w:rFonts w:ascii="Arial" w:hAnsi="Arial" w:cs="Arial"/>
          <w:color w:val="000000"/>
        </w:rPr>
        <w:t>In Europe, the entire ICT domain contributes significantly to the economy with about 5 % of total GDP, which corresponds to a market size of ‎</w:t>
      </w:r>
      <w:hyperlink r:id="rId10" w:history="1">
        <w:r>
          <w:rPr>
            <w:rStyle w:val="Hyperlink"/>
            <w:rFonts w:cs="Arial"/>
            <w:color w:val="000000"/>
          </w:rPr>
          <w:t>€</w:t>
        </w:r>
      </w:hyperlink>
      <w:r>
        <w:rPr>
          <w:rFonts w:ascii="Arial" w:hAnsi="Arial" w:cs="Arial"/>
          <w:color w:val="000000"/>
        </w:rPr>
        <w:t xml:space="preserve"> 600 billion. This is also confirmed by findings of Eurostat. In particular, the communicatio</w:t>
      </w:r>
      <w:r w:rsidR="00DA6395">
        <w:rPr>
          <w:rFonts w:ascii="Arial" w:hAnsi="Arial" w:cs="Arial"/>
          <w:color w:val="000000"/>
        </w:rPr>
        <w:t>n systems and networks sector [C1-10</w:t>
      </w:r>
      <w:r>
        <w:rPr>
          <w:rFonts w:ascii="Arial" w:hAnsi="Arial" w:cs="Arial"/>
          <w:color w:val="000000"/>
        </w:rPr>
        <w:t>] (manufacturing, including communication equipment and telecommunications) is critical in this market with a strong contribution to the European economy:</w:t>
      </w:r>
    </w:p>
    <w:p w14:paraId="6BC35D30" w14:textId="61FDD9F0" w:rsidR="00A51503" w:rsidRPr="00726918" w:rsidRDefault="00A51503" w:rsidP="00124439">
      <w:pPr>
        <w:pStyle w:val="ListParagraph"/>
        <w:numPr>
          <w:ilvl w:val="0"/>
          <w:numId w:val="79"/>
        </w:numPr>
        <w:spacing w:after="0" w:line="240" w:lineRule="auto"/>
        <w:ind w:left="714" w:hanging="357"/>
        <w:jc w:val="both"/>
        <w:rPr>
          <w:lang w:val="en-US"/>
        </w:rPr>
      </w:pPr>
      <w:r>
        <w:rPr>
          <w:rFonts w:ascii="Arial" w:hAnsi="Arial" w:cs="Arial"/>
          <w:color w:val="000000"/>
        </w:rPr>
        <w:t>About 27.2 % (1.74 million employees) of ICT employment</w:t>
      </w:r>
      <w:r w:rsidR="00456F00">
        <w:rPr>
          <w:rFonts w:ascii="Arial" w:hAnsi="Arial" w:cs="Arial"/>
          <w:color w:val="000000"/>
        </w:rPr>
        <w:t xml:space="preserve"> [C1-10]</w:t>
      </w:r>
    </w:p>
    <w:p w14:paraId="40DAF937" w14:textId="44BBB194" w:rsidR="00A51503" w:rsidRPr="00726918" w:rsidRDefault="00A51503" w:rsidP="00124439">
      <w:pPr>
        <w:pStyle w:val="ListParagraph"/>
        <w:numPr>
          <w:ilvl w:val="0"/>
          <w:numId w:val="79"/>
        </w:numPr>
        <w:spacing w:after="0" w:line="240" w:lineRule="auto"/>
        <w:ind w:left="714" w:hanging="357"/>
        <w:jc w:val="both"/>
        <w:rPr>
          <w:lang w:val="en-US"/>
        </w:rPr>
      </w:pPr>
      <w:r>
        <w:rPr>
          <w:rFonts w:ascii="Arial" w:hAnsi="Arial" w:cs="Arial"/>
          <w:color w:val="000000"/>
        </w:rPr>
        <w:t>37 % (€ 234 billion) of ICT market size</w:t>
      </w:r>
      <w:r w:rsidR="00456F00">
        <w:rPr>
          <w:rFonts w:ascii="Arial" w:hAnsi="Arial" w:cs="Arial"/>
          <w:color w:val="000000"/>
        </w:rPr>
        <w:t xml:space="preserve"> [C1-10]</w:t>
      </w:r>
    </w:p>
    <w:p w14:paraId="2B9799B5" w14:textId="3D556FD6" w:rsidR="00A51503" w:rsidRPr="00726918" w:rsidRDefault="00A51503" w:rsidP="00124439">
      <w:pPr>
        <w:pStyle w:val="ListParagraph"/>
        <w:numPr>
          <w:ilvl w:val="0"/>
          <w:numId w:val="79"/>
        </w:numPr>
        <w:spacing w:after="120" w:line="240" w:lineRule="auto"/>
        <w:ind w:left="714" w:hanging="357"/>
        <w:jc w:val="both"/>
        <w:rPr>
          <w:lang w:val="en-US"/>
        </w:rPr>
      </w:pPr>
      <w:r>
        <w:rPr>
          <w:rFonts w:ascii="Arial" w:hAnsi="Arial" w:cs="Arial"/>
          <w:color w:val="000000"/>
        </w:rPr>
        <w:t>47 % (€ 15 billion) of R&amp;D expenditure in Europe</w:t>
      </w:r>
      <w:r w:rsidR="00456F00">
        <w:rPr>
          <w:rFonts w:ascii="Arial" w:hAnsi="Arial" w:cs="Arial"/>
          <w:color w:val="000000"/>
        </w:rPr>
        <w:t xml:space="preserve"> [C1-10].</w:t>
      </w:r>
    </w:p>
    <w:p w14:paraId="022BF8D2" w14:textId="49530878" w:rsidR="00AD3A42" w:rsidRPr="0012294F" w:rsidRDefault="00AD3A42" w:rsidP="00BB302D">
      <w:pPr>
        <w:spacing w:after="120" w:line="240" w:lineRule="auto"/>
        <w:jc w:val="both"/>
        <w:rPr>
          <w:rFonts w:ascii="Arial" w:hAnsi="Arial" w:cs="Arial"/>
          <w:color w:val="000000" w:themeColor="text1"/>
        </w:rPr>
      </w:pPr>
      <w:r w:rsidRPr="0012294F">
        <w:rPr>
          <w:rFonts w:ascii="Arial" w:hAnsi="Arial" w:cs="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DA6395">
        <w:rPr>
          <w:rFonts w:ascii="Arial" w:hAnsi="Arial" w:cs="Arial"/>
        </w:rPr>
        <w:t xml:space="preserve">[C1-11]. </w:t>
      </w:r>
      <w:r w:rsidRPr="0012294F">
        <w:rPr>
          <w:rFonts w:ascii="Arial" w:hAnsi="Arial" w:cs="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w:t>
      </w:r>
      <w:r w:rsidRPr="0012294F">
        <w:rPr>
          <w:rFonts w:ascii="Arial" w:hAnsi="Arial" w:cs="Arial"/>
          <w:color w:val="000000" w:themeColor="text1"/>
        </w:rPr>
        <w:lastRenderedPageBreak/>
        <w:t xml:space="preserve">in the range of $4 trillion to $11 trillion by 2025 </w:t>
      </w:r>
      <w:r w:rsidR="00DA6395">
        <w:rPr>
          <w:rFonts w:ascii="Arial" w:hAnsi="Arial" w:cs="Arial"/>
        </w:rPr>
        <w:t xml:space="preserve">[C1-12]. </w:t>
      </w:r>
      <w:r w:rsidRPr="0012294F">
        <w:rPr>
          <w:rFonts w:ascii="Arial" w:hAnsi="Arial" w:cs="Arial"/>
          <w:color w:val="000000" w:themeColor="text1"/>
        </w:rPr>
        <w:t xml:space="preserve"> A fully functional Digital Single Market could contribute €415 billion per year to the European GDP </w:t>
      </w:r>
      <w:r w:rsidR="00DA6395">
        <w:rPr>
          <w:rFonts w:ascii="Arial" w:hAnsi="Arial" w:cs="Arial"/>
        </w:rPr>
        <w:t>[C1-13].</w:t>
      </w:r>
      <w:r w:rsidRPr="0012294F">
        <w:rPr>
          <w:rFonts w:ascii="Arial" w:hAnsi="Arial" w:cs="Arial"/>
          <w:color w:val="000000" w:themeColor="text1"/>
        </w:rPr>
        <w:t xml:space="preserve"> Overall, the digitalisation of society is still in an early stage. For example, Europe’s Digital Progress Report 2017 </w:t>
      </w:r>
      <w:r w:rsidR="00DA6395">
        <w:rPr>
          <w:rFonts w:ascii="Arial" w:hAnsi="Arial" w:cs="Arial"/>
        </w:rPr>
        <w:t>[C1-14].</w:t>
      </w:r>
      <w:r w:rsidRPr="0012294F">
        <w:rPr>
          <w:rFonts w:ascii="Arial" w:hAnsi="Arial" w:cs="Arial"/>
          <w:color w:val="000000" w:themeColor="text1"/>
        </w:rPr>
        <w:t xml:space="preserve"> points out that only 20 % of the companies in the EU28 countries are highly digitised and there are still many opportunities to be exploited especially by SMEs. According to an Accenture study </w:t>
      </w:r>
      <w:r w:rsidR="00DA6395">
        <w:rPr>
          <w:rFonts w:ascii="Arial" w:hAnsi="Arial" w:cs="Arial"/>
        </w:rPr>
        <w:t xml:space="preserve">[C1-15] </w:t>
      </w:r>
      <w:r w:rsidRPr="0012294F">
        <w:rPr>
          <w:rFonts w:ascii="Arial" w:hAnsi="Arial" w:cs="Arial"/>
          <w:color w:val="000000" w:themeColor="text1"/>
        </w:rPr>
        <w:t>the economic opportunity from digitalisation in Europe is over € 4 billion in value per day.</w:t>
      </w:r>
    </w:p>
    <w:p w14:paraId="6BF53AB2" w14:textId="77777777" w:rsidR="00AD3A42" w:rsidRPr="0012294F" w:rsidRDefault="00AD3A42" w:rsidP="00BB302D">
      <w:pPr>
        <w:spacing w:after="0" w:line="240" w:lineRule="auto"/>
        <w:jc w:val="both"/>
        <w:rPr>
          <w:rFonts w:ascii="Arial" w:hAnsi="Arial" w:cs="Arial"/>
          <w:b/>
          <w:color w:val="000000" w:themeColor="text1"/>
        </w:rPr>
      </w:pPr>
      <w:r w:rsidRPr="0012294F">
        <w:rPr>
          <w:rFonts w:ascii="Arial" w:hAnsi="Arial" w:cs="Arial"/>
          <w:b/>
          <w:color w:val="000000" w:themeColor="text1"/>
        </w:rPr>
        <w:t>Smart Networks are of strategic importance as the enabler for basically all sectors in society and economy for jobs and economic growth.</w:t>
      </w:r>
    </w:p>
    <w:p w14:paraId="39D9B787" w14:textId="77777777" w:rsidR="00270C8A" w:rsidRPr="0012294F" w:rsidRDefault="00270C8A" w:rsidP="00BB302D">
      <w:pPr>
        <w:spacing w:after="0" w:line="240" w:lineRule="auto"/>
        <w:jc w:val="both"/>
        <w:rPr>
          <w:rFonts w:ascii="Arial" w:eastAsia="Times New Roman" w:hAnsi="Arial" w:cs="Arial"/>
          <w:iCs/>
          <w:noProof/>
          <w:color w:val="000000" w:themeColor="text1"/>
        </w:rPr>
      </w:pPr>
    </w:p>
    <w:p w14:paraId="70627FFF" w14:textId="1DED97CF" w:rsidR="00270C8A" w:rsidRDefault="003B3AA3" w:rsidP="00124439">
      <w:pPr>
        <w:pStyle w:val="Heading2"/>
        <w:numPr>
          <w:ilvl w:val="1"/>
          <w:numId w:val="41"/>
        </w:numPr>
        <w:ind w:left="1134"/>
      </w:pPr>
      <w:bookmarkStart w:id="11" w:name="_Toc510109788"/>
      <w:bookmarkStart w:id="12" w:name="_Toc42177218"/>
      <w:r w:rsidRPr="0012294F">
        <w:t>Smart Networks V</w:t>
      </w:r>
      <w:r w:rsidR="00270C8A" w:rsidRPr="0012294F">
        <w:t>ision</w:t>
      </w:r>
      <w:bookmarkEnd w:id="11"/>
      <w:bookmarkEnd w:id="12"/>
    </w:p>
    <w:p w14:paraId="3EE59879" w14:textId="77777777" w:rsidR="00DF325B" w:rsidRPr="00DF325B" w:rsidRDefault="00DF325B" w:rsidP="00DF325B"/>
    <w:p w14:paraId="0DD53E32" w14:textId="54FC7239" w:rsidR="00AD3A42" w:rsidRPr="0012294F" w:rsidDel="0065304B" w:rsidRDefault="00AD3A42" w:rsidP="00BB302D">
      <w:pPr>
        <w:spacing w:after="120" w:line="240" w:lineRule="auto"/>
        <w:jc w:val="both"/>
        <w:rPr>
          <w:rFonts w:ascii="Arial" w:hAnsi="Arial" w:cs="Arial"/>
          <w:color w:val="000000" w:themeColor="text1"/>
        </w:rPr>
      </w:pPr>
      <w:r w:rsidRPr="0012294F">
        <w:rPr>
          <w:rFonts w:ascii="Arial" w:eastAsia="Times New Roman" w:hAnsi="Arial" w:cs="Arial"/>
          <w:iCs/>
          <w:noProof/>
          <w:color w:val="000000" w:themeColor="text1"/>
        </w:rPr>
        <w:t xml:space="preserve">5G </w:t>
      </w:r>
      <w:r w:rsidR="0033457E" w:rsidRPr="0012294F">
        <w:rPr>
          <w:rFonts w:ascii="Arial" w:eastAsia="Times New Roman" w:hAnsi="Arial" w:cs="Arial"/>
          <w:iCs/>
          <w:noProof/>
          <w:color w:val="000000" w:themeColor="text1"/>
        </w:rPr>
        <w:t xml:space="preserve">as a network of networks </w:t>
      </w:r>
      <w:r w:rsidRPr="0012294F">
        <w:rPr>
          <w:rFonts w:ascii="Arial" w:eastAsia="Times New Roman" w:hAnsi="Arial" w:cs="Arial"/>
          <w:iCs/>
          <w:noProof/>
          <w:color w:val="000000" w:themeColor="text1"/>
        </w:rPr>
        <w:t>is just the beginning of a new paradigm after the successful development of mobile communication systems such as GSM, UMTS</w:t>
      </w:r>
      <w:r w:rsidR="0033457E" w:rsidRPr="0012294F">
        <w:rPr>
          <w:rFonts w:ascii="Arial" w:eastAsia="Times New Roman" w:hAnsi="Arial" w:cs="Arial"/>
          <w:iCs/>
          <w:noProof/>
          <w:color w:val="000000" w:themeColor="text1"/>
        </w:rPr>
        <w:t>,</w:t>
      </w:r>
      <w:r w:rsidRPr="0012294F">
        <w:rPr>
          <w:rFonts w:ascii="Arial" w:eastAsia="Times New Roman" w:hAnsi="Arial" w:cs="Arial"/>
          <w:iCs/>
          <w:noProof/>
          <w:color w:val="000000" w:themeColor="text1"/>
        </w:rPr>
        <w:t xml:space="preserve"> LTE</w:t>
      </w:r>
      <w:r w:rsidR="0033457E" w:rsidRPr="0012294F">
        <w:rPr>
          <w:rFonts w:ascii="Arial" w:eastAsia="Times New Roman" w:hAnsi="Arial" w:cs="Arial"/>
          <w:iCs/>
          <w:noProof/>
          <w:color w:val="000000" w:themeColor="text1"/>
        </w:rPr>
        <w:t xml:space="preserve"> and other networks in a complementary manner</w:t>
      </w:r>
      <w:r w:rsidRPr="0012294F">
        <w:rPr>
          <w:rFonts w:ascii="Arial" w:eastAsia="Times New Roman" w:hAnsi="Arial" w:cs="Arial"/>
          <w:iCs/>
          <w:noProof/>
          <w:color w:val="000000" w:themeColor="text1"/>
        </w:rPr>
        <w:t>. Further development is absolutely cru</w:t>
      </w:r>
      <w:r w:rsidR="0033457E" w:rsidRPr="0012294F">
        <w:rPr>
          <w:rFonts w:ascii="Arial" w:eastAsia="Times New Roman" w:hAnsi="Arial" w:cs="Arial"/>
          <w:iCs/>
          <w:noProof/>
          <w:color w:val="000000" w:themeColor="text1"/>
        </w:rPr>
        <w:t>c</w:t>
      </w:r>
      <w:r w:rsidRPr="0012294F">
        <w:rPr>
          <w:rFonts w:ascii="Arial" w:eastAsia="Times New Roman" w:hAnsi="Arial" w:cs="Arial"/>
          <w:iCs/>
          <w:noProof/>
          <w:color w:val="000000" w:themeColor="text1"/>
        </w:rPr>
        <w:t xml:space="preserve">ial to address new challenges and requirements coming from many different sectors in society and industry. </w:t>
      </w:r>
      <w:r w:rsidRPr="0012294F">
        <w:rPr>
          <w:rFonts w:ascii="Arial" w:hAnsi="Arial" w:cs="Arial"/>
          <w:color w:val="000000" w:themeColor="text1"/>
        </w:rPr>
        <w:t xml:space="preserve">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enabled (e.g. by the support of blockchains) will create a trusted environment for the Internet of smart things in which new applications and ideas can flourish. </w:t>
      </w:r>
      <w:r w:rsidRPr="0012294F">
        <w:rPr>
          <w:rFonts w:ascii="Arial" w:eastAsia="Times New Roman" w:hAnsi="Arial" w:cs="Arial"/>
          <w:iCs/>
          <w:noProof/>
          <w:color w:val="000000" w:themeColor="text1"/>
        </w:rPr>
        <w:t>Future cost-effective communication systems and networks</w:t>
      </w:r>
      <w:r w:rsidR="00822262" w:rsidRPr="0012294F">
        <w:rPr>
          <w:rFonts w:ascii="Arial" w:eastAsia="Times New Roman" w:hAnsi="Arial" w:cs="Arial"/>
          <w:iCs/>
          <w:noProof/>
          <w:color w:val="000000" w:themeColor="text1"/>
        </w:rPr>
        <w:t>, both terrestrial and non-terrestria,</w:t>
      </w:r>
      <w:r w:rsidRPr="0012294F">
        <w:rPr>
          <w:rFonts w:ascii="Arial" w:eastAsia="Times New Roman" w:hAnsi="Arial" w:cs="Arial"/>
          <w:iCs/>
          <w:noProof/>
          <w:color w:val="000000" w:themeColor="text1"/>
        </w:rPr>
        <w:t xml:space="preserve"> will increasingly be ba</w:t>
      </w:r>
      <w:r w:rsidR="00130329" w:rsidRPr="0012294F">
        <w:rPr>
          <w:rFonts w:ascii="Arial" w:eastAsia="Times New Roman" w:hAnsi="Arial" w:cs="Arial"/>
          <w:iCs/>
          <w:noProof/>
          <w:color w:val="000000" w:themeColor="text1"/>
        </w:rPr>
        <w:t>sed on AI/ML</w:t>
      </w:r>
      <w:r w:rsidRPr="0012294F">
        <w:rPr>
          <w:rFonts w:ascii="Arial" w:eastAsia="Times New Roman" w:hAnsi="Arial" w:cs="Arial"/>
          <w:iCs/>
          <w:noProof/>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12294F">
        <w:rPr>
          <w:rFonts w:ascii="Arial" w:eastAsia="Times New Roman" w:hAnsi="Arial" w:cs="Arial"/>
          <w:iCs/>
          <w:noProof/>
          <w:color w:val="000000" w:themeColor="text1"/>
        </w:rPr>
        <w:t>e</w:t>
      </w:r>
      <w:r w:rsidRPr="0012294F">
        <w:rPr>
          <w:rFonts w:ascii="Arial" w:eastAsia="Times New Roman" w:hAnsi="Arial" w:cs="Arial"/>
          <w:iCs/>
          <w:noProof/>
          <w:color w:val="000000" w:themeColor="text1"/>
        </w:rPr>
        <w:t xml:space="preserve"> distributed network, compute and storage resources to facilitate an agile composition of new services supporting a multitude of markets and industry sectors. </w:t>
      </w:r>
      <w:r w:rsidRPr="0012294F">
        <w:rPr>
          <w:rFonts w:ascii="Arial" w:hAnsi="Arial" w:cs="Arial"/>
          <w:color w:val="000000" w:themeColor="text1"/>
        </w:rPr>
        <w:t>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12294F">
        <w:rPr>
          <w:rFonts w:ascii="Arial" w:eastAsia="Times New Roman" w:hAnsi="Arial" w:cs="Arial"/>
          <w:iCs/>
          <w:noProof/>
          <w:color w:val="000000" w:themeColor="text1"/>
        </w:rPr>
        <w:t xml:space="preserve"> the digital transformation is likely to fail. Therefore, i</w:t>
      </w:r>
      <w:r w:rsidRPr="0012294F">
        <w:rPr>
          <w:rFonts w:ascii="Arial" w:eastAsia="Times New Roman" w:hAnsi="Arial" w:cs="Arial"/>
          <w:iCs/>
          <w:noProof/>
          <w:color w:val="000000" w:themeColor="text1"/>
        </w:rPr>
        <w:t>t is vital that the Smart Networks area is adequately represented in Framework Programme 9.</w:t>
      </w:r>
    </w:p>
    <w:p w14:paraId="48BFAEA6" w14:textId="77777777" w:rsidR="00AD3A42" w:rsidRPr="0012294F" w:rsidRDefault="00AD3A42" w:rsidP="00BB302D">
      <w:pPr>
        <w:spacing w:after="0" w:line="240" w:lineRule="auto"/>
        <w:jc w:val="both"/>
        <w:rPr>
          <w:rFonts w:ascii="Arial" w:hAnsi="Arial" w:cs="Arial"/>
          <w:color w:val="000000" w:themeColor="text1"/>
        </w:rPr>
      </w:pPr>
      <w:r w:rsidRPr="0012294F">
        <w:rPr>
          <w:rFonts w:ascii="Arial" w:hAnsi="Arial" w:cs="Arial"/>
          <w:color w:val="000000" w:themeColor="text1"/>
        </w:rPr>
        <w:t>The Smart Networks concept provides the necessary infrastructure and builds on scientific advances in the areas of physical and logical</w:t>
      </w:r>
      <w:r w:rsidRPr="0012294F">
        <w:rPr>
          <w:rStyle w:val="FootnoteReference"/>
          <w:rFonts w:ascii="Arial" w:hAnsi="Arial" w:cs="Arial"/>
          <w:color w:val="000000" w:themeColor="text1"/>
        </w:rPr>
        <w:footnoteReference w:id="1"/>
      </w:r>
      <w:r w:rsidRPr="0012294F">
        <w:rPr>
          <w:rFonts w:ascii="Arial" w:hAnsi="Arial" w:cs="Arial"/>
          <w:color w:val="000000" w:themeColor="text1"/>
        </w:rPr>
        <w:t xml:space="preserve"> sciences as well as key enabling technologies to provide a coherent framewor</w:t>
      </w:r>
      <w:r w:rsidR="00130329" w:rsidRPr="0012294F">
        <w:rPr>
          <w:rFonts w:ascii="Arial" w:hAnsi="Arial" w:cs="Arial"/>
          <w:color w:val="000000" w:themeColor="text1"/>
        </w:rPr>
        <w:t>k supporting the future network</w:t>
      </w:r>
      <w:r w:rsidRPr="0012294F">
        <w:rPr>
          <w:rFonts w:ascii="Arial" w:hAnsi="Arial" w:cs="Arial"/>
          <w:color w:val="000000" w:themeColor="text1"/>
        </w:rPr>
        <w:t xml:space="preserve"> designs. It is a combination of Smart Connectivity, Data Analytics (AI and ML), high performance distributed computing and Cybersecurity.</w:t>
      </w:r>
    </w:p>
    <w:p w14:paraId="7C9BEFC4" w14:textId="77777777" w:rsidR="00B0129A" w:rsidRPr="0012294F" w:rsidRDefault="00B0129A" w:rsidP="00BB302D">
      <w:pPr>
        <w:spacing w:after="0" w:line="240" w:lineRule="auto"/>
        <w:jc w:val="both"/>
        <w:rPr>
          <w:rFonts w:ascii="Arial" w:hAnsi="Arial" w:cs="Arial"/>
          <w:color w:val="000000" w:themeColor="text1"/>
          <w:lang w:eastAsia="de-DE"/>
        </w:rPr>
      </w:pPr>
    </w:p>
    <w:p w14:paraId="054A2DC4" w14:textId="099ADD5C" w:rsidR="00270C8A" w:rsidRDefault="00270C8A" w:rsidP="00BB302D">
      <w:pPr>
        <w:spacing w:after="0" w:line="240" w:lineRule="auto"/>
        <w:jc w:val="both"/>
        <w:rPr>
          <w:rFonts w:ascii="Arial" w:hAnsi="Arial" w:cs="Arial"/>
          <w:color w:val="000000" w:themeColor="text1"/>
          <w:lang w:eastAsia="de-DE"/>
        </w:rPr>
      </w:pPr>
      <w:r w:rsidRPr="0012294F">
        <w:rPr>
          <w:rFonts w:ascii="Arial" w:hAnsi="Arial" w:cs="Arial"/>
          <w:color w:val="000000" w:themeColor="text1"/>
          <w:lang w:eastAsia="de-DE"/>
        </w:rPr>
        <w:t>This Strategic Research and Innovation Agenda is summarising the different research domains to make the overall vision of Smart Networks happen.</w:t>
      </w:r>
    </w:p>
    <w:p w14:paraId="152AC706" w14:textId="1A6F7723" w:rsidR="005D64FB" w:rsidRDefault="005D64FB" w:rsidP="00BB302D">
      <w:pPr>
        <w:spacing w:after="0" w:line="240" w:lineRule="auto"/>
        <w:jc w:val="both"/>
        <w:rPr>
          <w:rFonts w:ascii="Arial" w:hAnsi="Arial" w:cs="Arial"/>
          <w:color w:val="000000" w:themeColor="text1"/>
          <w:lang w:eastAsia="de-DE"/>
        </w:rPr>
      </w:pPr>
    </w:p>
    <w:p w14:paraId="25459B28" w14:textId="1B5A442E" w:rsidR="005D64FB" w:rsidRPr="00CA1236" w:rsidRDefault="005D64FB" w:rsidP="00DE4AC9">
      <w:pPr>
        <w:ind w:left="360"/>
        <w:rPr>
          <w:rFonts w:ascii="Arial" w:hAnsi="Arial" w:cs="Arial"/>
        </w:rPr>
      </w:pPr>
      <w:r w:rsidRPr="00CA1236">
        <w:rPr>
          <w:rFonts w:ascii="Arial" w:hAnsi="Arial" w:cs="Arial"/>
        </w:rPr>
        <w:t xml:space="preserve">Currently, there is a wide acceptance that 5G networks will have a significant impact in the worldwide economic development and revolutionize all aspects of everyday life. Even though 5G networks offer undeniable improvements over legacy networks, key findings suggest that European research activities in the communication networking sector need </w:t>
      </w:r>
      <w:r w:rsidRPr="00CA1236">
        <w:rPr>
          <w:rFonts w:ascii="Arial" w:hAnsi="Arial" w:cs="Arial"/>
        </w:rPr>
        <w:lastRenderedPageBreak/>
        <w:t>to continue at an increased pace. For this reason, we need to address several key challenges in a structured way so as to achievement maximum positive impact, see</w:t>
      </w:r>
      <w:r w:rsidR="002B1E23">
        <w:rPr>
          <w:rFonts w:ascii="Arial" w:hAnsi="Arial" w:cs="Arial"/>
        </w:rPr>
        <w:t xml:space="preserve"> Figure</w:t>
      </w:r>
      <w:r w:rsidRPr="00CA1236">
        <w:rPr>
          <w:rFonts w:ascii="Arial" w:hAnsi="Arial" w:cs="Arial"/>
        </w:rPr>
        <w:t xml:space="preserve"> </w:t>
      </w:r>
      <w:r w:rsidR="00DE4AC9">
        <w:rPr>
          <w:rFonts w:ascii="Arial" w:hAnsi="Arial" w:cs="Arial"/>
        </w:rPr>
        <w:t>1-</w:t>
      </w:r>
      <w:r w:rsidR="002B1E23" w:rsidRPr="00DE4AC9">
        <w:rPr>
          <w:rFonts w:ascii="Arial" w:hAnsi="Arial" w:cs="Arial"/>
          <w:bCs/>
        </w:rPr>
        <w:t>2</w:t>
      </w:r>
      <w:r w:rsidRPr="00CA1236">
        <w:rPr>
          <w:rFonts w:ascii="Arial" w:hAnsi="Arial" w:cs="Arial"/>
        </w:rPr>
        <w:t>.</w:t>
      </w:r>
    </w:p>
    <w:p w14:paraId="7A5E1E73" w14:textId="77777777" w:rsidR="005D64FB" w:rsidRDefault="005D64FB" w:rsidP="005D64FB">
      <w:pPr>
        <w:ind w:left="360"/>
      </w:pPr>
      <w:r w:rsidRPr="00560FFC">
        <w:rPr>
          <w:noProof/>
          <w:lang w:eastAsia="en-GB"/>
        </w:rPr>
        <w:drawing>
          <wp:inline distT="0" distB="0" distL="0" distR="0" wp14:anchorId="7C77E0CC" wp14:editId="1DF7FA8E">
            <wp:extent cx="5727700" cy="3223895"/>
            <wp:effectExtent l="0" t="0" r="0" b="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223895"/>
                    </a:xfrm>
                    <a:prstGeom prst="rect">
                      <a:avLst/>
                    </a:prstGeom>
                  </pic:spPr>
                </pic:pic>
              </a:graphicData>
            </a:graphic>
          </wp:inline>
        </w:drawing>
      </w:r>
    </w:p>
    <w:p w14:paraId="07C32894" w14:textId="2623CBC6" w:rsidR="005D64FB" w:rsidRPr="00DE4AC9" w:rsidRDefault="005D64FB" w:rsidP="005D64FB">
      <w:pPr>
        <w:ind w:left="360"/>
        <w:rPr>
          <w:b/>
        </w:rPr>
      </w:pPr>
      <w:r w:rsidRPr="00DE4AC9">
        <w:rPr>
          <w:rFonts w:ascii="Arial" w:hAnsi="Arial" w:cs="Arial"/>
          <w:b/>
          <w:color w:val="000000" w:themeColor="text1"/>
          <w:lang w:val="en-US"/>
        </w:rPr>
        <w:t xml:space="preserve">Figure </w:t>
      </w:r>
      <w:r w:rsidR="00DE4AC9">
        <w:rPr>
          <w:rFonts w:ascii="Arial" w:hAnsi="Arial" w:cs="Arial"/>
          <w:b/>
          <w:color w:val="000000" w:themeColor="text1"/>
          <w:lang w:val="en-US"/>
        </w:rPr>
        <w:t>1-</w:t>
      </w:r>
      <w:r w:rsidR="002B1E23" w:rsidRPr="00DE4AC9">
        <w:rPr>
          <w:rFonts w:ascii="Arial" w:hAnsi="Arial" w:cs="Arial"/>
          <w:b/>
          <w:color w:val="000000" w:themeColor="text1"/>
        </w:rPr>
        <w:t>2</w:t>
      </w:r>
      <w:r w:rsidRPr="00DE4AC9">
        <w:rPr>
          <w:rFonts w:ascii="Arial" w:hAnsi="Arial" w:cs="Arial"/>
          <w:b/>
          <w:color w:val="000000" w:themeColor="text1"/>
          <w:lang w:val="en-US"/>
        </w:rPr>
        <w:t xml:space="preserve">. </w:t>
      </w:r>
      <w:r w:rsidRPr="00DE4AC9">
        <w:rPr>
          <w:rFonts w:ascii="Arial" w:hAnsi="Arial" w:cs="Arial"/>
          <w:b/>
          <w:color w:val="000000" w:themeColor="text1"/>
        </w:rPr>
        <w:t xml:space="preserve">Challenging areas for the SNS partnership and expected impact, </w:t>
      </w:r>
      <w:r w:rsidR="00DA6395" w:rsidRPr="00DA6395">
        <w:rPr>
          <w:rFonts w:ascii="Arial" w:hAnsi="Arial" w:cs="Arial"/>
          <w:color w:val="000000" w:themeColor="text1"/>
          <w:sz w:val="16"/>
        </w:rPr>
        <w:t xml:space="preserve">source: </w:t>
      </w:r>
      <w:r w:rsidRPr="00DA6395">
        <w:rPr>
          <w:rFonts w:ascii="Arial" w:hAnsi="Arial" w:cs="Arial"/>
          <w:color w:val="000000" w:themeColor="text1"/>
          <w:sz w:val="16"/>
        </w:rPr>
        <w:t xml:space="preserve">SNS partnership proposal </w:t>
      </w:r>
      <w:r w:rsidR="002B1E23" w:rsidRPr="00DA6395">
        <w:rPr>
          <w:rFonts w:ascii="Arial" w:hAnsi="Arial" w:cs="Arial"/>
          <w:color w:val="000000" w:themeColor="text1"/>
          <w:sz w:val="16"/>
        </w:rPr>
        <w:t>[C1-16</w:t>
      </w:r>
      <w:r w:rsidRPr="00DA6395">
        <w:rPr>
          <w:rFonts w:ascii="Arial" w:hAnsi="Arial" w:cs="Arial"/>
          <w:color w:val="000000" w:themeColor="text1"/>
          <w:sz w:val="16"/>
        </w:rPr>
        <w:t>]</w:t>
      </w:r>
    </w:p>
    <w:p w14:paraId="64F8608C" w14:textId="77777777" w:rsidR="005D64FB" w:rsidRPr="00B07EFB" w:rsidRDefault="005D64FB" w:rsidP="005D64FB">
      <w:pPr>
        <w:keepNext/>
        <w:spacing w:after="120"/>
        <w:jc w:val="both"/>
        <w:rPr>
          <w:rFonts w:ascii="Arial" w:hAnsi="Arial" w:cs="Arial"/>
          <w:color w:val="000000" w:themeColor="text1"/>
        </w:rPr>
      </w:pPr>
      <w:r w:rsidRPr="00B07EFB">
        <w:rPr>
          <w:rFonts w:ascii="Arial" w:hAnsi="Arial" w:cs="Arial"/>
          <w:color w:val="000000" w:themeColor="text1"/>
        </w:rPr>
        <w:t xml:space="preserve">The common vision of the </w:t>
      </w:r>
      <w:r w:rsidRPr="00DC2CCA">
        <w:rPr>
          <w:rFonts w:ascii="Arial" w:hAnsi="Arial" w:cs="Arial"/>
          <w:bCs/>
          <w:color w:val="000000" w:themeColor="text1"/>
        </w:rPr>
        <w:t>SNS Partnership envisages the integration of selected elements from new technologies such as Artificial Intelligence (AI) and Data Analytics; High Performance Distributed Computing, as well as Cybersecurity and Trust</w:t>
      </w:r>
      <w:r w:rsidRPr="00DC2CCA">
        <w:rPr>
          <w:rFonts w:ascii="Arial" w:hAnsi="Arial" w:cs="Arial"/>
          <w:color w:val="000000" w:themeColor="text1"/>
        </w:rPr>
        <w:t xml:space="preserve">. </w:t>
      </w:r>
    </w:p>
    <w:p w14:paraId="279CD033" w14:textId="77777777" w:rsidR="005D64FB" w:rsidRPr="00B07EFB" w:rsidRDefault="005D64FB" w:rsidP="005D64FB">
      <w:pPr>
        <w:spacing w:after="120"/>
        <w:jc w:val="center"/>
        <w:rPr>
          <w:rFonts w:ascii="Arial" w:hAnsi="Arial" w:cs="Arial"/>
          <w:color w:val="000000" w:themeColor="text1"/>
        </w:rPr>
      </w:pPr>
      <w:r w:rsidRPr="00B07EFB">
        <w:rPr>
          <w:rFonts w:ascii="Arial" w:hAnsi="Arial" w:cs="Arial"/>
          <w:noProof/>
          <w:color w:val="000000" w:themeColor="text1"/>
          <w:lang w:eastAsia="en-GB"/>
        </w:rPr>
        <w:drawing>
          <wp:inline distT="0" distB="0" distL="0" distR="0" wp14:anchorId="4D53EA95" wp14:editId="275B3D88">
            <wp:extent cx="4508339" cy="2327718"/>
            <wp:effectExtent l="0" t="0" r="63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1695" cy="2350103"/>
                    </a:xfrm>
                    <a:prstGeom prst="rect">
                      <a:avLst/>
                    </a:prstGeom>
                  </pic:spPr>
                </pic:pic>
              </a:graphicData>
            </a:graphic>
          </wp:inline>
        </w:drawing>
      </w:r>
    </w:p>
    <w:p w14:paraId="45EBF93D" w14:textId="1B06265F" w:rsidR="005D64FB" w:rsidRPr="003B2305" w:rsidRDefault="002B1E23" w:rsidP="002B1E23">
      <w:pPr>
        <w:pStyle w:val="Caption"/>
        <w:keepNext/>
        <w:tabs>
          <w:tab w:val="left" w:pos="1134"/>
          <w:tab w:val="right" w:pos="8820"/>
        </w:tabs>
        <w:spacing w:before="0" w:after="0"/>
        <w:rPr>
          <w:rFonts w:ascii="Arial" w:hAnsi="Arial" w:cs="Arial"/>
          <w:color w:val="000000" w:themeColor="text1"/>
          <w:sz w:val="22"/>
          <w:szCs w:val="22"/>
        </w:rPr>
      </w:pPr>
      <w:r w:rsidRPr="003B2305">
        <w:rPr>
          <w:rFonts w:ascii="Arial" w:hAnsi="Arial" w:cs="Arial"/>
          <w:color w:val="000000" w:themeColor="text1"/>
          <w:sz w:val="22"/>
          <w:szCs w:val="22"/>
        </w:rPr>
        <w:t xml:space="preserve">Figure </w:t>
      </w:r>
      <w:r w:rsidR="00DE4AC9">
        <w:rPr>
          <w:rFonts w:ascii="Arial" w:hAnsi="Arial" w:cs="Arial"/>
          <w:color w:val="000000" w:themeColor="text1"/>
          <w:sz w:val="22"/>
          <w:szCs w:val="22"/>
        </w:rPr>
        <w:t>1-</w:t>
      </w:r>
      <w:r w:rsidRPr="003B2305">
        <w:rPr>
          <w:rFonts w:ascii="Arial" w:hAnsi="Arial" w:cs="Arial"/>
          <w:color w:val="000000" w:themeColor="text1"/>
          <w:sz w:val="22"/>
          <w:szCs w:val="22"/>
        </w:rPr>
        <w:t xml:space="preserve">3. </w:t>
      </w:r>
      <w:r w:rsidR="005D64FB" w:rsidRPr="003B2305">
        <w:rPr>
          <w:rFonts w:ascii="Arial" w:hAnsi="Arial" w:cs="Arial"/>
          <w:color w:val="000000" w:themeColor="text1"/>
          <w:sz w:val="22"/>
          <w:szCs w:val="22"/>
        </w:rPr>
        <w:t>Integration of new technologies into the Smart Networks and Services vision</w:t>
      </w:r>
      <w:r w:rsidR="003B2305" w:rsidRPr="003B2305">
        <w:rPr>
          <w:rFonts w:ascii="Arial" w:hAnsi="Arial" w:cs="Arial"/>
          <w:color w:val="000000" w:themeColor="text1"/>
          <w:sz w:val="22"/>
          <w:szCs w:val="22"/>
        </w:rPr>
        <w:t xml:space="preserve"> </w:t>
      </w:r>
      <w:r w:rsidR="003B2305" w:rsidRPr="00DA6395">
        <w:rPr>
          <w:rFonts w:ascii="Arial" w:hAnsi="Arial" w:cs="Arial"/>
          <w:b w:val="0"/>
          <w:color w:val="000000" w:themeColor="text1"/>
          <w:sz w:val="20"/>
          <w:szCs w:val="22"/>
        </w:rPr>
        <w:t>[C1-16]</w:t>
      </w:r>
      <w:r w:rsidR="005D64FB" w:rsidRPr="003B2305">
        <w:rPr>
          <w:rFonts w:ascii="Arial" w:hAnsi="Arial" w:cs="Arial"/>
          <w:color w:val="000000" w:themeColor="text1"/>
          <w:sz w:val="22"/>
          <w:szCs w:val="22"/>
        </w:rPr>
        <w:t>.</w:t>
      </w:r>
    </w:p>
    <w:p w14:paraId="08C5624B" w14:textId="77777777" w:rsidR="005D64FB" w:rsidRPr="00B07EFB" w:rsidRDefault="005D64FB" w:rsidP="005D64FB">
      <w:pPr>
        <w:jc w:val="both"/>
        <w:rPr>
          <w:rFonts w:ascii="Arial" w:hAnsi="Arial" w:cs="Arial"/>
          <w:color w:val="000000" w:themeColor="text1"/>
        </w:rPr>
      </w:pPr>
    </w:p>
    <w:p w14:paraId="17589584" w14:textId="5D687237" w:rsidR="005D64FB" w:rsidRPr="00B07EFB" w:rsidRDefault="005D64FB" w:rsidP="005D64FB">
      <w:pPr>
        <w:jc w:val="both"/>
        <w:rPr>
          <w:rFonts w:ascii="Arial" w:hAnsi="Arial" w:cs="Arial"/>
        </w:rPr>
      </w:pPr>
      <w:r w:rsidRPr="00DE4AC9">
        <w:rPr>
          <w:rFonts w:ascii="Arial" w:hAnsi="Arial" w:cs="Arial"/>
          <w:color w:val="000000" w:themeColor="text1"/>
        </w:rPr>
        <w:t xml:space="preserve">Figure </w:t>
      </w:r>
      <w:r w:rsidR="00DE4AC9" w:rsidRPr="00DE4AC9">
        <w:rPr>
          <w:rFonts w:ascii="Arial" w:hAnsi="Arial" w:cs="Arial"/>
          <w:color w:val="000000" w:themeColor="text1"/>
        </w:rPr>
        <w:t>1-</w:t>
      </w:r>
      <w:r w:rsidR="002B1E23" w:rsidRPr="00DE4AC9">
        <w:rPr>
          <w:rFonts w:ascii="Arial" w:hAnsi="Arial" w:cs="Arial"/>
          <w:color w:val="000000" w:themeColor="text1"/>
        </w:rPr>
        <w:t>3</w:t>
      </w:r>
      <w:r w:rsidRPr="00B07EFB">
        <w:rPr>
          <w:rFonts w:ascii="Arial" w:hAnsi="Arial" w:cs="Arial"/>
          <w:color w:val="000000" w:themeColor="text1"/>
        </w:rPr>
        <w:t xml:space="preserve"> above illustrates the interplay and integration of such new technologies whereas the rationale and main elements identified by the Partnership are described. Some of these enabling technologies are:</w:t>
      </w:r>
    </w:p>
    <w:p w14:paraId="3C6C9A42" w14:textId="7CAB2DA4" w:rsidR="005D64FB" w:rsidRPr="00B07EFB" w:rsidRDefault="005D64FB" w:rsidP="00124439">
      <w:pPr>
        <w:pStyle w:val="ListParagraph"/>
        <w:numPr>
          <w:ilvl w:val="0"/>
          <w:numId w:val="49"/>
        </w:numPr>
        <w:spacing w:before="120"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lastRenderedPageBreak/>
        <w:t>Artificial Intelligence (AI) and Data Analytics</w:t>
      </w:r>
      <w:r w:rsidRPr="00B07EFB">
        <w:rPr>
          <w:rFonts w:ascii="Arial" w:hAnsi="Arial" w:cs="Arial"/>
          <w:b/>
          <w:bCs/>
          <w:lang w:eastAsia="de-DE"/>
        </w:rPr>
        <w:t xml:space="preserve">: </w:t>
      </w:r>
      <w:r w:rsidRPr="00B07EFB">
        <w:rPr>
          <w:rFonts w:ascii="Arial" w:hAnsi="Arial" w:cs="Arial"/>
          <w:lang w:eastAsia="de-DE"/>
        </w:rPr>
        <w:t xml:space="preserve">AI is perceived as a potential technology solution to cope with the increasing complexity of Smart Networks and Services system design and associated management, due to the extreme range of requirements for user experience, efficiency, and performance. Future </w:t>
      </w:r>
      <w:r w:rsidRPr="00B07EFB">
        <w:rPr>
          <w:rFonts w:ascii="Arial" w:hAnsi="Arial" w:cs="Arial"/>
          <w:b/>
          <w:bCs/>
          <w:lang w:eastAsia="de-DE"/>
        </w:rPr>
        <w:t xml:space="preserve">Smart Networks and Services will require robust intelligent algorithms to adapt network protocols and perform network and resource management tasks for different services in different scenarios. </w:t>
      </w:r>
      <w:r w:rsidRPr="00B07EFB">
        <w:rPr>
          <w:rFonts w:ascii="Arial" w:hAnsi="Arial" w:cs="Arial"/>
          <w:lang w:eastAsia="de-DE"/>
        </w:rPr>
        <w:t>For example, for network administration duties, AI will be mainly expected to make smart predictions, and to take improved decisions and actions that until now were mostly based on pre-defined rulesets obtained from experience accumulated by humans over the years. And, vice-versa, AI itself capitalises on digital technologies. For example, in their training/learning phase, AI algorithms rely on a significant amount of storage</w:t>
      </w:r>
      <w:r w:rsidRPr="00B07EFB">
        <w:rPr>
          <w:rFonts w:ascii="Arial" w:hAnsi="Arial" w:cs="Arial"/>
          <w:color w:val="000000" w:themeColor="text1"/>
          <w:lang w:eastAsia="de-DE"/>
        </w:rPr>
        <w:t xml:space="preserve"> and computational resources </w:t>
      </w:r>
      <w:r w:rsidR="002B1E23">
        <w:rPr>
          <w:rFonts w:ascii="Arial" w:hAnsi="Arial" w:cs="Arial"/>
          <w:color w:val="000000" w:themeColor="text1"/>
          <w:lang w:eastAsia="de-DE"/>
        </w:rPr>
        <w:t>[C1-17]</w:t>
      </w:r>
      <w:r w:rsidRPr="00B07EFB">
        <w:rPr>
          <w:rFonts w:ascii="Arial" w:hAnsi="Arial" w:cs="Arial"/>
          <w:color w:val="000000" w:themeColor="text1"/>
          <w:lang w:eastAsia="de-DE"/>
        </w:rPr>
        <w:t xml:space="preserve"> so that huge amounts of training data can be fed into the algorithms. Mostly, the storage resources where data are originally residing and the computational resources where the algorithms are executed are not co-located. AI will also help telecom operators to optimise network deployment in real time according to user requirements.  Accordingly, </w:t>
      </w:r>
      <w:r w:rsidRPr="00B07EFB">
        <w:rPr>
          <w:rFonts w:ascii="Arial" w:hAnsi="Arial" w:cs="Arial"/>
          <w:b/>
          <w:bCs/>
          <w:color w:val="000000" w:themeColor="text1"/>
          <w:lang w:eastAsia="de-DE"/>
        </w:rPr>
        <w:t>Smart Networks and Services are needed to connect in an efficient and timely manner the data to the AI algorithms.</w:t>
      </w:r>
    </w:p>
    <w:p w14:paraId="2D669D62" w14:textId="5C9B96BB" w:rsidR="005D64FB" w:rsidRPr="00B07EFB" w:rsidRDefault="005D64FB" w:rsidP="00124439">
      <w:pPr>
        <w:pStyle w:val="ListParagraph"/>
        <w:numPr>
          <w:ilvl w:val="0"/>
          <w:numId w:val="49"/>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High Performance Distributed Computing (HPC):</w:t>
      </w:r>
      <w:r w:rsidRPr="00B07EFB">
        <w:rPr>
          <w:rFonts w:ascii="Arial" w:hAnsi="Arial" w:cs="Arial"/>
          <w:lang w:eastAsia="de-DE"/>
        </w:rPr>
        <w:t xml:space="preserve"> The computing paradigm has radically changed </w:t>
      </w:r>
      <w:r w:rsidR="002B1E23">
        <w:rPr>
          <w:rFonts w:ascii="Arial" w:hAnsi="Arial" w:cs="Arial"/>
          <w:lang w:eastAsia="de-DE"/>
        </w:rPr>
        <w:t>[C1-18]</w:t>
      </w:r>
      <w:r w:rsidRPr="00B07EFB">
        <w:rPr>
          <w:rFonts w:ascii="Arial" w:hAnsi="Arial" w:cs="Arial"/>
          <w:lang w:eastAsia="de-DE"/>
        </w:rPr>
        <w:t xml:space="preserve">: in past decades, it was common to assemble the highest performing processors inside the same infrastructure equipment. However, the today’s model is to design a data centre scale system with the entire network in mind. Thus, the trends that are most affecting High-Performance Computing (HPC) today are highly influenced by the need to have all aspects of the distributed computing infrastructure working in unison. Two of the most relevant aspects are the need for (i) a fast (and potentially massive) access to storage from anywhere in the network without disturbing the processing engines, which can only be accomplished with an intelligent network that can efficiently handle such tasks; and (ii) efficient strategies for network-wide off-loading, since nowadays </w:t>
      </w:r>
      <w:r w:rsidRPr="00B07EFB">
        <w:rPr>
          <w:rFonts w:ascii="Arial" w:hAnsi="Arial" w:cs="Arial"/>
          <w:color w:val="000000" w:themeColor="text1"/>
          <w:shd w:val="clear" w:color="auto" w:fill="FFFFFF"/>
        </w:rPr>
        <w:t xml:space="preserve">CPUs are reaching their performance limits and, thus, the rest of the network must be better utilised to enable additional performance gains. Thus, current HPC architecture approaches depend heavily on offloading technologies that free the CPU from non-compute functions, and instead place those functions on the intelligent network. </w:t>
      </w:r>
      <w:r w:rsidRPr="00B07EFB">
        <w:rPr>
          <w:rFonts w:ascii="Arial" w:hAnsi="Arial" w:cs="Arial"/>
          <w:color w:val="000000" w:themeColor="text1"/>
        </w:rPr>
        <w:t xml:space="preserve">Thus, </w:t>
      </w:r>
      <w:r w:rsidRPr="00B07EFB">
        <w:rPr>
          <w:rFonts w:ascii="Arial" w:hAnsi="Arial" w:cs="Arial"/>
          <w:b/>
          <w:bCs/>
          <w:color w:val="000000" w:themeColor="text1"/>
        </w:rPr>
        <w:t>Smart Networks and Services emerges as a key enabler for the transformation of the HPC domain.</w:t>
      </w:r>
      <w:r w:rsidRPr="00B07EFB">
        <w:rPr>
          <w:rFonts w:ascii="Arial" w:hAnsi="Arial" w:cs="Arial"/>
          <w:color w:val="000000" w:themeColor="text1"/>
        </w:rPr>
        <w:t xml:space="preserve"> Regarding the impact of HPC to Smart Networks, significant advances in components and techniques for wireless transmission are expected from continued research on quantum processing and technologies in such a way that emerging </w:t>
      </w:r>
      <w:r w:rsidRPr="00B07EFB">
        <w:rPr>
          <w:rFonts w:ascii="Arial" w:hAnsi="Arial" w:cs="Arial"/>
          <w:b/>
          <w:bCs/>
          <w:color w:val="000000" w:themeColor="text1"/>
        </w:rPr>
        <w:t>quantum technologies are expected to provide true breakthrough advances in, e.g., computing speeds within the next de</w:t>
      </w:r>
      <w:r w:rsidRPr="003B2305">
        <w:rPr>
          <w:rFonts w:ascii="Arial" w:hAnsi="Arial" w:cs="Arial"/>
          <w:b/>
          <w:bCs/>
          <w:color w:val="000000" w:themeColor="text1"/>
        </w:rPr>
        <w:t>c</w:t>
      </w:r>
      <w:r w:rsidRPr="00B07EFB">
        <w:rPr>
          <w:rFonts w:ascii="Arial" w:hAnsi="Arial" w:cs="Arial"/>
          <w:b/>
          <w:bCs/>
          <w:color w:val="000000" w:themeColor="text1"/>
        </w:rPr>
        <w:t xml:space="preserve">ade and, by doing so, pave the way for more secure communications </w:t>
      </w:r>
      <w:r w:rsidRPr="00B07EFB">
        <w:rPr>
          <w:rFonts w:ascii="Arial" w:hAnsi="Arial" w:cs="Arial"/>
          <w:color w:val="000000" w:themeColor="text1"/>
        </w:rPr>
        <w:t>through potentially unbreakable cryptography.</w:t>
      </w:r>
    </w:p>
    <w:p w14:paraId="54B09669" w14:textId="0AFE64B0" w:rsidR="005D64FB" w:rsidRPr="00B07EFB" w:rsidRDefault="005D64FB" w:rsidP="00124439">
      <w:pPr>
        <w:pStyle w:val="ListParagraph"/>
        <w:numPr>
          <w:ilvl w:val="0"/>
          <w:numId w:val="49"/>
        </w:numPr>
        <w:spacing w:after="120" w:line="240" w:lineRule="auto"/>
        <w:ind w:left="357" w:hanging="357"/>
        <w:jc w:val="both"/>
        <w:rPr>
          <w:rFonts w:ascii="Arial" w:hAnsi="Arial" w:cs="Arial"/>
          <w:color w:val="000000" w:themeColor="text1"/>
          <w:lang w:eastAsia="de-DE"/>
        </w:rPr>
      </w:pPr>
      <w:r w:rsidRPr="00B07EFB">
        <w:rPr>
          <w:rFonts w:ascii="Arial" w:hAnsi="Arial" w:cs="Arial"/>
          <w:u w:val="single"/>
          <w:lang w:eastAsia="de-DE"/>
        </w:rPr>
        <w:t>Cybersecurity and Trust:</w:t>
      </w:r>
      <w:r w:rsidRPr="00B07EFB">
        <w:rPr>
          <w:rFonts w:ascii="Arial" w:hAnsi="Arial" w:cs="Arial"/>
          <w:lang w:eastAsia="de-DE"/>
        </w:rPr>
        <w:t xml:space="preserve"> </w:t>
      </w:r>
      <w:r w:rsidRPr="00B07EFB">
        <w:rPr>
          <w:rFonts w:ascii="Arial" w:hAnsi="Arial" w:cs="Arial"/>
          <w:color w:val="000000" w:themeColor="text1"/>
          <w:lang w:eastAsia="de-DE"/>
        </w:rPr>
        <w:t xml:space="preserve">Starting from the NIS directive followed by strategic positions </w:t>
      </w:r>
      <w:r w:rsidRPr="003B2305">
        <w:rPr>
          <w:rFonts w:ascii="Arial" w:hAnsi="Arial" w:cs="Arial"/>
          <w:color w:val="000000" w:themeColor="text1"/>
          <w:lang w:eastAsia="de-DE"/>
        </w:rPr>
        <w:t>[</w:t>
      </w:r>
      <w:r w:rsidR="003B2305" w:rsidRPr="003B2305">
        <w:rPr>
          <w:rFonts w:ascii="Arial" w:hAnsi="Arial" w:cs="Arial"/>
          <w:color w:val="000000" w:themeColor="text1"/>
          <w:lang w:eastAsia="de-DE"/>
        </w:rPr>
        <w:t>C1-19]</w:t>
      </w:r>
      <w:r w:rsidRPr="003B2305">
        <w:rPr>
          <w:rFonts w:ascii="Arial" w:hAnsi="Arial" w:cs="Arial"/>
          <w:color w:val="000000" w:themeColor="text1"/>
          <w:lang w:eastAsia="de-DE"/>
        </w:rPr>
        <w:t xml:space="preserve"> GDPR or continuing efforts on the Cyber Act</w:t>
      </w:r>
      <w:r w:rsidR="003B2305">
        <w:rPr>
          <w:rFonts w:ascii="Arial" w:hAnsi="Arial" w:cs="Arial"/>
          <w:color w:val="000000" w:themeColor="text1"/>
          <w:lang w:eastAsia="de-DE"/>
        </w:rPr>
        <w:t xml:space="preserve"> [C1-20]</w:t>
      </w:r>
      <w:r w:rsidRPr="003B2305">
        <w:rPr>
          <w:rFonts w:ascii="Arial" w:hAnsi="Arial" w:cs="Arial"/>
          <w:color w:val="000000" w:themeColor="text1"/>
          <w:lang w:eastAsia="de-DE"/>
        </w:rPr>
        <w:t xml:space="preserve"> the EU has recognised the</w:t>
      </w:r>
      <w:r w:rsidRPr="00B07EFB">
        <w:rPr>
          <w:rFonts w:ascii="Arial" w:hAnsi="Arial" w:cs="Arial"/>
          <w:color w:val="000000" w:themeColor="text1"/>
          <w:lang w:eastAsia="de-DE"/>
        </w:rPr>
        <w:t xml:space="preserve"> fundamental role of cybersecurity in the digital world. This leads to at least two major priorities focused on (i) the </w:t>
      </w:r>
      <w:r w:rsidRPr="00B07EFB">
        <w:rPr>
          <w:rFonts w:ascii="Arial" w:hAnsi="Arial" w:cs="Arial"/>
          <w:b/>
          <w:bCs/>
          <w:color w:val="000000" w:themeColor="text1"/>
          <w:lang w:eastAsia="de-DE"/>
        </w:rPr>
        <w:t>contribution of Smart Networks and Services to secure the digital world</w:t>
      </w:r>
      <w:r w:rsidRPr="00B07EFB">
        <w:rPr>
          <w:rFonts w:ascii="Arial" w:hAnsi="Arial" w:cs="Arial"/>
          <w:color w:val="000000" w:themeColor="text1"/>
          <w:lang w:eastAsia="de-DE"/>
        </w:rPr>
        <w:t xml:space="preserve">, which includes the provision of data and information protection (e.g., location, data on the move) in all dimensions to protect citizens, enterprises and governments against malicious or outlaw usages with diverse security levels, as well as the detection of attacks and mitigation of their risks through the various components of digital services; and (ii) </w:t>
      </w:r>
      <w:r w:rsidRPr="00B07EFB">
        <w:rPr>
          <w:rFonts w:ascii="Arial" w:hAnsi="Arial" w:cs="Arial"/>
          <w:b/>
          <w:bCs/>
          <w:color w:val="000000" w:themeColor="text1"/>
          <w:lang w:eastAsia="de-DE"/>
        </w:rPr>
        <w:t>the cybersecurity threats related to the Smart Networks and Services themselves</w:t>
      </w:r>
      <w:r w:rsidRPr="00B07EFB">
        <w:rPr>
          <w:rFonts w:ascii="Arial" w:hAnsi="Arial" w:cs="Arial"/>
          <w:color w:val="000000" w:themeColor="text1"/>
          <w:lang w:eastAsia="de-DE"/>
        </w:rPr>
        <w:t>, namely, mitigating security threats related the various sensitive (new) components coming with 5G and beyond 5G technologies (e.g., identity and access management in mobility, virtualisation, softwarisation, over-the-air updates, AI technologies, etc.) as well as the monitoring and sustaining security levels for complex Smart Networks and Services.</w:t>
      </w:r>
    </w:p>
    <w:p w14:paraId="158723DF" w14:textId="398274DF" w:rsidR="005D64FB" w:rsidRDefault="005D64FB" w:rsidP="005D64FB">
      <w:pPr>
        <w:jc w:val="both"/>
        <w:rPr>
          <w:rFonts w:ascii="Arial" w:hAnsi="Arial" w:cs="Arial"/>
          <w:color w:val="000000" w:themeColor="text1"/>
          <w:lang w:eastAsia="de-DE"/>
        </w:rPr>
      </w:pPr>
      <w:r w:rsidRPr="00B07EFB">
        <w:rPr>
          <w:rFonts w:ascii="Arial" w:hAnsi="Arial" w:cs="Arial"/>
          <w:color w:val="000000" w:themeColor="text1"/>
          <w:lang w:eastAsia="de-DE"/>
        </w:rPr>
        <w:t xml:space="preserve">Currently, many governments, globally, identify that world-class communications networks are, or will become, an intrinsic component of their critical national infrastructure and essential </w:t>
      </w:r>
      <w:r w:rsidRPr="00B07EFB">
        <w:rPr>
          <w:rFonts w:ascii="Arial" w:hAnsi="Arial" w:cs="Arial"/>
          <w:color w:val="000000" w:themeColor="text1"/>
          <w:lang w:eastAsia="de-DE"/>
        </w:rPr>
        <w:lastRenderedPageBreak/>
        <w:t>to ensuring that citizens can take full advantage of increasingly pervasive digital services across the plethora of existing and emerging applications, use cases and verticals, see e.g., [</w:t>
      </w:r>
      <w:r w:rsidR="003B2305">
        <w:rPr>
          <w:rFonts w:ascii="Arial" w:hAnsi="Arial" w:cs="Arial"/>
          <w:color w:val="000000" w:themeColor="text1"/>
          <w:lang w:eastAsia="de-DE"/>
        </w:rPr>
        <w:t>C1-21</w:t>
      </w:r>
      <w:r w:rsidRPr="00B07EFB">
        <w:rPr>
          <w:rFonts w:ascii="Arial" w:hAnsi="Arial" w:cs="Arial"/>
          <w:color w:val="000000" w:themeColor="text1"/>
          <w:lang w:eastAsia="de-DE"/>
        </w:rPr>
        <w:t xml:space="preserve">]. In particular, this can accelerate data-driven innovation, industrial automation, AI deployment and ensuing social and economic opportunities across economies, and increasingly between economies, for example the European Union’s developing Digital Single Market, or if considering how an autonomous system might operate across borders. </w:t>
      </w:r>
    </w:p>
    <w:p w14:paraId="41A978A4" w14:textId="77777777" w:rsidR="002B1E23" w:rsidRPr="00C36ACC" w:rsidRDefault="002B1E23" w:rsidP="00C36ACC">
      <w:pPr>
        <w:spacing w:after="0" w:line="240" w:lineRule="auto"/>
        <w:ind w:left="851" w:hanging="851"/>
        <w:jc w:val="both"/>
      </w:pPr>
    </w:p>
    <w:p w14:paraId="4DA8AB8B" w14:textId="77777777" w:rsidR="00C36ACC" w:rsidRDefault="00C36ACC" w:rsidP="00C36ACC">
      <w:pPr>
        <w:spacing w:after="0" w:line="240" w:lineRule="auto"/>
        <w:jc w:val="both"/>
        <w:rPr>
          <w:rFonts w:ascii="Arial" w:hAnsi="Arial" w:cs="Arial"/>
          <w:color w:val="000000" w:themeColor="text1"/>
        </w:rPr>
      </w:pPr>
    </w:p>
    <w:p w14:paraId="440C3F6C" w14:textId="2E55FEB6" w:rsidR="005E184F" w:rsidRPr="00A41C93" w:rsidRDefault="005E184F" w:rsidP="005E184F">
      <w:pPr>
        <w:spacing w:after="0" w:line="240" w:lineRule="auto"/>
        <w:ind w:left="851" w:hanging="851"/>
        <w:jc w:val="both"/>
        <w:rPr>
          <w:rFonts w:ascii="Arial" w:hAnsi="Arial" w:cs="Arial"/>
          <w:color w:val="000000" w:themeColor="text1"/>
        </w:rPr>
      </w:pPr>
    </w:p>
    <w:p w14:paraId="5891A366" w14:textId="14ED2D07" w:rsidR="005E184F" w:rsidRPr="0012294F" w:rsidRDefault="005E184F" w:rsidP="005E184F">
      <w:pPr>
        <w:pStyle w:val="Maintext"/>
        <w:ind w:left="851" w:hanging="851"/>
      </w:pPr>
    </w:p>
    <w:p w14:paraId="00A74C14" w14:textId="036837B3" w:rsidR="00625E6C" w:rsidRPr="00625E6C" w:rsidRDefault="00625E6C" w:rsidP="00625E6C">
      <w:pPr>
        <w:spacing w:after="120" w:line="240" w:lineRule="auto"/>
        <w:ind w:left="851" w:hanging="851"/>
        <w:jc w:val="both"/>
        <w:rPr>
          <w:rFonts w:ascii="Arial" w:hAnsi="Arial" w:cs="Arial"/>
        </w:rPr>
      </w:pPr>
    </w:p>
    <w:p w14:paraId="66554299" w14:textId="77777777" w:rsidR="00625E6C" w:rsidRPr="00637186" w:rsidRDefault="00625E6C" w:rsidP="005D64FB">
      <w:pPr>
        <w:jc w:val="both"/>
        <w:rPr>
          <w:lang w:eastAsia="de-DE"/>
        </w:rPr>
      </w:pPr>
    </w:p>
    <w:p w14:paraId="413A3129" w14:textId="77777777" w:rsidR="005D64FB" w:rsidRPr="0012294F" w:rsidRDefault="005D64FB" w:rsidP="00BB302D">
      <w:pPr>
        <w:spacing w:after="0" w:line="240" w:lineRule="auto"/>
        <w:jc w:val="both"/>
        <w:rPr>
          <w:rFonts w:ascii="Arial" w:hAnsi="Arial" w:cs="Arial"/>
          <w:color w:val="000000" w:themeColor="text1"/>
          <w:lang w:eastAsia="de-DE"/>
        </w:rPr>
      </w:pPr>
    </w:p>
    <w:p w14:paraId="09CA598D" w14:textId="39070775" w:rsidR="001E3DA2" w:rsidRDefault="001E3DA2">
      <w:pPr>
        <w:rPr>
          <w:rFonts w:ascii="Arial" w:hAnsi="Arial" w:cs="Arial"/>
          <w:color w:val="000000" w:themeColor="text1"/>
          <w:lang w:eastAsia="de-DE"/>
        </w:rPr>
      </w:pPr>
      <w:r>
        <w:rPr>
          <w:rFonts w:ascii="Arial" w:hAnsi="Arial" w:cs="Arial"/>
          <w:color w:val="000000" w:themeColor="text1"/>
          <w:lang w:eastAsia="de-DE"/>
        </w:rPr>
        <w:br w:type="page"/>
      </w:r>
    </w:p>
    <w:p w14:paraId="091894CA" w14:textId="77777777" w:rsidR="005D64FB" w:rsidRPr="00CE51ED" w:rsidRDefault="005D64FB" w:rsidP="00CE51ED">
      <w:pPr>
        <w:pStyle w:val="ListParagraph"/>
      </w:pPr>
      <w:bookmarkStart w:id="13" w:name="_Toc39475567"/>
      <w:bookmarkStart w:id="14" w:name="_Toc39475756"/>
      <w:bookmarkStart w:id="15" w:name="_Toc39842788"/>
      <w:bookmarkStart w:id="16" w:name="_Toc40773033"/>
      <w:bookmarkStart w:id="17" w:name="_Toc40777575"/>
      <w:bookmarkStart w:id="18" w:name="_Toc40784008"/>
      <w:bookmarkStart w:id="19" w:name="_Toc40792843"/>
      <w:bookmarkStart w:id="20" w:name="_Toc41303951"/>
      <w:bookmarkStart w:id="21" w:name="_Toc41304437"/>
      <w:bookmarkStart w:id="22" w:name="_Toc41304626"/>
      <w:bookmarkStart w:id="23" w:name="_Toc41304815"/>
      <w:bookmarkStart w:id="24" w:name="_Toc37227202"/>
      <w:bookmarkStart w:id="25" w:name="_Toc37227348"/>
      <w:bookmarkEnd w:id="13"/>
      <w:bookmarkEnd w:id="14"/>
      <w:bookmarkEnd w:id="15"/>
      <w:bookmarkEnd w:id="16"/>
      <w:bookmarkEnd w:id="17"/>
      <w:bookmarkEnd w:id="18"/>
      <w:bookmarkEnd w:id="19"/>
      <w:bookmarkEnd w:id="20"/>
      <w:bookmarkEnd w:id="21"/>
      <w:bookmarkEnd w:id="22"/>
      <w:bookmarkEnd w:id="23"/>
    </w:p>
    <w:p w14:paraId="5DB5EAB8" w14:textId="02B04D3B" w:rsidR="00270C8A" w:rsidRPr="00DE7527" w:rsidRDefault="005D580B" w:rsidP="00124439">
      <w:pPr>
        <w:pStyle w:val="Heading1"/>
        <w:numPr>
          <w:ilvl w:val="0"/>
          <w:numId w:val="19"/>
        </w:numPr>
        <w:jc w:val="both"/>
      </w:pPr>
      <w:bookmarkStart w:id="26" w:name="_Toc42177219"/>
      <w:r>
        <w:t xml:space="preserve">Policy Frameworks and </w:t>
      </w:r>
      <w:r w:rsidR="001E3DA2" w:rsidRPr="00DE7527">
        <w:t>Key Performance and Value Indicators towards 2030</w:t>
      </w:r>
      <w:bookmarkEnd w:id="24"/>
      <w:bookmarkEnd w:id="25"/>
      <w:bookmarkEnd w:id="26"/>
    </w:p>
    <w:p w14:paraId="4D7794A8" w14:textId="7435F994" w:rsidR="005D64FB" w:rsidRDefault="005D64FB" w:rsidP="005D64FB"/>
    <w:p w14:paraId="7F8EC625" w14:textId="5BB3397A" w:rsidR="005D64FB" w:rsidRDefault="005D64FB" w:rsidP="005D64FB">
      <w:pPr>
        <w:pStyle w:val="Heading2"/>
      </w:pPr>
      <w:bookmarkStart w:id="27" w:name="_Toc42177220"/>
      <w:r w:rsidRPr="008F3E84">
        <w:t>Policy Objectives</w:t>
      </w:r>
      <w:bookmarkEnd w:id="27"/>
    </w:p>
    <w:p w14:paraId="05B0DF08" w14:textId="77777777" w:rsidR="00C42C17" w:rsidRPr="00C42C17" w:rsidRDefault="00C42C17" w:rsidP="00C42C17"/>
    <w:p w14:paraId="235486D5" w14:textId="712DBAF5" w:rsidR="005D64FB" w:rsidRPr="00FD5734" w:rsidRDefault="005D64FB" w:rsidP="005D64FB">
      <w:pPr>
        <w:spacing w:after="120"/>
        <w:jc w:val="both"/>
        <w:rPr>
          <w:rFonts w:ascii="Arial" w:hAnsi="Arial" w:cs="Arial"/>
          <w:iCs/>
        </w:rPr>
      </w:pPr>
      <w:r w:rsidRPr="00FD5734">
        <w:rPr>
          <w:rFonts w:ascii="Arial" w:hAnsi="Arial" w:cs="Arial"/>
          <w:iCs/>
        </w:rPr>
        <w:t xml:space="preserve">One of the key objectives of Horizon Europe is to </w:t>
      </w:r>
      <w:r w:rsidRPr="00FD5734">
        <w:rPr>
          <w:rFonts w:ascii="Arial" w:hAnsi="Arial" w:cs="Arial"/>
          <w:b/>
          <w:bCs/>
          <w:iCs/>
        </w:rPr>
        <w:t>ensure the competitive edge and sovereignty of EU’s industry</w:t>
      </w:r>
      <w:r w:rsidR="003B2305">
        <w:rPr>
          <w:rFonts w:ascii="Arial" w:hAnsi="Arial" w:cs="Arial"/>
          <w:b/>
          <w:bCs/>
          <w:iCs/>
        </w:rPr>
        <w:t xml:space="preserve"> </w:t>
      </w:r>
      <w:r w:rsidR="003B2305" w:rsidRPr="003B2305">
        <w:rPr>
          <w:rFonts w:ascii="Arial" w:hAnsi="Arial" w:cs="Arial"/>
          <w:bCs/>
          <w:iCs/>
        </w:rPr>
        <w:t>[C1-16]</w:t>
      </w:r>
      <w:r w:rsidRPr="003B2305">
        <w:rPr>
          <w:rFonts w:ascii="Arial" w:hAnsi="Arial" w:cs="Arial"/>
          <w:iCs/>
        </w:rPr>
        <w:t>.</w:t>
      </w:r>
      <w:r w:rsidRPr="00FD5734">
        <w:rPr>
          <w:rFonts w:ascii="Arial" w:hAnsi="Arial" w:cs="Arial"/>
          <w:iCs/>
        </w:rPr>
        <w:t xml:space="preserve"> </w:t>
      </w:r>
      <w:r>
        <w:rPr>
          <w:rFonts w:ascii="Arial" w:hAnsi="Arial" w:cs="Arial"/>
          <w:iCs/>
        </w:rPr>
        <w:t>At the same time, the d</w:t>
      </w:r>
      <w:r w:rsidRPr="00817EDB">
        <w:rPr>
          <w:rFonts w:ascii="Arial" w:hAnsi="Arial" w:cs="Arial"/>
          <w:iCs/>
        </w:rPr>
        <w:t>igital autonomy and European sovereignty have as a main objec</w:t>
      </w:r>
      <w:r>
        <w:rPr>
          <w:rFonts w:ascii="Arial" w:hAnsi="Arial" w:cs="Arial"/>
          <w:iCs/>
        </w:rPr>
        <w:t xml:space="preserve">tive to achieve a framework of </w:t>
      </w:r>
      <w:r w:rsidRPr="00817EDB">
        <w:rPr>
          <w:rFonts w:ascii="Arial" w:hAnsi="Arial" w:cs="Arial"/>
          <w:iCs/>
        </w:rPr>
        <w:t>alternative European offers so as to support freedom of decision making by keeping free trade in a global competitive economy.</w:t>
      </w:r>
      <w:r>
        <w:rPr>
          <w:rFonts w:ascii="Arial" w:hAnsi="Arial" w:cs="Arial"/>
          <w:iCs/>
        </w:rPr>
        <w:t xml:space="preserve"> </w:t>
      </w:r>
      <w:r w:rsidRPr="00FD5734">
        <w:rPr>
          <w:rFonts w:ascii="Arial" w:hAnsi="Arial" w:cs="Arial"/>
          <w:iCs/>
        </w:rPr>
        <w:t xml:space="preserve">To achieve this, it is essential to support the research development and validation of B5G systems and building blocks as this technological area is extremely competitive at a global level. </w:t>
      </w:r>
      <w:r>
        <w:rPr>
          <w:rFonts w:ascii="Arial" w:hAnsi="Arial" w:cs="Arial"/>
          <w:iCs/>
        </w:rPr>
        <w:t xml:space="preserve">As mentioned above, Smart Networks and Services </w:t>
      </w:r>
      <w:r w:rsidRPr="00FD5734">
        <w:rPr>
          <w:rFonts w:ascii="Arial" w:hAnsi="Arial" w:cs="Arial"/>
          <w:iCs/>
        </w:rPr>
        <w:t>will be enhanced by innovative enablers (e.g., AI/ML, HPC, cybersecurity and IoT) and provide the means to support all vertical sectors and the emerging applications (e.g., holographic communications). Only if Europe is developing the state-of-the-art solutions it will be possible to retain its competitive edge and also boost those business sectors that are currently lagging behind (e.g., cloud, microelectronics, end devices). Obviously, the research activities have to be linked with the standardization activities</w:t>
      </w:r>
      <w:r>
        <w:rPr>
          <w:rFonts w:ascii="Arial" w:hAnsi="Arial" w:cs="Arial"/>
          <w:iCs/>
        </w:rPr>
        <w:t xml:space="preserve"> so as to ensure that</w:t>
      </w:r>
      <w:r w:rsidRPr="00FD5734">
        <w:rPr>
          <w:rFonts w:ascii="Arial" w:hAnsi="Arial" w:cs="Arial"/>
          <w:iCs/>
        </w:rPr>
        <w:t xml:space="preserve"> the key ideas </w:t>
      </w:r>
      <w:r>
        <w:rPr>
          <w:rFonts w:ascii="Arial" w:hAnsi="Arial" w:cs="Arial"/>
          <w:iCs/>
        </w:rPr>
        <w:t>arising</w:t>
      </w:r>
      <w:r w:rsidRPr="00FD5734">
        <w:rPr>
          <w:rFonts w:ascii="Arial" w:hAnsi="Arial" w:cs="Arial"/>
          <w:iCs/>
        </w:rPr>
        <w:t xml:space="preserve"> from EU funded projects</w:t>
      </w:r>
      <w:r>
        <w:rPr>
          <w:rFonts w:ascii="Arial" w:hAnsi="Arial" w:cs="Arial"/>
          <w:iCs/>
        </w:rPr>
        <w:t xml:space="preserve"> will have a global impact</w:t>
      </w:r>
      <w:r w:rsidRPr="00FD5734">
        <w:rPr>
          <w:rFonts w:ascii="Arial" w:hAnsi="Arial" w:cs="Arial"/>
          <w:iCs/>
        </w:rPr>
        <w:t xml:space="preserve">. </w:t>
      </w:r>
    </w:p>
    <w:p w14:paraId="7CC569EC" w14:textId="77777777" w:rsidR="005D64FB" w:rsidRPr="00FD5734" w:rsidRDefault="005D64FB" w:rsidP="005D64FB">
      <w:pPr>
        <w:spacing w:after="120"/>
        <w:jc w:val="both"/>
        <w:rPr>
          <w:rFonts w:ascii="Arial" w:hAnsi="Arial" w:cs="Arial"/>
          <w:iCs/>
        </w:rPr>
      </w:pPr>
      <w:r w:rsidRPr="00FD5734">
        <w:rPr>
          <w:rFonts w:ascii="Arial" w:hAnsi="Arial" w:cs="Arial"/>
          <w:iCs/>
        </w:rPr>
        <w:t xml:space="preserve">An important </w:t>
      </w:r>
      <w:r w:rsidRPr="00FD5734">
        <w:rPr>
          <w:rFonts w:ascii="Arial" w:hAnsi="Arial" w:cs="Arial"/>
          <w:b/>
          <w:bCs/>
          <w:iCs/>
        </w:rPr>
        <w:t>Horizon Europe’s policy objective is the digitization and respective transformation of the industry.</w:t>
      </w:r>
      <w:r w:rsidRPr="00FD5734">
        <w:rPr>
          <w:rFonts w:ascii="Arial" w:hAnsi="Arial" w:cs="Arial"/>
          <w:iCs/>
        </w:rPr>
        <w:t xml:space="preserve"> Europe has the competitive advantage of having a strong globally recognized vertical industry and telecommunications industry. Europe has also a top reputation for taking areas like privacy and security very seriously. The full digitization of the vertical industries, based on these principles, through the evolved communication networks will place Europe on the leading position. </w:t>
      </w:r>
    </w:p>
    <w:p w14:paraId="3C7D8D0D" w14:textId="77777777" w:rsidR="005D64FB" w:rsidRPr="00CA1236" w:rsidRDefault="005D64FB" w:rsidP="005D64FB">
      <w:pPr>
        <w:jc w:val="both"/>
        <w:rPr>
          <w:iCs/>
          <w:lang w:val="el-GR"/>
        </w:rPr>
      </w:pPr>
      <w:r>
        <w:rPr>
          <w:rFonts w:ascii="Arial" w:hAnsi="Arial" w:cs="Arial"/>
          <w:iCs/>
        </w:rPr>
        <w:t>Moreover</w:t>
      </w:r>
      <w:r w:rsidRPr="00FD5734">
        <w:rPr>
          <w:rFonts w:ascii="Arial" w:hAnsi="Arial" w:cs="Arial"/>
          <w:iCs/>
        </w:rPr>
        <w:t xml:space="preserve">, </w:t>
      </w:r>
      <w:r w:rsidRPr="00FD5734">
        <w:rPr>
          <w:rFonts w:ascii="Arial" w:hAnsi="Arial" w:cs="Arial"/>
          <w:b/>
          <w:bCs/>
          <w:iCs/>
        </w:rPr>
        <w:t>Horizon Europe aims to create new sustainable and high-value jobs while at the same time contribute significantly at the social inclusiveness.</w:t>
      </w:r>
      <w:r w:rsidRPr="00FD5734">
        <w:rPr>
          <w:rFonts w:ascii="Arial" w:hAnsi="Arial" w:cs="Arial"/>
          <w:iCs/>
        </w:rPr>
        <w:t xml:space="preserve"> </w:t>
      </w:r>
      <w:r>
        <w:rPr>
          <w:rFonts w:ascii="Arial" w:hAnsi="Arial" w:cs="Arial"/>
          <w:iCs/>
        </w:rPr>
        <w:t>Research activities for smart networks and service should also take into consideration these aspects.</w:t>
      </w:r>
    </w:p>
    <w:p w14:paraId="3799118D" w14:textId="77777777" w:rsidR="005D64FB" w:rsidRPr="00FD5734" w:rsidRDefault="005D64FB" w:rsidP="005D64FB">
      <w:pPr>
        <w:spacing w:after="120"/>
        <w:jc w:val="both"/>
        <w:rPr>
          <w:rFonts w:ascii="Arial" w:hAnsi="Arial" w:cs="Arial"/>
          <w:iCs/>
        </w:rPr>
      </w:pPr>
      <w:r>
        <w:rPr>
          <w:rFonts w:ascii="Arial" w:hAnsi="Arial" w:cs="Arial"/>
          <w:b/>
          <w:bCs/>
          <w:iCs/>
        </w:rPr>
        <w:t>Finally, a</w:t>
      </w:r>
      <w:r w:rsidRPr="00FD5734">
        <w:rPr>
          <w:rFonts w:ascii="Arial" w:hAnsi="Arial" w:cs="Arial"/>
          <w:b/>
          <w:bCs/>
          <w:iCs/>
        </w:rPr>
        <w:t xml:space="preserve"> key policy objective for the EU is the fostering of climate neutral, circular and clean industry</w:t>
      </w:r>
      <w:r w:rsidRPr="00FD5734">
        <w:rPr>
          <w:rFonts w:ascii="Arial" w:hAnsi="Arial" w:cs="Arial"/>
          <w:iCs/>
        </w:rPr>
        <w:t xml:space="preserve">. As </w:t>
      </w:r>
      <w:r>
        <w:rPr>
          <w:rFonts w:ascii="Arial" w:hAnsi="Arial" w:cs="Arial"/>
          <w:iCs/>
        </w:rPr>
        <w:t xml:space="preserve">will be </w:t>
      </w:r>
      <w:r w:rsidRPr="00FD5734">
        <w:rPr>
          <w:rFonts w:ascii="Arial" w:hAnsi="Arial" w:cs="Arial"/>
          <w:iCs/>
        </w:rPr>
        <w:t xml:space="preserve">discussed in </w:t>
      </w:r>
      <w:r>
        <w:rPr>
          <w:rFonts w:ascii="Arial" w:hAnsi="Arial" w:cs="Arial"/>
          <w:iCs/>
        </w:rPr>
        <w:t>the following section</w:t>
      </w:r>
      <w:r w:rsidRPr="00FD5734">
        <w:rPr>
          <w:rFonts w:ascii="Arial" w:hAnsi="Arial" w:cs="Arial"/>
          <w:iCs/>
        </w:rPr>
        <w:t xml:space="preserve">, telecommunication networks evolve, become more sophisticated but may also be more energy demanding. </w:t>
      </w:r>
      <w:r>
        <w:rPr>
          <w:rFonts w:ascii="Arial" w:hAnsi="Arial" w:cs="Arial"/>
          <w:iCs/>
        </w:rPr>
        <w:t xml:space="preserve">Smart networks should </w:t>
      </w:r>
      <w:r w:rsidRPr="00FD5734">
        <w:rPr>
          <w:rFonts w:ascii="Arial" w:hAnsi="Arial" w:cs="Arial"/>
          <w:iCs/>
        </w:rPr>
        <w:t xml:space="preserve">address energy efficiency in </w:t>
      </w:r>
      <w:r>
        <w:rPr>
          <w:rFonts w:ascii="Arial" w:hAnsi="Arial" w:cs="Arial"/>
          <w:iCs/>
        </w:rPr>
        <w:t xml:space="preserve">the telecommunications’ sector </w:t>
      </w:r>
      <w:r w:rsidRPr="00FD5734">
        <w:rPr>
          <w:rFonts w:ascii="Arial" w:hAnsi="Arial" w:cs="Arial"/>
          <w:iCs/>
        </w:rPr>
        <w:t xml:space="preserve">and </w:t>
      </w:r>
      <w:r w:rsidRPr="00FD5734">
        <w:rPr>
          <w:rFonts w:ascii="Arial" w:hAnsi="Arial" w:cs="Arial"/>
          <w:b/>
          <w:bCs/>
          <w:iCs/>
        </w:rPr>
        <w:t>contribute to the goals of the Green Deal</w:t>
      </w:r>
      <w:r w:rsidRPr="00FD5734">
        <w:rPr>
          <w:rFonts w:ascii="Arial" w:hAnsi="Arial" w:cs="Arial"/>
          <w:iCs/>
        </w:rPr>
        <w:t xml:space="preserve"> by making </w:t>
      </w:r>
      <w:r>
        <w:rPr>
          <w:rFonts w:ascii="Arial" w:hAnsi="Arial" w:cs="Arial"/>
          <w:iCs/>
        </w:rPr>
        <w:t>also vertical</w:t>
      </w:r>
      <w:r w:rsidRPr="00FD5734">
        <w:rPr>
          <w:rFonts w:ascii="Arial" w:hAnsi="Arial" w:cs="Arial"/>
          <w:iCs/>
        </w:rPr>
        <w:t xml:space="preserve"> sectors more efficient. Moreover, by the full digitization of vertical industries</w:t>
      </w:r>
      <w:r>
        <w:rPr>
          <w:rFonts w:ascii="Arial" w:hAnsi="Arial" w:cs="Arial"/>
          <w:iCs/>
        </w:rPr>
        <w:t xml:space="preserve"> should </w:t>
      </w:r>
      <w:r w:rsidRPr="00FD5734">
        <w:rPr>
          <w:rFonts w:ascii="Arial" w:hAnsi="Arial" w:cs="Arial"/>
          <w:iCs/>
        </w:rPr>
        <w:t xml:space="preserve">contribute to a number of goals of the </w:t>
      </w:r>
      <w:r w:rsidRPr="00CA1236">
        <w:rPr>
          <w:rFonts w:ascii="Arial" w:hAnsi="Arial" w:cs="Arial"/>
          <w:b/>
          <w:bCs/>
          <w:iCs/>
        </w:rPr>
        <w:t>UN SDGs</w:t>
      </w:r>
      <w:r w:rsidRPr="00FD5734">
        <w:rPr>
          <w:rFonts w:ascii="Arial" w:hAnsi="Arial" w:cs="Arial"/>
          <w:iCs/>
        </w:rPr>
        <w:t xml:space="preserve"> as it will be discussed in more detail in the following sections.</w:t>
      </w:r>
      <w:r>
        <w:rPr>
          <w:rFonts w:ascii="Arial" w:hAnsi="Arial" w:cs="Arial"/>
          <w:iCs/>
        </w:rPr>
        <w:t xml:space="preserve"> These points are further analysed in the following subsection.</w:t>
      </w:r>
    </w:p>
    <w:p w14:paraId="0643224C" w14:textId="77777777" w:rsidR="005D64FB" w:rsidRDefault="005D64FB" w:rsidP="00DA6395">
      <w:pPr>
        <w:pStyle w:val="Heading3"/>
        <w:rPr>
          <w:lang w:val="en-US"/>
        </w:rPr>
      </w:pPr>
      <w:bookmarkStart w:id="28" w:name="_Toc42177221"/>
      <w:r>
        <w:rPr>
          <w:lang w:val="en-US"/>
        </w:rPr>
        <w:t xml:space="preserve">Global view: </w:t>
      </w:r>
      <w:r w:rsidRPr="00386A46">
        <w:rPr>
          <w:lang w:val="en-US"/>
        </w:rPr>
        <w:t>UN S</w:t>
      </w:r>
      <w:r>
        <w:rPr>
          <w:lang w:val="en-US"/>
        </w:rPr>
        <w:t xml:space="preserve">ustainable Development </w:t>
      </w:r>
      <w:r w:rsidRPr="00386A46">
        <w:rPr>
          <w:lang w:val="en-US"/>
        </w:rPr>
        <w:t>G</w:t>
      </w:r>
      <w:r>
        <w:rPr>
          <w:lang w:val="en-US"/>
        </w:rPr>
        <w:t>oal</w:t>
      </w:r>
      <w:r w:rsidRPr="00386A46">
        <w:rPr>
          <w:lang w:val="en-US"/>
        </w:rPr>
        <w:t>s</w:t>
      </w:r>
      <w:bookmarkEnd w:id="28"/>
    </w:p>
    <w:p w14:paraId="58876971" w14:textId="0C7D2BF7" w:rsidR="005D64FB" w:rsidRPr="00C93A46" w:rsidRDefault="005D64FB" w:rsidP="005D64FB">
      <w:pPr>
        <w:keepNext/>
        <w:spacing w:after="120"/>
        <w:jc w:val="both"/>
        <w:rPr>
          <w:rFonts w:ascii="Arial" w:hAnsi="Arial" w:cs="Arial"/>
          <w:color w:val="000000" w:themeColor="text1"/>
        </w:rPr>
      </w:pPr>
      <w:r w:rsidRPr="00C93A46">
        <w:rPr>
          <w:rFonts w:ascii="Arial" w:hAnsi="Arial" w:cs="Arial"/>
          <w:iCs/>
          <w:noProof/>
          <w:color w:val="000000" w:themeColor="text1"/>
        </w:rPr>
        <w:t xml:space="preserve">The 17 United Nations 2030 SDGs </w:t>
      </w:r>
      <w:r w:rsidR="00EA4B7A" w:rsidRPr="0063079E">
        <w:rPr>
          <w:rFonts w:ascii="Arial" w:hAnsi="Arial" w:cs="Arial"/>
          <w:color w:val="000000" w:themeColor="text1"/>
        </w:rPr>
        <w:t xml:space="preserve"> </w:t>
      </w:r>
      <w:r w:rsidR="00EA4B7A">
        <w:rPr>
          <w:rFonts w:ascii="Arial" w:hAnsi="Arial" w:cs="Arial"/>
          <w:color w:val="000000" w:themeColor="text1"/>
        </w:rPr>
        <w:t xml:space="preserve">[C1-1] </w:t>
      </w:r>
      <w:r w:rsidRPr="005C2ABD">
        <w:rPr>
          <w:rFonts w:ascii="Arial" w:hAnsi="Arial" w:cs="Arial"/>
          <w:iCs/>
          <w:noProof/>
          <w:color w:val="000000" w:themeColor="text1"/>
        </w:rPr>
        <w:t xml:space="preserve">are a key driver for future developments to address societal challenges globally. </w:t>
      </w:r>
      <w:r w:rsidRPr="005C2ABD">
        <w:rPr>
          <w:rFonts w:ascii="Arial" w:hAnsi="Arial" w:cs="Arial"/>
          <w:color w:val="000000" w:themeColor="text1"/>
        </w:rPr>
        <w:t>The SDGs and the environmental sustainability challenges call for new and evolved Smart Networks and Services capabilities, high-level requirements and demands in capacities that must be carefully understood in a human-centric and societal context.</w:t>
      </w:r>
    </w:p>
    <w:p w14:paraId="5DE4F7DB"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 xml:space="preserve">Smart cities and municipalities, smart mobility, smart eHealth and smart building solutions are example use case areas that can help to mitigate societal challenges around the ageing </w:t>
      </w:r>
      <w:r w:rsidRPr="00C93A46">
        <w:rPr>
          <w:rFonts w:ascii="Arial" w:hAnsi="Arial" w:cs="Arial"/>
          <w:color w:val="000000" w:themeColor="text1"/>
        </w:rPr>
        <w:lastRenderedPageBreak/>
        <w:t>population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 and pollution.</w:t>
      </w:r>
    </w:p>
    <w:p w14:paraId="3405644D" w14:textId="77777777"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DE5AC59" w14:textId="7D0B04A9" w:rsidR="005D64FB" w:rsidRPr="005C2ABD" w:rsidRDefault="000B395D" w:rsidP="005D64FB">
      <w:pPr>
        <w:spacing w:after="120"/>
        <w:jc w:val="both"/>
        <w:rPr>
          <w:rFonts w:ascii="Arial" w:hAnsi="Arial" w:cs="Arial"/>
          <w:iCs/>
          <w:noProof/>
          <w:color w:val="000000" w:themeColor="text1"/>
        </w:rPr>
      </w:pPr>
      <w:r>
        <w:rPr>
          <w:rFonts w:ascii="Arial" w:hAnsi="Arial" w:cs="Arial"/>
          <w:iCs/>
          <w:noProof/>
          <w:color w:val="000000" w:themeColor="text1"/>
        </w:rPr>
        <w:t>Existing reports (e.g., [C2-1]</w:t>
      </w:r>
      <w:r w:rsidR="005D64FB" w:rsidRPr="005C2ABD">
        <w:rPr>
          <w:rFonts w:ascii="Arial" w:hAnsi="Arial" w:cs="Arial"/>
          <w:iCs/>
          <w:noProof/>
          <w:color w:val="000000" w:themeColor="text1"/>
        </w:rPr>
        <w:t>) explain how mobile networks are contributing to the economic growth and are addressing social challenges.</w:t>
      </w:r>
    </w:p>
    <w:p w14:paraId="7F11AC05" w14:textId="51460102" w:rsidR="005D64FB" w:rsidRDefault="005D64FB" w:rsidP="005D64FB">
      <w:pPr>
        <w:tabs>
          <w:tab w:val="num" w:pos="720"/>
        </w:tabs>
        <w:jc w:val="both"/>
        <w:rPr>
          <w:rFonts w:ascii="Arial" w:hAnsi="Arial" w:cs="Arial"/>
          <w:iCs/>
          <w:noProof/>
          <w:color w:val="000000" w:themeColor="text1"/>
        </w:rPr>
      </w:pPr>
      <w:r w:rsidRPr="005C2ABD">
        <w:rPr>
          <w:rFonts w:ascii="Arial" w:hAnsi="Arial" w:cs="Arial"/>
          <w:iCs/>
          <w:noProof/>
          <w:color w:val="000000" w:themeColor="text1"/>
        </w:rPr>
        <w:t>ITU has summarised the contributions of the ICT s</w:t>
      </w:r>
      <w:r w:rsidR="000B395D">
        <w:rPr>
          <w:rFonts w:ascii="Arial" w:hAnsi="Arial" w:cs="Arial"/>
          <w:iCs/>
          <w:noProof/>
          <w:color w:val="000000" w:themeColor="text1"/>
        </w:rPr>
        <w:t>ector to work on the UN SDGs [C2-2]</w:t>
      </w:r>
      <w:r w:rsidRPr="005C2ABD">
        <w:rPr>
          <w:rFonts w:ascii="Arial" w:hAnsi="Arial" w:cs="Arial"/>
          <w:iCs/>
          <w:noProof/>
          <w:color w:val="000000" w:themeColor="text1"/>
        </w:rPr>
        <w:t xml:space="preserve"> as well as the inv</w:t>
      </w:r>
      <w:r w:rsidR="000B395D">
        <w:rPr>
          <w:rFonts w:ascii="Arial" w:hAnsi="Arial" w:cs="Arial"/>
          <w:iCs/>
          <w:noProof/>
          <w:color w:val="000000" w:themeColor="text1"/>
        </w:rPr>
        <w:t>estment in digital technology [C2-3].</w:t>
      </w:r>
      <w:r w:rsidRPr="005C2ABD">
        <w:rPr>
          <w:rFonts w:ascii="Arial" w:hAnsi="Arial" w:cs="Arial"/>
          <w:iCs/>
          <w:noProof/>
          <w:color w:val="000000" w:themeColor="text1"/>
        </w:rPr>
        <w:t xml:space="preserve"> These ITU guidelines will be used to design the future SNS platforms for the efficient support </w:t>
      </w:r>
      <w:r w:rsidRPr="00C93A46">
        <w:rPr>
          <w:rFonts w:ascii="Arial" w:hAnsi="Arial" w:cs="Arial"/>
          <w:iCs/>
          <w:noProof/>
          <w:color w:val="000000" w:themeColor="text1"/>
        </w:rPr>
        <w:t xml:space="preserve">of key UN SDGs as explained </w:t>
      </w:r>
      <w:r w:rsidRPr="005D2A31">
        <w:rPr>
          <w:rFonts w:ascii="Arial" w:hAnsi="Arial" w:cs="Arial"/>
          <w:iCs/>
          <w:noProof/>
          <w:color w:val="000000" w:themeColor="text1"/>
        </w:rPr>
        <w:t xml:space="preserve">in Annex </w:t>
      </w:r>
      <w:r w:rsidR="005D2A31">
        <w:rPr>
          <w:rFonts w:ascii="Arial" w:hAnsi="Arial" w:cs="Arial"/>
          <w:iCs/>
          <w:noProof/>
          <w:color w:val="000000" w:themeColor="text1"/>
        </w:rPr>
        <w:t>3</w:t>
      </w:r>
      <w:r>
        <w:rPr>
          <w:rFonts w:ascii="Arial" w:hAnsi="Arial" w:cs="Arial"/>
          <w:iCs/>
          <w:noProof/>
          <w:color w:val="000000" w:themeColor="text1"/>
        </w:rPr>
        <w:t xml:space="preserve"> of the SNS partnership proposal [</w:t>
      </w:r>
      <w:r w:rsidR="000B395D">
        <w:rPr>
          <w:rFonts w:ascii="Arial" w:hAnsi="Arial" w:cs="Arial"/>
          <w:iCs/>
          <w:noProof/>
          <w:color w:val="000000" w:themeColor="text1"/>
        </w:rPr>
        <w:t>C1-16</w:t>
      </w:r>
      <w:r>
        <w:rPr>
          <w:rFonts w:ascii="Arial" w:hAnsi="Arial" w:cs="Arial"/>
          <w:iCs/>
          <w:noProof/>
          <w:color w:val="000000" w:themeColor="text1"/>
        </w:rPr>
        <w:t>].</w:t>
      </w:r>
    </w:p>
    <w:p w14:paraId="640125EA" w14:textId="47ADB38C" w:rsidR="005D64FB" w:rsidRPr="00D434B6" w:rsidRDefault="005D64FB" w:rsidP="005D64FB">
      <w:pPr>
        <w:tabs>
          <w:tab w:val="num" w:pos="720"/>
        </w:tabs>
        <w:jc w:val="both"/>
        <w:rPr>
          <w:rFonts w:ascii="Arial" w:hAnsi="Arial" w:cs="Arial"/>
          <w:color w:val="000000" w:themeColor="text1"/>
        </w:rPr>
      </w:pPr>
      <w:r w:rsidRPr="003B10DC">
        <w:rPr>
          <w:rFonts w:ascii="Arial" w:hAnsi="Arial" w:cs="Arial"/>
          <w:iCs/>
          <w:noProof/>
          <w:color w:val="000000" w:themeColor="text1"/>
        </w:rPr>
        <w:t>ITU has provided a methodology to identify which are the ICT building blocks for each SDG target group.</w:t>
      </w:r>
      <w:r>
        <w:rPr>
          <w:rFonts w:ascii="Arial" w:hAnsi="Arial" w:cs="Arial"/>
          <w:iCs/>
          <w:noProof/>
          <w:color w:val="000000" w:themeColor="text1"/>
        </w:rPr>
        <w:t xml:space="preserve"> In the SNS Partnership proposal </w:t>
      </w:r>
      <w:r w:rsidR="003B2305">
        <w:rPr>
          <w:rFonts w:ascii="Arial" w:hAnsi="Arial" w:cs="Arial"/>
          <w:iCs/>
          <w:noProof/>
          <w:color w:val="000000" w:themeColor="text1"/>
        </w:rPr>
        <w:t xml:space="preserve">[C1-16] </w:t>
      </w:r>
      <w:r>
        <w:rPr>
          <w:rFonts w:ascii="Arial" w:hAnsi="Arial" w:cs="Arial"/>
          <w:iCs/>
          <w:noProof/>
          <w:color w:val="000000" w:themeColor="text1"/>
        </w:rPr>
        <w:t>there is a specific Annex on how this methodology can be used for Sart Networks and Services</w:t>
      </w:r>
      <w:r w:rsidR="003B2305">
        <w:rPr>
          <w:rFonts w:ascii="Arial" w:hAnsi="Arial" w:cs="Arial"/>
          <w:iCs/>
          <w:noProof/>
          <w:color w:val="000000" w:themeColor="text1"/>
        </w:rPr>
        <w:t xml:space="preserve"> and is provided in Section 2.3 of this document.</w:t>
      </w:r>
    </w:p>
    <w:p w14:paraId="1B1863A4" w14:textId="4AABCAFA"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The European answer to the SDGs has been organised arround areas where missions</w:t>
      </w:r>
      <w:r w:rsidR="000B395D">
        <w:rPr>
          <w:rFonts w:ascii="Arial" w:hAnsi="Arial" w:cs="Arial"/>
          <w:iCs/>
          <w:noProof/>
          <w:color w:val="000000" w:themeColor="text1"/>
        </w:rPr>
        <w:t xml:space="preserve"> [C2-4]</w:t>
      </w:r>
      <w:r>
        <w:rPr>
          <w:rFonts w:ascii="Arial" w:hAnsi="Arial" w:cs="Arial"/>
          <w:iCs/>
          <w:noProof/>
          <w:color w:val="000000" w:themeColor="text1"/>
        </w:rPr>
        <w:t xml:space="preserve"> will be developed. These missions will be an integral part of the Horizon Europe program and will </w:t>
      </w:r>
      <w:r w:rsidRPr="009E17A0">
        <w:rPr>
          <w:rFonts w:ascii="Arial" w:hAnsi="Arial" w:cs="Arial"/>
          <w:iCs/>
          <w:noProof/>
          <w:color w:val="000000" w:themeColor="text1"/>
        </w:rPr>
        <w:t>link activities across different disciplines and different types of research and innovation</w:t>
      </w:r>
      <w:r>
        <w:rPr>
          <w:rFonts w:ascii="Arial" w:hAnsi="Arial" w:cs="Arial"/>
          <w:iCs/>
          <w:noProof/>
          <w:color w:val="000000" w:themeColor="text1"/>
        </w:rPr>
        <w:t xml:space="preserve">. </w:t>
      </w:r>
    </w:p>
    <w:p w14:paraId="11B3580F"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Five areas have been identified : 1)</w:t>
      </w:r>
      <w:r w:rsidRPr="009E17A0">
        <w:rPr>
          <w:rFonts w:ascii="Arial" w:hAnsi="Arial" w:cs="Arial"/>
          <w:iCs/>
          <w:noProof/>
          <w:color w:val="000000" w:themeColor="text1"/>
        </w:rPr>
        <w:t xml:space="preserve"> cancer</w:t>
      </w:r>
      <w:r>
        <w:rPr>
          <w:rFonts w:ascii="Arial" w:hAnsi="Arial" w:cs="Arial"/>
          <w:iCs/>
          <w:noProof/>
          <w:color w:val="000000" w:themeColor="text1"/>
        </w:rPr>
        <w:t xml:space="preserve">, 2) </w:t>
      </w:r>
      <w:r w:rsidRPr="009E17A0">
        <w:rPr>
          <w:rFonts w:ascii="Arial" w:hAnsi="Arial" w:cs="Arial"/>
          <w:iCs/>
          <w:noProof/>
          <w:color w:val="000000" w:themeColor="text1"/>
        </w:rPr>
        <w:t>adaptation to climate change including societal transformation</w:t>
      </w:r>
      <w:r>
        <w:rPr>
          <w:rFonts w:ascii="Arial" w:hAnsi="Arial" w:cs="Arial"/>
          <w:iCs/>
          <w:noProof/>
          <w:color w:val="000000" w:themeColor="text1"/>
        </w:rPr>
        <w:t xml:space="preserve">, 3) </w:t>
      </w:r>
      <w:r w:rsidRPr="009E17A0">
        <w:rPr>
          <w:rFonts w:ascii="Arial" w:hAnsi="Arial" w:cs="Arial"/>
          <w:iCs/>
          <w:noProof/>
          <w:color w:val="000000" w:themeColor="text1"/>
        </w:rPr>
        <w:t>healthy oceans, seas coastal and inland waters</w:t>
      </w:r>
      <w:r>
        <w:rPr>
          <w:rFonts w:ascii="Arial" w:hAnsi="Arial" w:cs="Arial"/>
          <w:iCs/>
          <w:noProof/>
          <w:color w:val="000000" w:themeColor="text1"/>
        </w:rPr>
        <w:t xml:space="preserve">, 4) </w:t>
      </w:r>
      <w:r w:rsidRPr="009E17A0">
        <w:rPr>
          <w:rFonts w:ascii="Arial" w:hAnsi="Arial" w:cs="Arial"/>
          <w:iCs/>
          <w:noProof/>
          <w:color w:val="000000" w:themeColor="text1"/>
        </w:rPr>
        <w:t>climate-neutral and smart cities</w:t>
      </w:r>
      <w:r>
        <w:rPr>
          <w:rFonts w:ascii="Arial" w:hAnsi="Arial" w:cs="Arial"/>
          <w:iCs/>
          <w:noProof/>
          <w:color w:val="000000" w:themeColor="text1"/>
        </w:rPr>
        <w:t xml:space="preserve"> and 5) </w:t>
      </w:r>
      <w:r w:rsidRPr="009E17A0">
        <w:rPr>
          <w:rFonts w:ascii="Arial" w:hAnsi="Arial" w:cs="Arial"/>
          <w:iCs/>
          <w:noProof/>
          <w:color w:val="000000" w:themeColor="text1"/>
        </w:rPr>
        <w:t>soil health and food</w:t>
      </w:r>
      <w:r>
        <w:rPr>
          <w:rFonts w:ascii="Arial" w:hAnsi="Arial" w:cs="Arial"/>
          <w:iCs/>
          <w:noProof/>
          <w:color w:val="000000" w:themeColor="text1"/>
        </w:rPr>
        <w:t>.</w:t>
      </w:r>
    </w:p>
    <w:p w14:paraId="2845E3E2" w14:textId="77777777" w:rsidR="005D64FB" w:rsidRDefault="005D64FB" w:rsidP="005D64FB">
      <w:pPr>
        <w:tabs>
          <w:tab w:val="num" w:pos="720"/>
        </w:tabs>
        <w:jc w:val="both"/>
        <w:rPr>
          <w:rFonts w:ascii="Arial" w:hAnsi="Arial" w:cs="Arial"/>
          <w:iCs/>
          <w:noProof/>
          <w:color w:val="000000" w:themeColor="text1"/>
        </w:rPr>
      </w:pPr>
      <w:r>
        <w:rPr>
          <w:rFonts w:ascii="Arial" w:hAnsi="Arial" w:cs="Arial"/>
          <w:iCs/>
          <w:noProof/>
          <w:color w:val="000000" w:themeColor="text1"/>
        </w:rPr>
        <w:t>Digital infrastructure and SNS should have a key role in this landscape and according to the missions described by the relevant boards, there will be a need to identify where SNS will be able to contribute and also what are the news requirements that SNS will need to take in consideration.</w:t>
      </w:r>
    </w:p>
    <w:p w14:paraId="1C4423EE" w14:textId="77777777" w:rsidR="005D64FB" w:rsidRPr="00D434B6" w:rsidRDefault="005D64FB" w:rsidP="00DA6395">
      <w:pPr>
        <w:pStyle w:val="Heading3"/>
        <w:rPr>
          <w:lang w:val="en-US"/>
        </w:rPr>
      </w:pPr>
      <w:bookmarkStart w:id="29" w:name="_Toc42177222"/>
      <w:r>
        <w:rPr>
          <w:lang w:val="en-US"/>
        </w:rPr>
        <w:t xml:space="preserve">The </w:t>
      </w:r>
      <w:r w:rsidRPr="00D434B6">
        <w:rPr>
          <w:lang w:val="en-US"/>
        </w:rPr>
        <w:t>Green Deal</w:t>
      </w:r>
      <w:bookmarkEnd w:id="29"/>
      <w:r w:rsidRPr="00D434B6">
        <w:rPr>
          <w:lang w:val="en-US"/>
        </w:rPr>
        <w:t xml:space="preserve"> </w:t>
      </w:r>
    </w:p>
    <w:p w14:paraId="7D23183B" w14:textId="230F9CCE" w:rsidR="005D64FB" w:rsidRPr="006524F5" w:rsidRDefault="005D64FB" w:rsidP="005D64FB">
      <w:pPr>
        <w:jc w:val="both"/>
        <w:rPr>
          <w:rFonts w:ascii="Arial" w:hAnsi="Arial" w:cs="Arial"/>
          <w:i/>
          <w:u w:val="single"/>
        </w:rPr>
      </w:pPr>
      <w:r w:rsidRPr="006524F5">
        <w:rPr>
          <w:rFonts w:ascii="Arial" w:hAnsi="Arial" w:cs="Arial"/>
          <w:bCs/>
        </w:rPr>
        <w:t>The European Green Deal is effectively a response to challenge</w:t>
      </w:r>
      <w:r w:rsidR="000B395D">
        <w:rPr>
          <w:rFonts w:ascii="Arial" w:hAnsi="Arial" w:cs="Arial"/>
          <w:bCs/>
        </w:rPr>
        <w:t>s related to climate change [C2-5].</w:t>
      </w:r>
      <w:r w:rsidRPr="006524F5">
        <w:rPr>
          <w:rFonts w:ascii="Arial" w:hAnsi="Arial" w:cs="Arial"/>
          <w:bCs/>
        </w:rPr>
        <w:t xml:space="preserve"> It is also focused on a </w:t>
      </w:r>
      <w:r w:rsidRPr="006524F5">
        <w:rPr>
          <w:rFonts w:ascii="Arial" w:hAnsi="Arial" w:cs="Arial"/>
          <w:bCs/>
          <w:i/>
          <w:iCs/>
        </w:rPr>
        <w:t>“new growth strategy that aims to transform the EU into a fair and prosperous society, with a modern, resource-efficient and competitive economy where there are no net emissions of greenhouse gases in 2050 and where economic growth is decoupled from resource use”.</w:t>
      </w:r>
      <w:r w:rsidRPr="006524F5">
        <w:rPr>
          <w:rFonts w:ascii="Arial" w:hAnsi="Arial" w:cs="Arial"/>
          <w:bCs/>
        </w:rPr>
        <w:t xml:space="preserve"> </w:t>
      </w:r>
      <w:r>
        <w:rPr>
          <w:rFonts w:ascii="Arial" w:hAnsi="Arial" w:cs="Arial"/>
          <w:bCs/>
        </w:rPr>
        <w:t>Smart Networks and Services can contribute significantly to t</w:t>
      </w:r>
      <w:r w:rsidRPr="006524F5">
        <w:rPr>
          <w:rFonts w:ascii="Arial" w:hAnsi="Arial" w:cs="Arial"/>
          <w:bCs/>
        </w:rPr>
        <w:t>he multidimensional goals of the Green</w:t>
      </w:r>
      <w:r>
        <w:rPr>
          <w:rFonts w:ascii="Arial" w:hAnsi="Arial" w:cs="Arial"/>
          <w:bCs/>
        </w:rPr>
        <w:t xml:space="preserve"> Deal.</w:t>
      </w:r>
    </w:p>
    <w:p w14:paraId="4665872B" w14:textId="77777777" w:rsidR="005D64FB" w:rsidRPr="006524F5" w:rsidRDefault="005D64FB" w:rsidP="005D64FB">
      <w:pPr>
        <w:jc w:val="both"/>
        <w:rPr>
          <w:rFonts w:ascii="Arial" w:hAnsi="Arial" w:cs="Arial"/>
          <w:bCs/>
        </w:rPr>
      </w:pPr>
      <w:r w:rsidRPr="006524F5">
        <w:rPr>
          <w:rFonts w:ascii="Arial" w:hAnsi="Arial" w:cs="Arial"/>
          <w:bCs/>
        </w:rPr>
        <w:t xml:space="preserve">The technological revolution enabled by a myriad of technologies opened gates of green revolution transversal to all the facets of the economy and vertical domains. It is recognised that </w:t>
      </w:r>
      <w:r w:rsidRPr="006524F5">
        <w:rPr>
          <w:rFonts w:ascii="Arial" w:hAnsi="Arial" w:cs="Arial"/>
          <w:bCs/>
          <w:i/>
        </w:rPr>
        <w:t>“new technologies, sustainable solutions and disruptive innovation are critical to achieve the objectives of the European Green Deal”.</w:t>
      </w:r>
      <w:r w:rsidRPr="006524F5">
        <w:rPr>
          <w:rFonts w:ascii="Arial" w:hAnsi="Arial" w:cs="Arial"/>
          <w:bCs/>
        </w:rPr>
        <w:t xml:space="preserve"> </w:t>
      </w:r>
      <w:r>
        <w:rPr>
          <w:rFonts w:ascii="Arial" w:hAnsi="Arial" w:cs="Arial"/>
          <w:bCs/>
        </w:rPr>
        <w:t>Smart Network and Services will</w:t>
      </w:r>
      <w:r w:rsidRPr="006524F5">
        <w:rPr>
          <w:rFonts w:ascii="Arial" w:hAnsi="Arial" w:cs="Arial"/>
          <w:bCs/>
        </w:rPr>
        <w:t xml:space="preserve"> enable disruptive innovation within industries, across sectors and across the single market. This will result in building new innovative value chains while increasing significantly the large-scale </w:t>
      </w:r>
    </w:p>
    <w:p w14:paraId="3FFF60A7" w14:textId="79E0520B" w:rsidR="005D64FB" w:rsidRPr="00D434B6" w:rsidRDefault="005D64FB" w:rsidP="005D64FB">
      <w:pPr>
        <w:jc w:val="both"/>
        <w:rPr>
          <w:rFonts w:ascii="Arial" w:hAnsi="Arial" w:cs="Arial"/>
          <w:bCs/>
        </w:rPr>
      </w:pPr>
      <w:r w:rsidRPr="006524F5">
        <w:rPr>
          <w:rFonts w:ascii="Arial" w:hAnsi="Arial" w:cs="Arial"/>
          <w:bCs/>
        </w:rPr>
        <w:t>An</w:t>
      </w:r>
      <w:r>
        <w:rPr>
          <w:rFonts w:ascii="Arial" w:hAnsi="Arial" w:cs="Arial"/>
          <w:bCs/>
        </w:rPr>
        <w:t xml:space="preserve"> Smart Networks and Services Roadmap </w:t>
      </w:r>
      <w:r w:rsidRPr="006524F5">
        <w:rPr>
          <w:rFonts w:ascii="Arial" w:hAnsi="Arial" w:cs="Arial"/>
          <w:bCs/>
        </w:rPr>
        <w:t>will be created</w:t>
      </w:r>
      <w:r>
        <w:rPr>
          <w:rFonts w:ascii="Arial" w:hAnsi="Arial" w:cs="Arial"/>
          <w:bCs/>
        </w:rPr>
        <w:t>, as discussed i</w:t>
      </w:r>
      <w:r w:rsidR="000B395D">
        <w:rPr>
          <w:rFonts w:ascii="Arial" w:hAnsi="Arial" w:cs="Arial"/>
          <w:bCs/>
        </w:rPr>
        <w:t>n the SNS Partnership proposal [C1-16]</w:t>
      </w:r>
      <w:r>
        <w:rPr>
          <w:rFonts w:ascii="Arial" w:hAnsi="Arial" w:cs="Arial"/>
          <w:bCs/>
        </w:rPr>
        <w:t>,</w:t>
      </w:r>
      <w:r w:rsidRPr="006524F5">
        <w:rPr>
          <w:rFonts w:ascii="Arial" w:hAnsi="Arial" w:cs="Arial"/>
          <w:bCs/>
        </w:rPr>
        <w:t xml:space="preserve"> that includes focus areas and synchronises with the Green deal </w:t>
      </w:r>
      <w:r w:rsidRPr="006524F5">
        <w:rPr>
          <w:rFonts w:ascii="Arial" w:hAnsi="Arial" w:cs="Arial"/>
          <w:bCs/>
        </w:rPr>
        <w:lastRenderedPageBreak/>
        <w:t>timeline while anticipating and reacting towards upcoming Climate Pact and other upcoming directives.</w:t>
      </w:r>
    </w:p>
    <w:p w14:paraId="432BACF3" w14:textId="060EF2EB" w:rsidR="005D64FB" w:rsidRDefault="005D64FB" w:rsidP="005D64FB">
      <w:pPr>
        <w:jc w:val="both"/>
        <w:rPr>
          <w:rFonts w:ascii="Arial" w:hAnsi="Arial" w:cs="Arial"/>
          <w:bCs/>
          <w:color w:val="000000" w:themeColor="text1"/>
        </w:rPr>
      </w:pPr>
      <w:r w:rsidRPr="006524F5">
        <w:rPr>
          <w:rFonts w:ascii="Arial" w:hAnsi="Arial" w:cs="Arial"/>
          <w:bCs/>
          <w:color w:val="000000" w:themeColor="text1"/>
        </w:rPr>
        <w:t xml:space="preserve">The success of the Green Deal will be measured by its implementation milestones and the impact achieved by the related contributions to each focus area </w:t>
      </w:r>
      <w:r w:rsidR="00DA6395">
        <w:rPr>
          <w:rFonts w:ascii="Arial" w:hAnsi="Arial" w:cs="Arial"/>
        </w:rPr>
        <w:t>[C2-5].</w:t>
      </w:r>
      <w:r w:rsidRPr="006524F5">
        <w:rPr>
          <w:rFonts w:ascii="Arial" w:hAnsi="Arial" w:cs="Arial"/>
          <w:bCs/>
          <w:color w:val="000000" w:themeColor="text1"/>
        </w:rPr>
        <w:t xml:space="preserve"> During 2021-2027 time period, the </w:t>
      </w:r>
      <w:r>
        <w:rPr>
          <w:rFonts w:ascii="Arial" w:hAnsi="Arial" w:cs="Arial"/>
          <w:bCs/>
          <w:color w:val="000000" w:themeColor="text1"/>
        </w:rPr>
        <w:t>contribution of Smart Networks and Services</w:t>
      </w:r>
      <w:r w:rsidRPr="006524F5">
        <w:rPr>
          <w:rFonts w:ascii="Arial" w:hAnsi="Arial" w:cs="Arial"/>
          <w:bCs/>
          <w:color w:val="000000" w:themeColor="text1"/>
        </w:rPr>
        <w:t xml:space="preserve"> will be multidimensional and synchronised with the timeline of the critical milestones and the legislation rollouts where appropriate and possible. It will take all the elements of the value chains within the Partnership to make major parts of the Green Deal work.</w:t>
      </w:r>
    </w:p>
    <w:p w14:paraId="7D96CEA6" w14:textId="77777777" w:rsidR="005D64FB" w:rsidRPr="00FD5734" w:rsidRDefault="005D64FB" w:rsidP="005D64FB">
      <w:pPr>
        <w:keepNext/>
        <w:spacing w:after="120"/>
        <w:jc w:val="center"/>
        <w:rPr>
          <w:rFonts w:ascii="Arial" w:hAnsi="Arial" w:cs="Arial"/>
          <w:color w:val="000000" w:themeColor="text1"/>
        </w:rPr>
      </w:pPr>
      <w:r w:rsidRPr="00C6628B">
        <w:rPr>
          <w:rFonts w:ascii="Arial" w:hAnsi="Arial" w:cs="Arial"/>
          <w:noProof/>
          <w:color w:val="000000" w:themeColor="text1"/>
          <w:lang w:eastAsia="en-GB"/>
        </w:rPr>
        <w:drawing>
          <wp:inline distT="0" distB="0" distL="0" distR="0" wp14:anchorId="3526E7A1" wp14:editId="3090E448">
            <wp:extent cx="4647600" cy="2642400"/>
            <wp:effectExtent l="0" t="0" r="635" b="571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05 at 22.15.34.png"/>
                    <pic:cNvPicPr/>
                  </pic:nvPicPr>
                  <pic:blipFill>
                    <a:blip r:embed="rId13">
                      <a:extLst>
                        <a:ext uri="{28A0092B-C50C-407E-A947-70E740481C1C}">
                          <a14:useLocalDpi xmlns:a14="http://schemas.microsoft.com/office/drawing/2010/main" val="0"/>
                        </a:ext>
                      </a:extLst>
                    </a:blip>
                    <a:stretch>
                      <a:fillRect/>
                    </a:stretch>
                  </pic:blipFill>
                  <pic:spPr>
                    <a:xfrm>
                      <a:off x="0" y="0"/>
                      <a:ext cx="4647600" cy="2642400"/>
                    </a:xfrm>
                    <a:prstGeom prst="rect">
                      <a:avLst/>
                    </a:prstGeom>
                  </pic:spPr>
                </pic:pic>
              </a:graphicData>
            </a:graphic>
          </wp:inline>
        </w:drawing>
      </w:r>
    </w:p>
    <w:p w14:paraId="1D82B77C" w14:textId="37DE4466" w:rsidR="005D64FB" w:rsidRPr="005D2A31" w:rsidRDefault="005D64FB" w:rsidP="005D64FB">
      <w:pPr>
        <w:pStyle w:val="Caption"/>
        <w:tabs>
          <w:tab w:val="left" w:pos="1418"/>
          <w:tab w:val="right" w:pos="8789"/>
        </w:tabs>
        <w:spacing w:after="0"/>
        <w:ind w:right="231"/>
        <w:rPr>
          <w:rFonts w:ascii="Arial" w:hAnsi="Arial" w:cs="Arial"/>
          <w:color w:val="000000" w:themeColor="text1"/>
          <w:sz w:val="22"/>
          <w:szCs w:val="22"/>
        </w:rPr>
      </w:pPr>
      <w:r w:rsidRPr="005D2A31">
        <w:rPr>
          <w:rFonts w:ascii="Arial" w:hAnsi="Arial" w:cs="Arial"/>
          <w:color w:val="000000" w:themeColor="text1"/>
          <w:sz w:val="22"/>
          <w:szCs w:val="22"/>
          <w:lang w:val="en-US"/>
        </w:rPr>
        <w:t xml:space="preserve">Figure </w:t>
      </w:r>
      <w:r w:rsidR="005D2A31" w:rsidRPr="005D2A31">
        <w:rPr>
          <w:rFonts w:ascii="Arial" w:hAnsi="Arial" w:cs="Arial"/>
          <w:color w:val="000000" w:themeColor="text1"/>
          <w:sz w:val="22"/>
          <w:szCs w:val="22"/>
          <w:lang w:val="en-US"/>
        </w:rPr>
        <w:t>2-1</w:t>
      </w:r>
      <w:r w:rsidRPr="005D2A31">
        <w:rPr>
          <w:rFonts w:ascii="Arial" w:hAnsi="Arial" w:cs="Arial"/>
          <w:color w:val="000000" w:themeColor="text1"/>
          <w:sz w:val="22"/>
          <w:szCs w:val="22"/>
          <w:lang w:val="en-US"/>
        </w:rPr>
        <w:t xml:space="preserve">. </w:t>
      </w:r>
      <w:r w:rsidRPr="005D2A31">
        <w:rPr>
          <w:rFonts w:ascii="Arial" w:hAnsi="Arial" w:cs="Arial"/>
          <w:color w:val="000000" w:themeColor="text1"/>
          <w:sz w:val="22"/>
          <w:szCs w:val="22"/>
        </w:rPr>
        <w:t>EU-Energy and Climate Targets 2018/2019 / Source: Euro</w:t>
      </w:r>
      <w:r w:rsidR="007368FD" w:rsidRPr="005D2A31">
        <w:rPr>
          <w:rFonts w:ascii="Arial" w:hAnsi="Arial" w:cs="Arial"/>
          <w:color w:val="000000" w:themeColor="text1"/>
          <w:sz w:val="22"/>
          <w:szCs w:val="22"/>
        </w:rPr>
        <w:t>pean Commission 2019 [C2-6].</w:t>
      </w:r>
    </w:p>
    <w:p w14:paraId="3AC5C938" w14:textId="77777777" w:rsidR="005D64FB" w:rsidRPr="00333FDB" w:rsidRDefault="005D64FB" w:rsidP="005D64FB">
      <w:pPr>
        <w:jc w:val="both"/>
        <w:rPr>
          <w:rFonts w:ascii="Arial" w:hAnsi="Arial" w:cs="Arial"/>
          <w:bCs/>
          <w:color w:val="000000" w:themeColor="text1"/>
        </w:rPr>
      </w:pPr>
    </w:p>
    <w:p w14:paraId="39F592C3" w14:textId="6EB73C56" w:rsidR="00CB3564" w:rsidRPr="00CB3564" w:rsidRDefault="005D64FB" w:rsidP="00DA6395">
      <w:pPr>
        <w:pStyle w:val="Heading3"/>
      </w:pPr>
      <w:bookmarkStart w:id="30" w:name="_Toc42177223"/>
      <w:r w:rsidRPr="008F3E84">
        <w:t>Full industrial digitization and support of vertical industries</w:t>
      </w:r>
      <w:bookmarkEnd w:id="30"/>
      <w:r w:rsidRPr="008F3E84">
        <w:t xml:space="preserve"> </w:t>
      </w:r>
    </w:p>
    <w:p w14:paraId="38566EC7" w14:textId="77777777" w:rsidR="005D64FB" w:rsidRPr="00CB3564" w:rsidRDefault="005D64FB" w:rsidP="007368FD">
      <w:pPr>
        <w:jc w:val="both"/>
        <w:rPr>
          <w:rFonts w:ascii="Arial" w:hAnsi="Arial" w:cs="Arial"/>
          <w:lang w:eastAsia="de-DE"/>
        </w:rPr>
      </w:pPr>
      <w:r w:rsidRPr="00CB3564">
        <w:rPr>
          <w:rFonts w:ascii="Arial" w:hAnsi="Arial" w:cs="Arial"/>
        </w:rPr>
        <w:t xml:space="preserve">Full industrial digitization is needed to empower virtually all sectors of society and economy. For this it is necessary to integrate business and technological enablers to support the future vertical domain applications requirements (e.g., new types of IoT devices and components, large number of devices and components that need to be accessed simultaneously etc.). </w:t>
      </w:r>
      <w:r w:rsidRPr="00CB3564">
        <w:rPr>
          <w:rFonts w:ascii="Arial" w:hAnsi="Arial" w:cs="Arial"/>
          <w:lang w:eastAsia="de-DE"/>
        </w:rPr>
        <w:t>At the same time, independently of the addressed vertical sectors, the digital transformation is needed to open new business opportunities related to the provision of end-to-end cybersecurity and privacy services. Thus, in the next decade it will be decisive for Europe to develop lead markets to ensure its competitiveness at a global scale and keep the technology leadership.</w:t>
      </w:r>
    </w:p>
    <w:p w14:paraId="66E48CA0" w14:textId="77777777" w:rsidR="005D64FB" w:rsidRPr="00CB3564" w:rsidRDefault="005D64FB" w:rsidP="00CB3564">
      <w:pPr>
        <w:jc w:val="both"/>
        <w:rPr>
          <w:rFonts w:ascii="Arial" w:hAnsi="Arial" w:cs="Arial"/>
        </w:rPr>
      </w:pPr>
      <w:r w:rsidRPr="00CB3564">
        <w:rPr>
          <w:rFonts w:ascii="Arial" w:hAnsi="Arial" w:cs="Arial"/>
        </w:rPr>
        <w:t>Telecommunication networks are an essential pillar of modern infrastructure. Each successive generation of telecommunication networks goes beyond a simple increase in speed or performance, bringing unique new service capabilities. Especially the step from LTE to 5G is showing a paradigm shift by supporting vertical sectors. The full digitization of the industry, the necessity to integrate technological and business enablers, and mainly the need to address European and global challenges across the full value chain have created the basis for new research and innovation targets. Communication Service Providers (CSPs) will need to adapt rapidly to this trend, offering new services over digital channels in several vertical domains creating strategic alliances with vertical sectors to build and offer powerful and persuasive B2B2X propositions. The full digitization of the industry (a.k.a. vertical sectors) will bring significant financial benefits and ensure the competitive edge of EU industry.</w:t>
      </w:r>
    </w:p>
    <w:p w14:paraId="68F3C923" w14:textId="77B0A872" w:rsidR="005D64FB" w:rsidRPr="00C93A46" w:rsidRDefault="005D64FB" w:rsidP="005D64FB">
      <w:pPr>
        <w:spacing w:after="120"/>
        <w:jc w:val="both"/>
        <w:rPr>
          <w:rFonts w:ascii="Arial" w:hAnsi="Arial" w:cs="Arial"/>
          <w:color w:val="000000" w:themeColor="text1"/>
        </w:rPr>
      </w:pPr>
      <w:r w:rsidRPr="00C93A46">
        <w:rPr>
          <w:rFonts w:ascii="Arial" w:hAnsi="Arial" w:cs="Arial"/>
          <w:color w:val="000000" w:themeColor="text1"/>
          <w:lang w:eastAsia="de-DE"/>
        </w:rPr>
        <w:lastRenderedPageBreak/>
        <w:t xml:space="preserve">Smart Networks and Services </w:t>
      </w:r>
      <w:r>
        <w:rPr>
          <w:rFonts w:ascii="Arial" w:hAnsi="Arial" w:cs="Arial"/>
          <w:color w:val="000000" w:themeColor="text1"/>
          <w:lang w:eastAsia="de-DE"/>
        </w:rPr>
        <w:t>will</w:t>
      </w:r>
      <w:r w:rsidRPr="00C93A46">
        <w:rPr>
          <w:rFonts w:ascii="Arial" w:hAnsi="Arial" w:cs="Arial"/>
          <w:color w:val="000000" w:themeColor="text1"/>
          <w:lang w:eastAsia="de-DE"/>
        </w:rPr>
        <w:t xml:space="preserve"> </w:t>
      </w:r>
      <w:r>
        <w:rPr>
          <w:rFonts w:ascii="Arial" w:hAnsi="Arial" w:cs="Arial"/>
          <w:color w:val="000000" w:themeColor="text1"/>
          <w:lang w:eastAsia="de-DE"/>
        </w:rPr>
        <w:t>empower</w:t>
      </w:r>
      <w:r w:rsidRPr="005C2ABD">
        <w:rPr>
          <w:rFonts w:ascii="Arial" w:hAnsi="Arial" w:cs="Arial"/>
          <w:color w:val="000000" w:themeColor="text1"/>
          <w:lang w:eastAsia="de-DE"/>
        </w:rPr>
        <w:t xml:space="preserve"> several vertical domains. An indicative list includes the automotive sector, </w:t>
      </w:r>
      <w:r w:rsidRPr="00C93A46">
        <w:rPr>
          <w:rFonts w:ascii="Arial" w:hAnsi="Arial" w:cs="Arial"/>
          <w:color w:val="000000" w:themeColor="text1"/>
          <w:lang w:eastAsia="de-DE"/>
        </w:rPr>
        <w:t xml:space="preserve">Healthcare and Wellness, Media and Entertainment, </w:t>
      </w:r>
      <w:r w:rsidRPr="00C93A46">
        <w:rPr>
          <w:rFonts w:ascii="Arial" w:hAnsi="Arial" w:cs="Arial"/>
          <w:color w:val="000000" w:themeColor="text1"/>
        </w:rPr>
        <w:t>Smart manufacturing, Smart Agriculture and Agri-food, Transport and Logistics, Smart Cities and Communities, Utilities and Energy, Smart Buildings, Public Safety, Smart (Air)ports, Smart Water Management etc. Improving the operation of these sectors will assist in providing solutions for several Sustainable Development Goals (SDGs) as defined by the UN and f</w:t>
      </w:r>
      <w:r w:rsidR="005D2A31">
        <w:rPr>
          <w:rFonts w:ascii="Arial" w:hAnsi="Arial" w:cs="Arial"/>
          <w:color w:val="000000" w:themeColor="text1"/>
        </w:rPr>
        <w:t>urther discussed in Section 2.</w:t>
      </w:r>
      <w:r>
        <w:rPr>
          <w:rFonts w:ascii="Arial" w:hAnsi="Arial" w:cs="Arial"/>
          <w:color w:val="000000" w:themeColor="text1"/>
        </w:rPr>
        <w:t>3</w:t>
      </w:r>
      <w:r w:rsidRPr="00C93A46">
        <w:rPr>
          <w:rFonts w:ascii="Arial" w:hAnsi="Arial" w:cs="Arial"/>
          <w:color w:val="000000" w:themeColor="text1"/>
        </w:rPr>
        <w:t>.</w:t>
      </w:r>
    </w:p>
    <w:p w14:paraId="6B783CF2" w14:textId="52BC47FF" w:rsidR="005D64FB" w:rsidRPr="000606B5" w:rsidRDefault="005D64FB" w:rsidP="005D64FB">
      <w:pPr>
        <w:jc w:val="both"/>
        <w:rPr>
          <w:rFonts w:ascii="Arial" w:hAnsi="Arial" w:cs="Arial"/>
          <w:color w:val="000000" w:themeColor="text1"/>
        </w:rPr>
      </w:pPr>
      <w:r w:rsidRPr="00C93A46">
        <w:rPr>
          <w:rFonts w:ascii="Arial" w:hAnsi="Arial" w:cs="Arial"/>
          <w:color w:val="000000" w:themeColor="text1"/>
        </w:rPr>
        <w:t xml:space="preserve">Currently, the </w:t>
      </w:r>
      <w:r w:rsidRPr="00C93A46">
        <w:rPr>
          <w:rFonts w:ascii="Arial" w:hAnsi="Arial" w:cs="Arial"/>
          <w:b/>
          <w:bCs/>
          <w:color w:val="000000" w:themeColor="text1"/>
        </w:rPr>
        <w:t>full digitisation of the industry is not yet achieved</w:t>
      </w:r>
      <w:r w:rsidRPr="00C93A46">
        <w:rPr>
          <w:rFonts w:ascii="Arial" w:hAnsi="Arial" w:cs="Arial"/>
          <w:color w:val="000000" w:themeColor="text1"/>
        </w:rPr>
        <w:t>. In standardisation activities most verticals have not been thoroughly examined to identify key and meaningful requirements. Even for those cases (e.g., Connected and Automated Mobility – CAM) where an extensive investigation has been made, the full support of the most advanced cases (i.e., implementation of critical services in an optimal autonomous driving mode</w:t>
      </w:r>
      <w:r>
        <w:rPr>
          <w:rFonts w:ascii="Arial" w:hAnsi="Arial" w:cs="Arial"/>
          <w:color w:val="000000" w:themeColor="text1"/>
        </w:rPr>
        <w:t xml:space="preserve"> in SAE levels 4 &amp; 5</w:t>
      </w:r>
      <w:r w:rsidRPr="005C2ABD">
        <w:rPr>
          <w:rFonts w:ascii="Arial" w:hAnsi="Arial" w:cs="Arial"/>
          <w:color w:val="000000" w:themeColor="text1"/>
        </w:rPr>
        <w:t>) cannot be yet supported by existing network solutions without having a full integration of mobility data. Therefore</w:t>
      </w:r>
      <w:r w:rsidRPr="005C2ABD">
        <w:rPr>
          <w:rFonts w:ascii="Arial" w:hAnsi="Arial" w:cs="Arial"/>
          <w:b/>
          <w:bCs/>
          <w:color w:val="000000" w:themeColor="text1"/>
        </w:rPr>
        <w:t>, the evolution of networks must take place hand in hand with the vertical industries</w:t>
      </w:r>
      <w:r w:rsidRPr="005C2ABD">
        <w:rPr>
          <w:rFonts w:ascii="Arial" w:hAnsi="Arial" w:cs="Arial"/>
          <w:color w:val="000000" w:themeColor="text1"/>
        </w:rPr>
        <w:t>. The telecommunication sector has to cooperate with the IoT world</w:t>
      </w:r>
      <w:r w:rsidRPr="00C93A46">
        <w:rPr>
          <w:rFonts w:ascii="Arial" w:hAnsi="Arial" w:cs="Arial"/>
          <w:color w:val="000000" w:themeColor="text1"/>
        </w:rPr>
        <w:t xml:space="preserve"> to a) identify specialised devices for e.g., industry automation, b) define appropriate and real-life requirements and c) validate that future networks can meet them. Also, this cooperation is needed to define the network to applications interfaces in a secure and trusted way </w:t>
      </w:r>
      <w:r w:rsidR="007368FD">
        <w:rPr>
          <w:rFonts w:ascii="Arial" w:hAnsi="Arial" w:cs="Arial"/>
          <w:color w:val="000000" w:themeColor="text1"/>
        </w:rPr>
        <w:t>[C2-7]</w:t>
      </w:r>
      <w:r w:rsidRPr="005C2ABD">
        <w:rPr>
          <w:rFonts w:ascii="Arial" w:hAnsi="Arial" w:cs="Arial"/>
          <w:color w:val="000000" w:themeColor="text1"/>
        </w:rPr>
        <w:t>.</w:t>
      </w:r>
      <w:r>
        <w:rPr>
          <w:rFonts w:ascii="Arial" w:hAnsi="Arial" w:cs="Arial"/>
          <w:color w:val="000000" w:themeColor="text1"/>
        </w:rPr>
        <w:t xml:space="preserve"> </w:t>
      </w:r>
      <w:r w:rsidRPr="000606B5">
        <w:rPr>
          <w:rFonts w:ascii="Arial" w:hAnsi="Arial" w:cs="Arial"/>
          <w:color w:val="000000" w:themeColor="text1"/>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416929B4" w14:textId="02EEC6FF" w:rsidR="005D64FB" w:rsidRDefault="005D64FB" w:rsidP="005D64FB">
      <w:pPr>
        <w:jc w:val="both"/>
        <w:rPr>
          <w:rFonts w:ascii="Arial" w:hAnsi="Arial" w:cs="Arial"/>
          <w:color w:val="000000" w:themeColor="text1"/>
        </w:rPr>
      </w:pPr>
      <w:r w:rsidRPr="000606B5">
        <w:rPr>
          <w:rFonts w:ascii="Arial" w:hAnsi="Arial" w:cs="Arial"/>
          <w:color w:val="000000" w:themeColor="text1"/>
        </w:rPr>
        <w:t>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providers for such devices as an additional source to latest technologies to complement the European value chain and mitigate the existing gaps.</w:t>
      </w:r>
    </w:p>
    <w:p w14:paraId="1E5DD965" w14:textId="77777777" w:rsidR="005D64FB" w:rsidRPr="00B07C6E" w:rsidRDefault="005D64FB" w:rsidP="005D64FB"/>
    <w:p w14:paraId="1169AC5F" w14:textId="27F6FFD0" w:rsidR="005D64FB" w:rsidRDefault="005D64FB" w:rsidP="005D64FB">
      <w:pPr>
        <w:pStyle w:val="Heading2"/>
        <w:rPr>
          <w:lang w:val="en-US"/>
        </w:rPr>
      </w:pPr>
      <w:bookmarkStart w:id="31" w:name="_Toc42177224"/>
      <w:r w:rsidRPr="00386A46">
        <w:rPr>
          <w:lang w:val="en-US"/>
        </w:rPr>
        <w:t>Societal, Economical and Business Drivers for 6G</w:t>
      </w:r>
      <w:bookmarkEnd w:id="31"/>
      <w:r w:rsidRPr="00386A46">
        <w:rPr>
          <w:lang w:val="en-US"/>
        </w:rPr>
        <w:t xml:space="preserve"> </w:t>
      </w:r>
    </w:p>
    <w:p w14:paraId="49C09572" w14:textId="77777777" w:rsidR="00C42C17" w:rsidRPr="00C42C17" w:rsidRDefault="00C42C17" w:rsidP="00C42C17">
      <w:pPr>
        <w:rPr>
          <w:lang w:val="en-US"/>
        </w:rPr>
      </w:pPr>
    </w:p>
    <w:p w14:paraId="1E06603A" w14:textId="15A93180" w:rsidR="005D64FB" w:rsidRDefault="005D64FB" w:rsidP="005D64FB">
      <w:pPr>
        <w:jc w:val="both"/>
        <w:rPr>
          <w:rFonts w:ascii="Arial" w:hAnsi="Arial" w:cs="Arial"/>
          <w:lang w:val="en-US"/>
        </w:rPr>
      </w:pPr>
      <w:r w:rsidRPr="00386A46">
        <w:rPr>
          <w:rFonts w:ascii="Arial" w:hAnsi="Arial" w:cs="Arial"/>
          <w:lang w:val="en-US"/>
        </w:rPr>
        <w:t xml:space="preserve">5G was mainly targeted to address the productivity demand </w:t>
      </w:r>
      <w:r>
        <w:rPr>
          <w:rFonts w:ascii="Arial" w:hAnsi="Arial" w:cs="Arial"/>
          <w:lang w:val="en-US"/>
        </w:rPr>
        <w:t xml:space="preserve">especially in vertical sectors </w:t>
      </w:r>
      <w:r w:rsidRPr="00386A46">
        <w:rPr>
          <w:rFonts w:ascii="Arial" w:hAnsi="Arial" w:cs="Arial"/>
          <w:lang w:val="en-US"/>
        </w:rPr>
        <w:t xml:space="preserve">and, to some extent, utilize new technology opportunities. With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we need a substantially more holistic approach and should include a larger community into the definition of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to address the goals, trends and demands to avoid merely commercially driven system definition. Even though 5G development was characterized to be driven by the verticals</w:t>
      </w:r>
      <w:r>
        <w:rPr>
          <w:rFonts w:ascii="Arial" w:hAnsi="Arial" w:cs="Arial"/>
          <w:lang w:val="en-US"/>
        </w:rPr>
        <w:t xml:space="preserve"> (URLLC and mMTC scenarios)</w:t>
      </w:r>
      <w:r w:rsidRPr="00386A46">
        <w:rPr>
          <w:rFonts w:ascii="Arial" w:hAnsi="Arial" w:cs="Arial"/>
          <w:lang w:val="en-US"/>
        </w:rPr>
        <w:t>, main emphasis was on deployments driven by mobile network operators (MNOs)</w:t>
      </w:r>
      <w:r>
        <w:rPr>
          <w:rFonts w:ascii="Arial" w:hAnsi="Arial" w:cs="Arial"/>
          <w:lang w:val="en-US"/>
        </w:rPr>
        <w:t xml:space="preserve"> for eMBB scenarios</w:t>
      </w:r>
      <w:r w:rsidRPr="00386A46">
        <w:rPr>
          <w:rFonts w:ascii="Arial" w:hAnsi="Arial" w:cs="Arial"/>
          <w:lang w:val="en-US"/>
        </w:rPr>
        <w:t xml:space="preserve">. On the other hand,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ervices will introduce super-efficient short-range connectivity solutions that are driven by new players in the market resulting in new ecosystems.</w:t>
      </w:r>
    </w:p>
    <w:p w14:paraId="1C5C554C" w14:textId="77777777" w:rsidR="00210FCA" w:rsidRDefault="00210FCA" w:rsidP="00210FCA">
      <w:pPr>
        <w:jc w:val="both"/>
        <w:rPr>
          <w:rFonts w:ascii="Arial" w:hAnsi="Arial" w:cs="Arial"/>
        </w:rPr>
      </w:pPr>
      <w:r>
        <w:rPr>
          <w:rFonts w:ascii="Arial" w:hAnsi="Arial" w:cs="Arial"/>
        </w:rPr>
        <w:t>This Strategic Research and Innovation Agenda is identifying future research topics in the mobile, wireless and general communications networking domain. In the community different terminology is used for future target systems:</w:t>
      </w:r>
    </w:p>
    <w:p w14:paraId="1D4104FA" w14:textId="77777777" w:rsidR="00210FCA" w:rsidRDefault="00210FCA" w:rsidP="00124439">
      <w:pPr>
        <w:pStyle w:val="CommentText"/>
        <w:numPr>
          <w:ilvl w:val="0"/>
          <w:numId w:val="80"/>
        </w:numPr>
        <w:spacing w:after="120"/>
        <w:ind w:left="714" w:hanging="357"/>
        <w:contextualSpacing/>
        <w:jc w:val="both"/>
        <w:rPr>
          <w:rFonts w:ascii="Arial" w:hAnsi="Arial" w:cs="Arial"/>
          <w:sz w:val="22"/>
          <w:szCs w:val="22"/>
        </w:rPr>
      </w:pPr>
      <w:r>
        <w:rPr>
          <w:rFonts w:ascii="Arial" w:hAnsi="Arial" w:cs="Arial"/>
          <w:sz w:val="22"/>
          <w:szCs w:val="22"/>
        </w:rPr>
        <w:lastRenderedPageBreak/>
        <w:t>5G evolution</w:t>
      </w:r>
    </w:p>
    <w:p w14:paraId="62689F6B" w14:textId="77777777" w:rsidR="00210FCA" w:rsidRDefault="00210FCA" w:rsidP="00124439">
      <w:pPr>
        <w:pStyle w:val="CommentText"/>
        <w:numPr>
          <w:ilvl w:val="0"/>
          <w:numId w:val="80"/>
        </w:numPr>
        <w:spacing w:after="120"/>
        <w:ind w:left="714" w:hanging="357"/>
        <w:contextualSpacing/>
        <w:jc w:val="both"/>
        <w:rPr>
          <w:rFonts w:ascii="Arial" w:hAnsi="Arial" w:cs="Arial"/>
          <w:sz w:val="22"/>
          <w:szCs w:val="22"/>
        </w:rPr>
      </w:pPr>
      <w:r>
        <w:rPr>
          <w:rFonts w:ascii="Arial" w:hAnsi="Arial" w:cs="Arial"/>
          <w:sz w:val="22"/>
          <w:szCs w:val="22"/>
        </w:rPr>
        <w:t>Beyond 5G</w:t>
      </w:r>
    </w:p>
    <w:p w14:paraId="62B8B957" w14:textId="77777777" w:rsidR="00210FCA" w:rsidRDefault="00210FCA" w:rsidP="00124439">
      <w:pPr>
        <w:pStyle w:val="CommentText"/>
        <w:numPr>
          <w:ilvl w:val="0"/>
          <w:numId w:val="80"/>
        </w:numPr>
        <w:spacing w:after="120"/>
        <w:ind w:left="714" w:hanging="357"/>
        <w:jc w:val="both"/>
        <w:rPr>
          <w:rFonts w:ascii="Arial" w:hAnsi="Arial" w:cs="Arial"/>
          <w:sz w:val="22"/>
          <w:szCs w:val="22"/>
        </w:rPr>
      </w:pPr>
      <w:r>
        <w:rPr>
          <w:rFonts w:ascii="Arial" w:hAnsi="Arial" w:cs="Arial"/>
          <w:sz w:val="22"/>
          <w:szCs w:val="22"/>
        </w:rPr>
        <w:t>6G</w:t>
      </w:r>
    </w:p>
    <w:p w14:paraId="63AB26E7" w14:textId="77777777" w:rsidR="00210FCA" w:rsidRDefault="00210FCA" w:rsidP="00210FCA">
      <w:pPr>
        <w:pStyle w:val="CommentText"/>
        <w:jc w:val="both"/>
        <w:rPr>
          <w:rFonts w:ascii="Arial" w:hAnsi="Arial" w:cs="Arial"/>
          <w:sz w:val="22"/>
          <w:szCs w:val="22"/>
        </w:rPr>
      </w:pPr>
      <w:r>
        <w:rPr>
          <w:rFonts w:ascii="Arial" w:hAnsi="Arial" w:cs="Arial"/>
          <w:sz w:val="22"/>
          <w:szCs w:val="22"/>
        </w:rPr>
        <w:t>In the coming years the actually developed and deployed 5G mobile communication system will be further developed in upcoming 3GPP Releases to provide more challenging capabilities beyond the today’s 5G vision to support newly identified requirements, e.g. from vertical domains. This is an evolutionary development by taking into account today’s investments.</w:t>
      </w:r>
    </w:p>
    <w:p w14:paraId="38006620" w14:textId="77777777" w:rsidR="00210FCA" w:rsidRDefault="00210FCA" w:rsidP="00210FCA">
      <w:pPr>
        <w:pStyle w:val="CommentText"/>
        <w:jc w:val="both"/>
        <w:rPr>
          <w:rFonts w:ascii="Arial" w:hAnsi="Arial" w:cs="Arial"/>
          <w:sz w:val="22"/>
          <w:szCs w:val="22"/>
        </w:rPr>
      </w:pPr>
      <w:r>
        <w:rPr>
          <w:rFonts w:ascii="Arial" w:hAnsi="Arial" w:cs="Arial"/>
          <w:sz w:val="22"/>
          <w:szCs w:val="22"/>
        </w:rPr>
        <w:t>Experience in the last decades has shown that developments in policy objectives, society, business drivers, technology and applications domains are continuing, which will result in and allow significantly more challenging requirements than can be supported by today’s and evolved systems. This leads to systems beyond 5G. Disruptive technology breakthroughs such as a new paradigm of a triangle of the physical (hardware systems), digital (software systems) and biological (wetware systems) worlds for real-time applications will allow completely new services and applications which eventually leads to 6G. These are for the time being targets for research and innovation with a time horizon of about 10 years from now.</w:t>
      </w:r>
    </w:p>
    <w:p w14:paraId="025ABD49" w14:textId="77777777" w:rsidR="00210FCA" w:rsidRDefault="00210FCA" w:rsidP="00210FCA">
      <w:pPr>
        <w:pStyle w:val="CommentText"/>
        <w:spacing w:after="0"/>
        <w:jc w:val="both"/>
        <w:rPr>
          <w:rFonts w:ascii="Arial" w:hAnsi="Arial" w:cs="Arial"/>
          <w:sz w:val="22"/>
          <w:szCs w:val="22"/>
        </w:rPr>
      </w:pPr>
      <w:r>
        <w:rPr>
          <w:rFonts w:ascii="Arial" w:hAnsi="Arial" w:cs="Arial"/>
          <w:sz w:val="22"/>
          <w:szCs w:val="22"/>
        </w:rPr>
        <w:t>Therefore, there is always the duality of</w:t>
      </w:r>
    </w:p>
    <w:p w14:paraId="6E1C3CF5" w14:textId="77777777" w:rsidR="00210FCA" w:rsidRDefault="00210FCA" w:rsidP="00124439">
      <w:pPr>
        <w:pStyle w:val="CommentText"/>
        <w:numPr>
          <w:ilvl w:val="0"/>
          <w:numId w:val="81"/>
        </w:numPr>
        <w:spacing w:after="120"/>
        <w:ind w:left="714" w:hanging="357"/>
        <w:contextualSpacing/>
        <w:jc w:val="both"/>
        <w:rPr>
          <w:rFonts w:ascii="Arial" w:hAnsi="Arial" w:cs="Arial"/>
          <w:sz w:val="22"/>
          <w:szCs w:val="22"/>
        </w:rPr>
      </w:pPr>
      <w:r>
        <w:rPr>
          <w:rFonts w:ascii="Arial" w:hAnsi="Arial" w:cs="Arial"/>
          <w:sz w:val="22"/>
          <w:szCs w:val="22"/>
        </w:rPr>
        <w:t>an evolutionary further development of today’s systems (i.e. 5G), its standardization and deployment and</w:t>
      </w:r>
    </w:p>
    <w:p w14:paraId="4C5B7FFC" w14:textId="77777777" w:rsidR="00210FCA" w:rsidRDefault="00210FCA" w:rsidP="00124439">
      <w:pPr>
        <w:pStyle w:val="CommentText"/>
        <w:numPr>
          <w:ilvl w:val="0"/>
          <w:numId w:val="81"/>
        </w:numPr>
        <w:spacing w:after="120"/>
        <w:ind w:left="714" w:hanging="357"/>
        <w:jc w:val="both"/>
        <w:rPr>
          <w:rFonts w:ascii="Arial" w:hAnsi="Arial" w:cs="Arial"/>
          <w:sz w:val="22"/>
          <w:szCs w:val="22"/>
        </w:rPr>
      </w:pPr>
      <w:r>
        <w:rPr>
          <w:rFonts w:ascii="Arial" w:hAnsi="Arial" w:cs="Arial"/>
          <w:sz w:val="22"/>
          <w:szCs w:val="22"/>
        </w:rPr>
        <w:t>in parallel revolutionary disruptive research towards systems beyond 5G / 6G with a ten years’ time horizon.</w:t>
      </w:r>
    </w:p>
    <w:p w14:paraId="6D49D690" w14:textId="77777777" w:rsidR="00210FCA" w:rsidRDefault="00210FCA" w:rsidP="00210FCA">
      <w:pPr>
        <w:pStyle w:val="CommentText"/>
        <w:jc w:val="both"/>
        <w:rPr>
          <w:rFonts w:ascii="Arial" w:hAnsi="Arial" w:cs="Arial"/>
          <w:sz w:val="22"/>
          <w:szCs w:val="22"/>
        </w:rPr>
      </w:pPr>
      <w:r>
        <w:rPr>
          <w:rFonts w:ascii="Arial" w:hAnsi="Arial" w:cs="Arial"/>
          <w:sz w:val="22"/>
          <w:szCs w:val="22"/>
        </w:rPr>
        <w:t>It is essential to follow this dual approach to initiate research and innovation activities at an early stage in this globally very competitive environment to keep pace and shape future developments, generate essential IPRs and to be prepared for the next technology steps.</w:t>
      </w:r>
    </w:p>
    <w:p w14:paraId="16DCB01A" w14:textId="0E701707" w:rsidR="00210FCA" w:rsidRPr="00210FCA" w:rsidRDefault="00210FCA" w:rsidP="00210FCA">
      <w:pPr>
        <w:pStyle w:val="CommentText"/>
        <w:jc w:val="both"/>
        <w:rPr>
          <w:rFonts w:ascii="Arial" w:hAnsi="Arial" w:cs="Arial"/>
          <w:sz w:val="22"/>
          <w:szCs w:val="22"/>
        </w:rPr>
      </w:pPr>
      <w:r>
        <w:rPr>
          <w:rFonts w:ascii="Arial" w:hAnsi="Arial" w:cs="Arial"/>
          <w:sz w:val="22"/>
          <w:szCs w:val="22"/>
        </w:rPr>
        <w:t>The different time horizons of the evolutionary path and the disruptive path need to be considered to put the overall development and investment cycles into perspective.</w:t>
      </w:r>
    </w:p>
    <w:p w14:paraId="75A64EE2" w14:textId="10CC27B9" w:rsidR="005D64FB" w:rsidRPr="00386A46" w:rsidRDefault="005D64FB" w:rsidP="005D64FB">
      <w:pPr>
        <w:jc w:val="both"/>
        <w:rPr>
          <w:rFonts w:ascii="Arial" w:hAnsi="Arial" w:cs="Arial"/>
          <w:lang w:val="en-US"/>
        </w:rPr>
      </w:pPr>
      <w:r w:rsidRPr="00386A46">
        <w:rPr>
          <w:rFonts w:ascii="Arial" w:hAnsi="Arial" w:cs="Arial"/>
          <w:lang w:val="en-US"/>
        </w:rPr>
        <w:t xml:space="preserve">Societal and business drivers will increasingly shape the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development, including political, economic, social, technological, legal and environmental (PESTLE) drivers as summarized in </w:t>
      </w:r>
      <w:r w:rsidR="00DA6395">
        <w:rPr>
          <w:rFonts w:ascii="Arial" w:hAnsi="Arial" w:cs="Arial"/>
          <w:lang w:val="en-US"/>
        </w:rPr>
        <w:t xml:space="preserve">Figure 2-2, </w:t>
      </w:r>
      <w:r w:rsidR="009E4D45">
        <w:rPr>
          <w:rFonts w:ascii="Arial" w:hAnsi="Arial" w:cs="Arial"/>
          <w:lang w:val="en-US"/>
        </w:rPr>
        <w:t>whereas Figure 1-1 captures the functionalities behind the drivers</w:t>
      </w:r>
      <w:r w:rsidRPr="00386A46">
        <w:rPr>
          <w:rFonts w:ascii="Arial" w:hAnsi="Arial" w:cs="Arial"/>
          <w:lang w:val="en-US"/>
        </w:rPr>
        <w:t xml:space="preserve">. To ensure that the benefits of </w:t>
      </w:r>
      <w:r w:rsidRPr="00386A46">
        <w:rPr>
          <w:rFonts w:ascii="Arial" w:hAnsi="Arial" w:cs="Arial"/>
          <w:b/>
          <w:lang w:val="en-US"/>
        </w:rPr>
        <w:t xml:space="preserve">smart city </w:t>
      </w:r>
      <w:r w:rsidRPr="00386A46">
        <w:rPr>
          <w:rFonts w:ascii="Arial" w:hAnsi="Arial" w:cs="Arial"/>
          <w:lang w:val="en-US"/>
        </w:rPr>
        <w:t xml:space="preserve">services and urbanization are fully shared and inclusive, policies to manage urban growth need to ensure access to infrastructure and social services for all, focusing on the needs of the urban poor and other vulnerable groups for housing, education, health care, decent work and a safe environment. The rise of always-connected, omni-present systems, gadgets and sensors serving digital automation of critical processes will set high requirements for trustworthiness and </w:t>
      </w:r>
      <w:r w:rsidRPr="00386A46">
        <w:rPr>
          <w:rFonts w:ascii="Arial" w:hAnsi="Arial" w:cs="Arial"/>
          <w:b/>
          <w:lang w:val="en-US"/>
        </w:rPr>
        <w:t>resilience</w:t>
      </w:r>
      <w:r w:rsidRPr="00386A46">
        <w:rPr>
          <w:rFonts w:ascii="Arial" w:hAnsi="Arial" w:cs="Arial"/>
          <w:lang w:val="en-US"/>
        </w:rPr>
        <w:t xml:space="preserve">. The ubiquitous connectivity and contextual </w:t>
      </w:r>
      <w:r w:rsidRPr="00386A46">
        <w:rPr>
          <w:rFonts w:ascii="Arial" w:hAnsi="Arial" w:cs="Arial"/>
          <w:b/>
          <w:lang w:val="en-US"/>
        </w:rPr>
        <w:t>awareness</w:t>
      </w:r>
      <w:r w:rsidRPr="00386A46">
        <w:rPr>
          <w:rFonts w:ascii="Arial" w:hAnsi="Arial" w:cs="Arial"/>
          <w:lang w:val="en-US"/>
        </w:rPr>
        <w:t xml:space="preserve"> of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networks is expected to promote ICT accessibility and use for the social and economic development of people with specific needs, including indigenous people and people living in rural areas. Thus, future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architecture fosters digital </w:t>
      </w:r>
      <w:r w:rsidRPr="00386A46">
        <w:rPr>
          <w:rFonts w:ascii="Arial" w:hAnsi="Arial" w:cs="Arial"/>
          <w:b/>
          <w:lang w:val="en-US"/>
        </w:rPr>
        <w:t>inclusion</w:t>
      </w:r>
      <w:r w:rsidRPr="00386A46">
        <w:rPr>
          <w:rFonts w:ascii="Arial" w:hAnsi="Arial" w:cs="Arial"/>
          <w:lang w:val="en-US"/>
        </w:rPr>
        <w:t xml:space="preserve"> and accessibility unlocking also </w:t>
      </w:r>
      <w:r w:rsidRPr="00386A46">
        <w:rPr>
          <w:rFonts w:ascii="Arial" w:hAnsi="Arial" w:cs="Arial"/>
          <w:b/>
          <w:lang w:val="en-US"/>
        </w:rPr>
        <w:t>rural economic</w:t>
      </w:r>
      <w:r w:rsidRPr="00386A46">
        <w:rPr>
          <w:rFonts w:ascii="Arial" w:hAnsi="Arial" w:cs="Arial"/>
          <w:lang w:val="en-US"/>
        </w:rPr>
        <w:t xml:space="preserve"> values and opportunities. </w:t>
      </w:r>
    </w:p>
    <w:p w14:paraId="082D2EB0" w14:textId="5A46E92A" w:rsidR="005D64FB" w:rsidRPr="00386A46" w:rsidRDefault="005D64FB" w:rsidP="005D64FB">
      <w:pPr>
        <w:jc w:val="both"/>
        <w:rPr>
          <w:rFonts w:ascii="Arial" w:hAnsi="Arial" w:cs="Arial"/>
          <w:lang w:val="en-US"/>
        </w:rPr>
      </w:pPr>
      <w:r w:rsidRPr="00386A46">
        <w:rPr>
          <w:rFonts w:ascii="Arial" w:hAnsi="Arial" w:cs="Arial"/>
          <w:lang w:val="en-US"/>
        </w:rPr>
        <w:t xml:space="preserve">High energy efficiency targeting reduced network energy consumption is a critical requirement for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Combined with the optimization of choice, use, reuse and recycling of materials throughout the product life cycle enable reduced total cost of ownership, facilitates the extension of network connectivity to remote areas, and provides network access in a sustainable and more </w:t>
      </w:r>
      <w:r w:rsidRPr="00386A46">
        <w:rPr>
          <w:rFonts w:ascii="Arial" w:hAnsi="Arial" w:cs="Arial"/>
          <w:b/>
          <w:lang w:val="en-US"/>
        </w:rPr>
        <w:t>resource-efficient</w:t>
      </w:r>
      <w:r w:rsidRPr="00386A46">
        <w:rPr>
          <w:rFonts w:ascii="Arial" w:hAnsi="Arial" w:cs="Arial"/>
          <w:lang w:val="en-US"/>
        </w:rPr>
        <w:t xml:space="preserve"> way. Extensive research has been conducted into possible health effects of exposure to many parts of the frequency spectrum including mobile phones and base stations. All reviews conducted so far have indicated that exposures below the limits recommended in the ICNIRP (</w:t>
      </w:r>
      <w:r w:rsidR="007368FD">
        <w:rPr>
          <w:rFonts w:ascii="Arial" w:hAnsi="Arial" w:cs="Arial"/>
          <w:lang w:val="en-US"/>
        </w:rPr>
        <w:t>2020</w:t>
      </w:r>
      <w:r w:rsidRPr="00386A46">
        <w:rPr>
          <w:rFonts w:ascii="Arial" w:hAnsi="Arial" w:cs="Arial"/>
          <w:lang w:val="en-US"/>
        </w:rPr>
        <w:t xml:space="preserve">) </w:t>
      </w:r>
      <w:r w:rsidRPr="00386A46">
        <w:rPr>
          <w:rFonts w:ascii="Arial" w:hAnsi="Arial" w:cs="Arial"/>
          <w:b/>
          <w:lang w:val="en-US"/>
        </w:rPr>
        <w:t>EMF</w:t>
      </w:r>
      <w:r w:rsidRPr="00386A46">
        <w:rPr>
          <w:rFonts w:ascii="Arial" w:hAnsi="Arial" w:cs="Arial"/>
          <w:lang w:val="en-US"/>
        </w:rPr>
        <w:t xml:space="preserve"> guidelines</w:t>
      </w:r>
      <w:r w:rsidR="007368FD">
        <w:rPr>
          <w:rFonts w:ascii="Arial" w:hAnsi="Arial" w:cs="Arial"/>
          <w:lang w:val="en-US"/>
        </w:rPr>
        <w:t xml:space="preserve"> [C2-8, C2-9]</w:t>
      </w:r>
      <w:r w:rsidRPr="00386A46">
        <w:rPr>
          <w:rFonts w:ascii="Arial" w:hAnsi="Arial" w:cs="Arial"/>
          <w:lang w:val="en-US"/>
        </w:rPr>
        <w:t xml:space="preserve">, covering the full frequency range from 0-300 GHz, do not produce any known adverse health effect </w:t>
      </w:r>
      <w:r w:rsidRPr="00386A46">
        <w:rPr>
          <w:rFonts w:ascii="Arial" w:hAnsi="Arial" w:cs="Arial"/>
          <w:lang w:val="en-US"/>
        </w:rPr>
        <w:lastRenderedPageBreak/>
        <w:t xml:space="preserve">(UN WHO). Introduction of novel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technologies will initiate the need to review the status of the science and identify gaps in knowledge needing further research to make better health risk assessments. </w:t>
      </w:r>
    </w:p>
    <w:p w14:paraId="4864CFB5" w14:textId="77777777" w:rsidR="005D64FB" w:rsidRPr="00386A46" w:rsidRDefault="005D64FB" w:rsidP="005D64FB">
      <w:pPr>
        <w:jc w:val="both"/>
        <w:rPr>
          <w:rFonts w:ascii="Arial" w:hAnsi="Arial" w:cs="Arial"/>
          <w:i/>
          <w:lang w:val="en-US"/>
        </w:rPr>
      </w:pPr>
    </w:p>
    <w:p w14:paraId="5E812E51" w14:textId="77777777" w:rsidR="005D64FB" w:rsidRPr="00386A46" w:rsidRDefault="005D64FB" w:rsidP="005D64FB">
      <w:pPr>
        <w:jc w:val="center"/>
        <w:rPr>
          <w:rFonts w:ascii="Arial" w:hAnsi="Arial" w:cs="Arial"/>
          <w:i/>
        </w:rPr>
      </w:pPr>
      <w:r w:rsidRPr="00386A46">
        <w:rPr>
          <w:rFonts w:ascii="Arial" w:hAnsi="Arial" w:cs="Arial"/>
          <w:noProof/>
          <w:lang w:eastAsia="en-GB"/>
        </w:rPr>
        <w:drawing>
          <wp:inline distT="0" distB="0" distL="0" distR="0" wp14:anchorId="46C9EC23" wp14:editId="4B74DED2">
            <wp:extent cx="3945467" cy="3026421"/>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945467" cy="3026421"/>
                    </a:xfrm>
                    <a:prstGeom prst="rect">
                      <a:avLst/>
                    </a:prstGeom>
                  </pic:spPr>
                </pic:pic>
              </a:graphicData>
            </a:graphic>
          </wp:inline>
        </w:drawing>
      </w:r>
    </w:p>
    <w:p w14:paraId="1CDAB1EB" w14:textId="1D5C6EAD" w:rsidR="005D64FB" w:rsidRPr="005D2A31" w:rsidRDefault="005D64FB" w:rsidP="005D64FB">
      <w:pPr>
        <w:keepNext/>
        <w:jc w:val="both"/>
        <w:rPr>
          <w:rFonts w:ascii="Arial" w:hAnsi="Arial" w:cs="Arial"/>
          <w:b/>
          <w:color w:val="000000" w:themeColor="text1"/>
          <w:lang w:val="en-US"/>
        </w:rPr>
      </w:pPr>
      <w:r w:rsidRPr="005D2A31">
        <w:rPr>
          <w:rFonts w:ascii="Arial" w:hAnsi="Arial" w:cs="Arial"/>
          <w:b/>
          <w:color w:val="000000" w:themeColor="text1"/>
          <w:lang w:val="en-US"/>
        </w:rPr>
        <w:t xml:space="preserve">Figure </w:t>
      </w:r>
      <w:r w:rsidR="005D2A31" w:rsidRPr="005D2A31">
        <w:rPr>
          <w:rFonts w:ascii="Arial" w:hAnsi="Arial" w:cs="Arial"/>
          <w:b/>
          <w:color w:val="000000" w:themeColor="text1"/>
        </w:rPr>
        <w:t>2-2</w:t>
      </w:r>
      <w:r w:rsidRPr="005D2A31">
        <w:rPr>
          <w:rFonts w:ascii="Arial" w:hAnsi="Arial" w:cs="Arial"/>
          <w:b/>
          <w:color w:val="000000" w:themeColor="text1"/>
          <w:lang w:val="en-US"/>
        </w:rPr>
        <w:t>. Future Networks PESTLE (Political, Economic, Social, Technological, Legal and Environmental) analysis results highlight inclusion, sustainability and transparency</w:t>
      </w:r>
      <w:r w:rsidR="005D2A31" w:rsidRPr="005D2A31">
        <w:rPr>
          <w:rFonts w:ascii="Arial" w:hAnsi="Arial" w:cs="Arial"/>
          <w:b/>
          <w:color w:val="000000" w:themeColor="text1"/>
          <w:lang w:val="en-US"/>
        </w:rPr>
        <w:t>.</w:t>
      </w:r>
    </w:p>
    <w:p w14:paraId="5B3338AE" w14:textId="77777777" w:rsidR="00853BE0" w:rsidRDefault="005D64FB" w:rsidP="00853BE0">
      <w:pPr>
        <w:keepNext/>
        <w:spacing w:after="0"/>
        <w:jc w:val="both"/>
        <w:rPr>
          <w:rFonts w:ascii="Arial" w:hAnsi="Arial" w:cs="Arial"/>
          <w:b/>
          <w:color w:val="000000" w:themeColor="text1"/>
          <w:sz w:val="18"/>
          <w:szCs w:val="18"/>
          <w:lang w:val="en-US"/>
        </w:rPr>
      </w:pPr>
      <w:r w:rsidRPr="00386A46">
        <w:rPr>
          <w:rFonts w:ascii="Arial" w:hAnsi="Arial" w:cs="Arial"/>
          <w:lang w:val="en-US"/>
        </w:rPr>
        <w:br/>
      </w:r>
      <w:r w:rsidRPr="00386A46">
        <w:rPr>
          <w:rFonts w:ascii="Arial" w:hAnsi="Arial" w:cs="Arial"/>
          <w:b/>
          <w:bCs/>
          <w:lang w:val="en-US"/>
        </w:rPr>
        <w:t>Data ownership</w:t>
      </w:r>
      <w:r w:rsidRPr="00386A46">
        <w:rPr>
          <w:rFonts w:ascii="Arial" w:hAnsi="Arial" w:cs="Arial"/>
          <w:lang w:val="en-US"/>
        </w:rPr>
        <w:t xml:space="preserve"> is a source of value creation and control. Therefore, creating a system that transforms how data is collected, prioritized, and shared can create strong initial controversy, e.g., through raising serious </w:t>
      </w:r>
      <w:r w:rsidRPr="00386A46">
        <w:rPr>
          <w:rFonts w:ascii="Arial" w:hAnsi="Arial" w:cs="Arial"/>
          <w:b/>
          <w:bCs/>
          <w:lang w:val="en-US"/>
        </w:rPr>
        <w:t>privacy</w:t>
      </w:r>
      <w:r w:rsidRPr="00386A46">
        <w:rPr>
          <w:rFonts w:ascii="Arial" w:hAnsi="Arial" w:cs="Arial"/>
          <w:lang w:val="en-US"/>
        </w:rPr>
        <w:t xml:space="preserve"> concerns over location and data. Furthermore, how to do business with data itself becomes a key question. The </w:t>
      </w:r>
      <w:r w:rsidRPr="00386A46">
        <w:rPr>
          <w:rFonts w:ascii="Arial" w:hAnsi="Arial" w:cs="Arial"/>
          <w:b/>
          <w:bCs/>
          <w:lang w:val="en-US"/>
        </w:rPr>
        <w:t xml:space="preserve">contractual </w:t>
      </w:r>
      <w:r w:rsidRPr="00386A46">
        <w:rPr>
          <w:rFonts w:ascii="Arial" w:hAnsi="Arial" w:cs="Arial"/>
          <w:lang w:val="en-US"/>
        </w:rPr>
        <w:t>policies between the actors will define the relative strengths of information and data ownership between parties, for example how the trust and ownership of information and data will be established in the autonomous smart device and service entities of the future.</w:t>
      </w:r>
      <w:r w:rsidR="00C42C17">
        <w:rPr>
          <w:rFonts w:ascii="Arial" w:hAnsi="Arial" w:cs="Arial"/>
          <w:lang w:val="en-US"/>
        </w:rPr>
        <w:t xml:space="preserve"> GDPR is one example of such policies.</w:t>
      </w:r>
      <w:r w:rsidRPr="00386A46">
        <w:rPr>
          <w:rFonts w:ascii="Arial" w:hAnsi="Arial" w:cs="Arial"/>
          <w:lang w:val="en-US"/>
        </w:rPr>
        <w:br/>
        <w:t xml:space="preserve">While operations in the lower frequency bands (below 4 GHz) currently used for </w:t>
      </w:r>
      <w:r>
        <w:rPr>
          <w:rFonts w:ascii="Arial" w:hAnsi="Arial" w:cs="Arial"/>
          <w:lang w:val="en-US"/>
        </w:rPr>
        <w:t xml:space="preserve">wide area </w:t>
      </w:r>
      <w:r w:rsidRPr="00386A46">
        <w:rPr>
          <w:rFonts w:ascii="Arial" w:hAnsi="Arial" w:cs="Arial"/>
          <w:lang w:val="en-US"/>
        </w:rPr>
        <w:t xml:space="preserve">mobile communication networks will remain rather stable with MNO market dominance due to long-term spectrum licenses, there will be new bands that target super-efficient short-range networks, especially indoors, but also in outdoor city spaces. These networks will target verticals with specialized demand and can be deployed by different stakeholders opening the market to new players, new investments and new ecosystems. Building several overlapping ultra-dense networks becomes infeasible and will lead to different stakeholders deploying a network within a facility to serve multiple user groups and services. Via softwarization and virtualization of network functions and opening of interfaces, </w:t>
      </w:r>
      <w:r w:rsidRPr="00386A46">
        <w:rPr>
          <w:rFonts w:ascii="Arial" w:hAnsi="Arial" w:cs="Arial"/>
          <w:b/>
          <w:lang w:val="en-US"/>
        </w:rPr>
        <w:t>sharing economy</w:t>
      </w:r>
      <w:r w:rsidRPr="00386A46">
        <w:rPr>
          <w:rFonts w:ascii="Arial" w:hAnsi="Arial" w:cs="Arial"/>
          <w:lang w:val="en-US"/>
        </w:rPr>
        <w:t xml:space="preserve"> concepts will be utilized not only at high platform business layers but widely in network connectivity and data context layers. Changes in the ownership of spectrum access rights, networks, network resources, facilities and customers will result in several different combinations depending on </w:t>
      </w:r>
      <w:r w:rsidRPr="00386A46">
        <w:rPr>
          <w:rFonts w:ascii="Arial" w:hAnsi="Arial" w:cs="Arial"/>
          <w:lang w:val="en-US"/>
        </w:rPr>
        <w:lastRenderedPageBreak/>
        <w:t xml:space="preserve">the situation as different facilities have different requirements and infrastructures. New incentives will arise including functioning of the society. </w:t>
      </w:r>
    </w:p>
    <w:p w14:paraId="782E3846" w14:textId="01AD44AA" w:rsidR="005D64FB" w:rsidRPr="00386A46" w:rsidRDefault="005D64FB" w:rsidP="00853BE0">
      <w:pPr>
        <w:keepNext/>
        <w:spacing w:after="0"/>
        <w:jc w:val="both"/>
        <w:rPr>
          <w:rFonts w:ascii="Arial" w:hAnsi="Arial" w:cs="Arial"/>
          <w:b/>
          <w:color w:val="000000" w:themeColor="text1"/>
          <w:sz w:val="18"/>
          <w:szCs w:val="18"/>
          <w:lang w:val="en-US"/>
        </w:rPr>
      </w:pPr>
      <w:r w:rsidRPr="00386A46">
        <w:rPr>
          <w:rFonts w:ascii="Arial" w:hAnsi="Arial" w:cs="Arial"/>
          <w:lang w:val="en-US"/>
        </w:rPr>
        <w:t xml:space="preserve">As a sharing economy, </w:t>
      </w:r>
      <w:r>
        <w:rPr>
          <w:rFonts w:ascii="Arial" w:hAnsi="Arial" w:cs="Arial"/>
          <w:lang w:val="en-US"/>
        </w:rPr>
        <w:t>S</w:t>
      </w:r>
      <w:r w:rsidRPr="00386A46">
        <w:rPr>
          <w:rFonts w:ascii="Arial" w:hAnsi="Arial" w:cs="Arial"/>
          <w:lang w:val="en-US"/>
        </w:rPr>
        <w:t xml:space="preserve">mart </w:t>
      </w:r>
      <w:r>
        <w:rPr>
          <w:rFonts w:ascii="Arial" w:hAnsi="Arial" w:cs="Arial"/>
          <w:lang w:val="en-US"/>
        </w:rPr>
        <w:t>N</w:t>
      </w:r>
      <w:r w:rsidRPr="00386A46">
        <w:rPr>
          <w:rFonts w:ascii="Arial" w:hAnsi="Arial" w:cs="Arial"/>
          <w:lang w:val="en-US"/>
        </w:rPr>
        <w:t xml:space="preserve">etworks and </w:t>
      </w:r>
      <w:r>
        <w:rPr>
          <w:rFonts w:ascii="Arial" w:hAnsi="Arial" w:cs="Arial"/>
          <w:lang w:val="en-US"/>
        </w:rPr>
        <w:t>S</w:t>
      </w:r>
      <w:r w:rsidRPr="00386A46">
        <w:rPr>
          <w:rFonts w:ascii="Arial" w:hAnsi="Arial" w:cs="Arial"/>
          <w:lang w:val="en-US"/>
        </w:rPr>
        <w:t xml:space="preserve">ervices ecosystem will introduce new stakeholder roles and change the existing roles resulting in a complex network as outlined in </w:t>
      </w:r>
      <w:r w:rsidR="00DA6395">
        <w:rPr>
          <w:rFonts w:ascii="Arial" w:hAnsi="Arial" w:cs="Arial"/>
          <w:lang w:val="en-US"/>
        </w:rPr>
        <w:t>Figure 2-3</w:t>
      </w:r>
      <w:r w:rsidRPr="00386A46">
        <w:rPr>
          <w:rFonts w:ascii="Arial" w:hAnsi="Arial" w:cs="Arial"/>
          <w:lang w:val="en-US"/>
        </w:rPr>
        <w:t xml:space="preserve">. While the MNO market dominance continues in 5G, future </w:t>
      </w:r>
      <w:r w:rsidRPr="00C42C17">
        <w:rPr>
          <w:rFonts w:ascii="Arial" w:hAnsi="Arial" w:cs="Arial"/>
          <w:lang w:val="en-US"/>
        </w:rPr>
        <w:t>connectivity solutions can be driven by new players in the market</w:t>
      </w:r>
      <w:r w:rsidRPr="00386A46">
        <w:rPr>
          <w:rFonts w:ascii="Arial" w:hAnsi="Arial" w:cs="Arial"/>
          <w:color w:val="1F497D"/>
          <w:lang w:val="en-US"/>
        </w:rPr>
        <w:t>.</w:t>
      </w:r>
      <w:r w:rsidRPr="00386A46">
        <w:rPr>
          <w:rFonts w:ascii="Arial" w:hAnsi="Arial" w:cs="Arial"/>
          <w:lang w:val="en-US"/>
        </w:rPr>
        <w:t xml:space="preserve"> Stakeholders representing the different types of </w:t>
      </w:r>
      <w:r w:rsidRPr="00386A46">
        <w:rPr>
          <w:rFonts w:ascii="Arial" w:hAnsi="Arial" w:cs="Arial"/>
          <w:b/>
          <w:lang w:val="en-US"/>
        </w:rPr>
        <w:t>demands and needs</w:t>
      </w:r>
      <w:r w:rsidRPr="00386A46">
        <w:rPr>
          <w:rFonts w:ascii="Arial" w:hAnsi="Arial" w:cs="Arial"/>
          <w:lang w:val="en-US"/>
        </w:rPr>
        <w:t xml:space="preserve"> originating from a variety of users that can be human or machine, and specific to the public sector or enterprises in different verticals are in the middle</w:t>
      </w:r>
      <w:r w:rsidRPr="00386A46">
        <w:rPr>
          <w:rFonts w:ascii="Arial" w:hAnsi="Arial" w:cs="Arial"/>
          <w:lang w:val="en"/>
        </w:rPr>
        <w:t xml:space="preserve"> quadrangle in </w:t>
      </w:r>
      <w:r w:rsidR="00DA6395">
        <w:rPr>
          <w:rFonts w:ascii="Arial" w:hAnsi="Arial" w:cs="Arial"/>
          <w:lang w:val="en"/>
        </w:rPr>
        <w:t>Figure 2-3</w:t>
      </w:r>
      <w:r w:rsidRPr="00386A46">
        <w:rPr>
          <w:rFonts w:ascii="Arial" w:hAnsi="Arial" w:cs="Arial"/>
          <w:lang w:val="en"/>
        </w:rPr>
        <w:t>.</w:t>
      </w:r>
      <w:r w:rsidRPr="00386A46">
        <w:rPr>
          <w:rFonts w:ascii="Arial" w:hAnsi="Arial" w:cs="Arial"/>
          <w:lang w:val="en-US"/>
        </w:rPr>
        <w:t xml:space="preserve"> </w:t>
      </w:r>
      <w:r w:rsidRPr="00386A46">
        <w:rPr>
          <w:rFonts w:ascii="Arial" w:hAnsi="Arial" w:cs="Arial"/>
          <w:b/>
          <w:lang w:val="en-US"/>
        </w:rPr>
        <w:t>Resources and assets</w:t>
      </w:r>
      <w:r w:rsidRPr="00386A46">
        <w:rPr>
          <w:rFonts w:ascii="Arial" w:hAnsi="Arial" w:cs="Arial"/>
          <w:lang w:val="en-US"/>
        </w:rPr>
        <w:t xml:space="preserve"> needed to meet the versatile needs are then provided by different stakeholder roles providing physical infrastructure (facilities, sites), equipment (devices, networks), data (content, context), under the regulatory framework set by the policy makers as depicted in the outer</w:t>
      </w:r>
      <w:r w:rsidRPr="00386A46">
        <w:rPr>
          <w:rFonts w:ascii="Arial" w:hAnsi="Arial" w:cs="Arial"/>
          <w:lang w:val="en"/>
        </w:rPr>
        <w:t xml:space="preserve"> quadrangle.</w:t>
      </w:r>
      <w:r w:rsidRPr="00386A46">
        <w:rPr>
          <w:rFonts w:ascii="Arial" w:hAnsi="Arial" w:cs="Arial"/>
          <w:lang w:val="en-US"/>
        </w:rPr>
        <w:t xml:space="preserve"> Demands and resources are brought together through the </w:t>
      </w:r>
      <w:r w:rsidRPr="00386A46">
        <w:rPr>
          <w:rFonts w:ascii="Arial" w:hAnsi="Arial" w:cs="Arial"/>
          <w:b/>
          <w:lang w:val="en-US"/>
        </w:rPr>
        <w:t>matching/sharing</w:t>
      </w:r>
      <w:r w:rsidRPr="00386A46">
        <w:rPr>
          <w:rFonts w:ascii="Arial" w:hAnsi="Arial" w:cs="Arial"/>
          <w:lang w:val="en-US"/>
        </w:rPr>
        <w:t xml:space="preserve"> stakeholder roles including different kinds of operators (local or vertical-specific operators, fixed operators, mobile network operators, satellite operators), resource brokers, and various service/application providers such as trust/security providers. </w:t>
      </w:r>
    </w:p>
    <w:p w14:paraId="2031E093" w14:textId="59B6C61E" w:rsidR="005D64FB" w:rsidRPr="00386A46" w:rsidRDefault="005D64FB" w:rsidP="005D64FB">
      <w:pPr>
        <w:jc w:val="both"/>
        <w:rPr>
          <w:rFonts w:ascii="Arial" w:hAnsi="Arial" w:cs="Arial"/>
          <w:lang w:val="en-US"/>
        </w:rPr>
      </w:pPr>
      <w:r w:rsidRPr="00386A46">
        <w:rPr>
          <w:rFonts w:ascii="Arial" w:hAnsi="Arial" w:cs="Arial"/>
          <w:lang w:val="en-US"/>
        </w:rPr>
        <w:t xml:space="preserve">Overall, the stakeholder roles in future networks are seen to change compared to the current mobile business ecosystem </w:t>
      </w:r>
      <w:r>
        <w:rPr>
          <w:rFonts w:ascii="Arial" w:hAnsi="Arial" w:cs="Arial"/>
          <w:lang w:val="en-US"/>
        </w:rPr>
        <w:t xml:space="preserve">for public wide area networks </w:t>
      </w:r>
      <w:r w:rsidRPr="00386A46">
        <w:rPr>
          <w:rFonts w:ascii="Arial" w:hAnsi="Arial" w:cs="Arial"/>
          <w:lang w:val="en-US"/>
        </w:rPr>
        <w:t xml:space="preserve">and totally new roles will emerge. It is expected that especially the drivers listed in </w:t>
      </w:r>
      <w:r w:rsidR="00DA6395">
        <w:rPr>
          <w:rFonts w:ascii="Arial" w:hAnsi="Arial" w:cs="Arial"/>
          <w:lang w:val="en-US"/>
        </w:rPr>
        <w:t>Figure 2-2</w:t>
      </w:r>
      <w:r w:rsidRPr="00386A46">
        <w:rPr>
          <w:rFonts w:ascii="Arial" w:hAnsi="Arial" w:cs="Arial"/>
          <w:lang w:val="en-US"/>
        </w:rPr>
        <w:t xml:space="preserve"> will fundamentally change the ecosystem and open new opportunities for different kind of stakeholders in 6G. The matching and sharing of resources to meet the demands will take place through new kind of activities to ensure inclusion, sustainability and transparency. Ultimately, the emergence and shape of the new 6G ecosystem are dependent on regulations which </w:t>
      </w:r>
      <w:r>
        <w:rPr>
          <w:rFonts w:ascii="Arial" w:hAnsi="Arial" w:cs="Arial"/>
          <w:lang w:val="en-US"/>
        </w:rPr>
        <w:t xml:space="preserve">may </w:t>
      </w:r>
      <w:r w:rsidRPr="00386A46">
        <w:rPr>
          <w:rFonts w:ascii="Arial" w:hAnsi="Arial" w:cs="Arial"/>
          <w:lang w:val="en-US"/>
        </w:rPr>
        <w:t xml:space="preserve">promote or hinder the developments. </w:t>
      </w:r>
    </w:p>
    <w:p w14:paraId="348126B8" w14:textId="77777777" w:rsidR="005D64FB" w:rsidRPr="00386A46" w:rsidRDefault="005D64FB" w:rsidP="005D64FB">
      <w:pPr>
        <w:jc w:val="both"/>
        <w:rPr>
          <w:rFonts w:ascii="Arial" w:hAnsi="Arial" w:cs="Arial"/>
        </w:rPr>
      </w:pPr>
      <w:r w:rsidRPr="00386A46">
        <w:rPr>
          <w:rFonts w:ascii="Arial" w:hAnsi="Arial" w:cs="Arial"/>
          <w:noProof/>
          <w:lang w:eastAsia="en-GB"/>
        </w:rPr>
        <w:drawing>
          <wp:inline distT="0" distB="0" distL="0" distR="0" wp14:anchorId="5D94EB8A" wp14:editId="351CF163">
            <wp:extent cx="5854670" cy="3335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854670" cy="3335655"/>
                    </a:xfrm>
                    <a:prstGeom prst="rect">
                      <a:avLst/>
                    </a:prstGeom>
                  </pic:spPr>
                </pic:pic>
              </a:graphicData>
            </a:graphic>
          </wp:inline>
        </w:drawing>
      </w:r>
    </w:p>
    <w:p w14:paraId="59B726FA" w14:textId="0634A9EE" w:rsidR="005D64FB" w:rsidRPr="005D2A31" w:rsidRDefault="005D64FB" w:rsidP="005D64FB">
      <w:pPr>
        <w:pStyle w:val="Caption"/>
        <w:rPr>
          <w:rFonts w:ascii="Arial" w:hAnsi="Arial" w:cs="Arial"/>
          <w:b w:val="0"/>
          <w:bCs w:val="0"/>
          <w:i/>
          <w:iCs/>
          <w:color w:val="000000" w:themeColor="text1"/>
          <w:sz w:val="22"/>
          <w:szCs w:val="22"/>
          <w:lang w:val="en-US"/>
        </w:rPr>
      </w:pPr>
      <w:r w:rsidRPr="005D2A31">
        <w:rPr>
          <w:rFonts w:ascii="Arial" w:hAnsi="Arial" w:cs="Arial"/>
          <w:color w:val="000000" w:themeColor="text1"/>
          <w:sz w:val="22"/>
          <w:szCs w:val="22"/>
        </w:rPr>
        <w:t xml:space="preserve">Figure </w:t>
      </w:r>
      <w:r w:rsidR="005D2A31" w:rsidRPr="005D2A31">
        <w:rPr>
          <w:rFonts w:ascii="Arial" w:hAnsi="Arial" w:cs="Arial"/>
          <w:color w:val="000000" w:themeColor="text1"/>
          <w:sz w:val="22"/>
          <w:szCs w:val="22"/>
        </w:rPr>
        <w:t>2-3</w:t>
      </w:r>
      <w:r w:rsidRPr="005D2A31">
        <w:rPr>
          <w:rFonts w:ascii="Arial" w:hAnsi="Arial" w:cs="Arial"/>
          <w:color w:val="000000" w:themeColor="text1"/>
          <w:sz w:val="22"/>
          <w:szCs w:val="22"/>
          <w:lang w:val="en-US"/>
        </w:rPr>
        <w:t>. Stakeholders in future Wireless ecosystem.</w:t>
      </w:r>
    </w:p>
    <w:p w14:paraId="625F1F42" w14:textId="77777777" w:rsidR="005D64FB" w:rsidRPr="004D24E4" w:rsidRDefault="005D64FB" w:rsidP="005D64FB">
      <w:pPr>
        <w:jc w:val="both"/>
        <w:rPr>
          <w:rFonts w:ascii="Arial" w:hAnsi="Arial" w:cs="Arial"/>
          <w:lang w:val="en-US"/>
        </w:rPr>
      </w:pPr>
    </w:p>
    <w:p w14:paraId="763F0A07" w14:textId="77777777" w:rsidR="005D64FB" w:rsidRPr="00386A46" w:rsidRDefault="005D64FB" w:rsidP="005D64FB">
      <w:pPr>
        <w:jc w:val="both"/>
        <w:rPr>
          <w:rFonts w:ascii="Arial" w:hAnsi="Arial" w:cs="Arial"/>
          <w:lang w:val="en-US"/>
        </w:rPr>
      </w:pPr>
      <w:r w:rsidRPr="00386A46">
        <w:rPr>
          <w:rFonts w:ascii="Arial" w:hAnsi="Arial" w:cs="Arial"/>
          <w:lang w:val="en-US"/>
        </w:rPr>
        <w:t>The Smart Networks and Services vision results in a set of generic requirements to generate the envisioned societal and economic impact and to make the digital automation of everything happen. The following is a list of initial and indicative key requirements:</w:t>
      </w:r>
    </w:p>
    <w:p w14:paraId="6B70B3B0"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lastRenderedPageBreak/>
        <w:t>Network operation will be automised allowing self-operating networks requiring the human operators to only validate the decisions of the system. Human intervention will be minimised, to correct/adjust the system-based decisions.</w:t>
      </w:r>
    </w:p>
    <w:p w14:paraId="5DAA5E99"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Service deployment time will be reduced by a factor of 10 compared to similar tasks in 2020, based on slice creation and on the instantiation of the provider virtual machines where needed to deliver the service.</w:t>
      </w:r>
    </w:p>
    <w:p w14:paraId="6BFBF091"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Full integration of technical operations (routing, security, authentication, accounting, etc.) and business operations (invoicing, help centre, configuration, accounting, CRM, service contract), in a seamless digital infostructure.</w:t>
      </w:r>
    </w:p>
    <w:p w14:paraId="3B48D47A"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Slice creation on the fly with negligible time across the combined cloud, edge and fog infostructure, including data-centre computers, telco-based computer, and vertical user computers.</w:t>
      </w:r>
    </w:p>
    <w:p w14:paraId="740C1213"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Terabits per second will provide seemingly infinite network capacity and multi-core MEC servers will provide the required computing power for the future digital applications and services. This requires smart and effective alignment of application intent with network service offerings, enabling the concept of energy-efficient open multi-service Next General Internet (NGI).</w:t>
      </w:r>
    </w:p>
    <w:p w14:paraId="0E1E673B"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Application to application response time in the sub-millisecond range (latency) must be supported to enable a new class of highly responsive and interactive applications as well as a new level of industrial automation.</w:t>
      </w:r>
    </w:p>
    <w:p w14:paraId="3F6AED85"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Ubiquitous networks and services must be trusted, secure and dependable in the support of critical applications, also when the related infrastructure is deployed in a multitenant environment. Personalised and perpetual protection and privacy must be provided to cover the expanding threat surface due to the trillions of IoT devices and can deal with the growing number of threats triggered by the increasing value of data.</w:t>
      </w:r>
    </w:p>
    <w:p w14:paraId="0426CBCE"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Trillions of things and systems, including critical ones, need to be connected in a scalable and cost-efficient way.</w:t>
      </w:r>
    </w:p>
    <w:p w14:paraId="5F65520F"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High efficiency in energy and natural resources usage is mandatory to limit the impact of ICT on climate change and sustain Earth resources. A significant energy reduction of network operation must be achieved.</w:t>
      </w:r>
    </w:p>
    <w:p w14:paraId="4D09FA71"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Combination of global reach, ubiquitous availability and optimised local service delivery capabilities, available on-demand, and enabling web-based software and IoT platforms.</w:t>
      </w:r>
    </w:p>
    <w:p w14:paraId="12D99799"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Spectrum efficiency above 256 bps/Hz will be achieved based on new waveforms and spatial reusability thanks to nanotechnology and massive MIMO techniques.</w:t>
      </w:r>
    </w:p>
    <w:p w14:paraId="40997431"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Means for geographical and social inclusion must be provided in order to allow ubiquitous affordable Internet access.</w:t>
      </w:r>
    </w:p>
    <w:p w14:paraId="5A0B4AB3" w14:textId="77777777" w:rsidR="005D64FB" w:rsidRPr="00386A46"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Infrastructure solutions should allow efficient deployment capital and operational expenditures, especially for very low-population density areas.</w:t>
      </w:r>
    </w:p>
    <w:p w14:paraId="7E3D9921" w14:textId="77777777" w:rsidR="005D64FB" w:rsidRPr="008C0859" w:rsidRDefault="005D64FB" w:rsidP="00124439">
      <w:pPr>
        <w:pStyle w:val="ListParagraph"/>
        <w:numPr>
          <w:ilvl w:val="1"/>
          <w:numId w:val="10"/>
        </w:numPr>
        <w:ind w:left="709" w:hanging="196"/>
        <w:jc w:val="both"/>
        <w:rPr>
          <w:rFonts w:ascii="Arial" w:hAnsi="Arial" w:cs="Arial"/>
          <w:lang w:val="en-US"/>
        </w:rPr>
      </w:pPr>
      <w:r w:rsidRPr="00386A46">
        <w:rPr>
          <w:rFonts w:ascii="Arial" w:hAnsi="Arial" w:cs="Arial"/>
          <w:lang w:val="en-US"/>
        </w:rPr>
        <w:t>Autonomous networks and systems based on AI and ML mechanisms combined with cyber physical security allowing to cope with the growing complexity and scale of operations. AI systems will enable intrusion/anomaly detection and effectively counteract distributed denial of service attacks coming from millions of hacked dev</w:t>
      </w:r>
      <w:r>
        <w:rPr>
          <w:rFonts w:ascii="Arial" w:hAnsi="Arial" w:cs="Arial"/>
          <w:lang w:val="en-US"/>
        </w:rPr>
        <w:t>ces</w:t>
      </w:r>
      <w:r w:rsidRPr="008C0859">
        <w:rPr>
          <w:rFonts w:ascii="Arial" w:hAnsi="Arial" w:cs="Arial"/>
          <w:lang w:val="en-US"/>
        </w:rPr>
        <w:t>Networks must be EMF-aware in order to allow deployment in areas with challenging EMF limits despite the operation in new additional spectrum bands and network densification.</w:t>
      </w:r>
    </w:p>
    <w:p w14:paraId="1C287A9B" w14:textId="77777777" w:rsidR="005D64FB" w:rsidRPr="00386A46" w:rsidRDefault="005D64FB" w:rsidP="005D64FB">
      <w:pPr>
        <w:pStyle w:val="ListParagraph"/>
        <w:spacing w:after="40" w:line="240" w:lineRule="auto"/>
        <w:ind w:left="567"/>
        <w:contextualSpacing w:val="0"/>
        <w:jc w:val="both"/>
        <w:rPr>
          <w:rFonts w:ascii="Arial" w:hAnsi="Arial" w:cs="Arial"/>
          <w:sz w:val="20"/>
          <w:szCs w:val="20"/>
        </w:rPr>
      </w:pPr>
    </w:p>
    <w:p w14:paraId="57F44A46" w14:textId="77777777" w:rsidR="005D64FB" w:rsidRPr="00CA1236" w:rsidRDefault="005D64FB" w:rsidP="005D64FB">
      <w:pPr>
        <w:rPr>
          <w:lang w:eastAsia="de-DE"/>
        </w:rPr>
      </w:pPr>
    </w:p>
    <w:p w14:paraId="51D24196" w14:textId="77777777" w:rsidR="005D64FB" w:rsidRDefault="005D64FB" w:rsidP="00DA6395">
      <w:pPr>
        <w:pStyle w:val="Heading3"/>
      </w:pPr>
      <w:bookmarkStart w:id="32" w:name="_Toc42177225"/>
      <w:r w:rsidRPr="006524F5">
        <w:lastRenderedPageBreak/>
        <w:t>Integrate new technologies and support emerging applications</w:t>
      </w:r>
      <w:bookmarkEnd w:id="32"/>
    </w:p>
    <w:p w14:paraId="0A2AEF63" w14:textId="77777777" w:rsidR="005D64FB" w:rsidRDefault="005D64FB" w:rsidP="005D64FB">
      <w:pPr>
        <w:spacing w:after="120"/>
        <w:jc w:val="both"/>
        <w:rPr>
          <w:rFonts w:ascii="Arial" w:hAnsi="Arial" w:cs="Arial"/>
          <w:color w:val="000000" w:themeColor="text1"/>
          <w:lang w:eastAsia="de-DE"/>
        </w:rPr>
      </w:pPr>
      <w:r w:rsidRPr="005C2ABD">
        <w:rPr>
          <w:rFonts w:ascii="Arial" w:hAnsi="Arial" w:cs="Arial"/>
          <w:color w:val="000000" w:themeColor="text1"/>
          <w:lang w:eastAsia="de-DE"/>
        </w:rPr>
        <w:t>The support of</w:t>
      </w:r>
      <w:r w:rsidRPr="005C2ABD">
        <w:rPr>
          <w:rFonts w:ascii="Arial" w:hAnsi="Arial" w:cs="Arial"/>
          <w:b/>
          <w:bCs/>
          <w:color w:val="000000" w:themeColor="text1"/>
          <w:lang w:eastAsia="de-DE"/>
        </w:rPr>
        <w:t xml:space="preserve"> emerging applications</w:t>
      </w:r>
      <w:r w:rsidRPr="005C2ABD">
        <w:rPr>
          <w:rFonts w:ascii="Arial" w:hAnsi="Arial" w:cs="Arial"/>
          <w:color w:val="000000" w:themeColor="text1"/>
          <w:lang w:eastAsia="de-DE"/>
        </w:rPr>
        <w:t xml:space="preserve"> (e.g., I</w:t>
      </w:r>
      <w:r w:rsidRPr="00C93A46">
        <w:rPr>
          <w:rFonts w:ascii="Arial" w:hAnsi="Arial" w:cs="Arial"/>
          <w:color w:val="000000" w:themeColor="text1"/>
          <w:lang w:eastAsia="de-DE"/>
        </w:rPr>
        <w:t xml:space="preserve">nternet of senses, holographic communications, full autonomous driving etc.) will require the improvement of the offered capabilities of B5G systems in terms of </w:t>
      </w:r>
      <w:r w:rsidRPr="00C93A46">
        <w:rPr>
          <w:rFonts w:ascii="Arial" w:hAnsi="Arial" w:cs="Arial"/>
          <w:b/>
          <w:bCs/>
          <w:color w:val="000000" w:themeColor="text1"/>
          <w:lang w:eastAsia="de-DE"/>
        </w:rPr>
        <w:t>Key Performance Indicators (KPIs) by at least an order of magnitude</w:t>
      </w:r>
      <w:r w:rsidRPr="00C93A46">
        <w:rPr>
          <w:rFonts w:ascii="Arial" w:hAnsi="Arial" w:cs="Arial"/>
          <w:color w:val="000000" w:themeColor="text1"/>
          <w:lang w:eastAsia="de-DE"/>
        </w:rPr>
        <w:t xml:space="preserve">. </w:t>
      </w:r>
    </w:p>
    <w:p w14:paraId="2C2E5EEA" w14:textId="77777777" w:rsidR="005D64FB" w:rsidRDefault="005D64FB" w:rsidP="005D64FB">
      <w:pPr>
        <w:keepNext/>
        <w:keepLines/>
        <w:spacing w:after="120"/>
        <w:jc w:val="both"/>
        <w:rPr>
          <w:rFonts w:ascii="Arial" w:hAnsi="Arial" w:cs="Arial"/>
          <w:color w:val="000000" w:themeColor="text1"/>
        </w:rPr>
      </w:pPr>
      <w:r w:rsidRPr="005C2ABD">
        <w:rPr>
          <w:rFonts w:ascii="Arial" w:hAnsi="Arial" w:cs="Arial"/>
          <w:color w:val="000000" w:themeColor="text1"/>
        </w:rPr>
        <w:t>New innovations are closely related to</w:t>
      </w:r>
      <w:r w:rsidRPr="00C93A46">
        <w:rPr>
          <w:rFonts w:ascii="Arial" w:hAnsi="Arial" w:cs="Arial"/>
          <w:color w:val="000000" w:themeColor="text1"/>
        </w:rPr>
        <w:t xml:space="preserve"> social inclusion and personal wellbeing, for example, as they are about the </w:t>
      </w:r>
      <w:r w:rsidRPr="00684D9A">
        <w:rPr>
          <w:rFonts w:ascii="Arial" w:hAnsi="Arial" w:cs="Arial"/>
          <w:color w:val="000000" w:themeColor="text1"/>
        </w:rPr>
        <w:t>digital transformation of industries and businesses</w:t>
      </w:r>
      <w:r w:rsidRPr="00C93A46">
        <w:rPr>
          <w:rFonts w:ascii="Arial" w:hAnsi="Arial" w:cs="Arial"/>
          <w:color w:val="000000" w:themeColor="text1"/>
        </w:rPr>
        <w:t xml:space="preserve">. These changes will </w:t>
      </w:r>
      <w:r w:rsidRPr="00E80275">
        <w:rPr>
          <w:rFonts w:ascii="Arial" w:hAnsi="Arial" w:cs="Arial"/>
          <w:b/>
          <w:bCs/>
          <w:color w:val="000000" w:themeColor="text1"/>
        </w:rPr>
        <w:t>require a flexible and programmable architecture to satisfy the large diversity of use cases and applications</w:t>
      </w:r>
      <w:r w:rsidRPr="00C93A46">
        <w:rPr>
          <w:rFonts w:ascii="Arial" w:hAnsi="Arial" w:cs="Arial"/>
          <w:color w:val="000000" w:themeColor="text1"/>
        </w:rPr>
        <w:t>. In addition, the next generation of networks beyond 5G will go from software-centric towards the concept of human-centric: considering human skills, activities and behaviours first, and using automated functions to support them. The benefits can include reduced risk, higher rates of compliance, enhanced management support and improved interaction with users.</w:t>
      </w:r>
      <w:r>
        <w:rPr>
          <w:rFonts w:ascii="Arial" w:hAnsi="Arial" w:cs="Arial"/>
          <w:color w:val="000000" w:themeColor="text1"/>
        </w:rPr>
        <w:t xml:space="preserve"> These new functionalities have to come hand in hand with </w:t>
      </w:r>
      <w:r w:rsidRPr="00E80275">
        <w:rPr>
          <w:rFonts w:ascii="Arial" w:hAnsi="Arial" w:cs="Arial"/>
          <w:b/>
          <w:bCs/>
          <w:color w:val="000000" w:themeColor="text1"/>
        </w:rPr>
        <w:t>advanced security and privacy schemes</w:t>
      </w:r>
      <w:r>
        <w:rPr>
          <w:rFonts w:ascii="Arial" w:hAnsi="Arial" w:cs="Arial"/>
          <w:color w:val="000000" w:themeColor="text1"/>
        </w:rPr>
        <w:t xml:space="preserve"> to safeguard sensitive information for the users. </w:t>
      </w:r>
    </w:p>
    <w:p w14:paraId="09FC0875" w14:textId="77777777" w:rsidR="005D64FB" w:rsidRPr="005C2ABD" w:rsidRDefault="005D64FB" w:rsidP="005D64FB">
      <w:pPr>
        <w:spacing w:after="120"/>
        <w:jc w:val="both"/>
        <w:rPr>
          <w:rFonts w:ascii="Arial" w:hAnsi="Arial" w:cs="Arial"/>
          <w:color w:val="000000" w:themeColor="text1"/>
        </w:rPr>
      </w:pPr>
      <w:r w:rsidRPr="00684D9A">
        <w:rPr>
          <w:rFonts w:ascii="Arial" w:hAnsi="Arial" w:cs="Arial"/>
          <w:color w:val="000000" w:themeColor="text1"/>
          <w:lang w:eastAsia="de-DE"/>
        </w:rPr>
        <w:t xml:space="preserve">Additional modifications are also expected due to the requirements that will emerge through the </w:t>
      </w:r>
      <w:r w:rsidRPr="00E80275">
        <w:rPr>
          <w:rFonts w:ascii="Arial" w:hAnsi="Arial" w:cs="Arial"/>
          <w:b/>
          <w:bCs/>
          <w:color w:val="000000" w:themeColor="text1"/>
          <w:lang w:eastAsia="de-DE"/>
        </w:rPr>
        <w:t>full digitization of the vertical industries.</w:t>
      </w:r>
      <w:r w:rsidRPr="00684D9A">
        <w:rPr>
          <w:rFonts w:ascii="Arial" w:hAnsi="Arial" w:cs="Arial"/>
          <w:color w:val="000000" w:themeColor="text1"/>
          <w:lang w:eastAsia="de-DE"/>
        </w:rPr>
        <w:t xml:space="preserve"> Moreover, the operation of multiple logical networks (a.k.a. network slices) over the underlying network infrastructure support</w:t>
      </w:r>
      <w:r>
        <w:rPr>
          <w:rFonts w:ascii="Arial" w:hAnsi="Arial" w:cs="Arial"/>
          <w:color w:val="000000" w:themeColor="text1"/>
          <w:lang w:eastAsia="de-DE"/>
        </w:rPr>
        <w:t xml:space="preserve">ing </w:t>
      </w:r>
      <w:r w:rsidRPr="00684D9A">
        <w:rPr>
          <w:rFonts w:ascii="Arial" w:hAnsi="Arial" w:cs="Arial"/>
          <w:color w:val="000000" w:themeColor="text1"/>
          <w:lang w:eastAsia="de-DE"/>
        </w:rPr>
        <w:t>multiple vertical industries</w:t>
      </w:r>
      <w:r>
        <w:rPr>
          <w:rFonts w:ascii="Arial" w:hAnsi="Arial" w:cs="Arial"/>
          <w:color w:val="000000" w:themeColor="text1"/>
          <w:lang w:eastAsia="de-DE"/>
        </w:rPr>
        <w:t xml:space="preserve">, </w:t>
      </w:r>
      <w:r w:rsidRPr="00684D9A">
        <w:rPr>
          <w:rFonts w:ascii="Arial" w:hAnsi="Arial" w:cs="Arial"/>
          <w:color w:val="000000" w:themeColor="text1"/>
          <w:lang w:eastAsia="de-DE"/>
        </w:rPr>
        <w:t xml:space="preserve">will increase considerably the </w:t>
      </w:r>
      <w:r w:rsidRPr="00E80275">
        <w:rPr>
          <w:rFonts w:ascii="Arial" w:hAnsi="Arial" w:cs="Arial"/>
          <w:b/>
          <w:bCs/>
          <w:color w:val="000000" w:themeColor="text1"/>
          <w:lang w:eastAsia="de-DE"/>
        </w:rPr>
        <w:t>complexity of the overall system</w:t>
      </w:r>
      <w:r w:rsidRPr="00684D9A">
        <w:rPr>
          <w:rFonts w:ascii="Arial" w:hAnsi="Arial" w:cs="Arial"/>
          <w:color w:val="000000" w:themeColor="text1"/>
          <w:lang w:eastAsia="de-DE"/>
        </w:rPr>
        <w:t>.</w:t>
      </w:r>
      <w:r>
        <w:rPr>
          <w:rFonts w:ascii="Arial" w:hAnsi="Arial" w:cs="Arial"/>
          <w:color w:val="000000" w:themeColor="text1"/>
          <w:lang w:eastAsia="de-DE"/>
        </w:rPr>
        <w:t xml:space="preserve"> </w:t>
      </w:r>
      <w:r w:rsidRPr="00C93A46">
        <w:rPr>
          <w:rFonts w:ascii="Arial" w:hAnsi="Arial" w:cs="Arial"/>
          <w:b/>
          <w:bCs/>
          <w:color w:val="000000" w:themeColor="text1"/>
        </w:rPr>
        <w:t>A new set of technological enablers has to be adopted by future communication</w:t>
      </w:r>
      <w:r w:rsidRPr="00C93A46">
        <w:rPr>
          <w:rFonts w:ascii="Arial" w:hAnsi="Arial" w:cs="Arial"/>
          <w:color w:val="000000" w:themeColor="text1"/>
        </w:rPr>
        <w:t>, such as advanced IoT solutions, Artificial Intelligence (AI) &amp; Machine Learning, cloud &amp; edge computing and cybersecurity</w:t>
      </w:r>
      <w:r>
        <w:rPr>
          <w:rFonts w:ascii="Arial" w:hAnsi="Arial" w:cs="Arial"/>
          <w:color w:val="000000" w:themeColor="text1"/>
        </w:rPr>
        <w:t>.</w:t>
      </w:r>
      <w:r w:rsidRPr="00C93A46">
        <w:rPr>
          <w:rFonts w:ascii="Arial" w:hAnsi="Arial" w:cs="Arial"/>
          <w:color w:val="000000" w:themeColor="text1"/>
        </w:rPr>
        <w:t xml:space="preserve"> Meeting the performance KPIs, also requires a more extensive use of </w:t>
      </w:r>
      <w:r w:rsidRPr="00C93A46">
        <w:rPr>
          <w:rFonts w:ascii="Arial" w:hAnsi="Arial" w:cs="Arial"/>
          <w:i/>
          <w:iCs/>
          <w:color w:val="000000" w:themeColor="text1"/>
        </w:rPr>
        <w:t>high-performance distributed computing</w:t>
      </w:r>
      <w:r w:rsidRPr="00C93A46">
        <w:rPr>
          <w:rFonts w:ascii="Arial" w:hAnsi="Arial" w:cs="Arial"/>
          <w:color w:val="000000" w:themeColor="text1"/>
        </w:rPr>
        <w:t>. This way</w:t>
      </w:r>
      <w:r>
        <w:rPr>
          <w:rFonts w:ascii="Arial" w:hAnsi="Arial" w:cs="Arial"/>
          <w:color w:val="000000" w:themeColor="text1"/>
        </w:rPr>
        <w:t>,</w:t>
      </w:r>
      <w:r w:rsidRPr="00C93A46">
        <w:rPr>
          <w:rFonts w:ascii="Arial" w:hAnsi="Arial" w:cs="Arial"/>
          <w:color w:val="000000" w:themeColor="text1"/>
        </w:rPr>
        <w:t xml:space="preserve"> data will be close enough to end devices to achieve almost zero latency. Moreover, advancements in electronics and specialised hardware is also needed to reduce energy consumption and help meeting strict KPIs in terms of delay, throughput, etc.</w:t>
      </w:r>
      <w:r>
        <w:rPr>
          <w:rFonts w:ascii="Arial" w:hAnsi="Arial" w:cs="Arial"/>
          <w:color w:val="000000" w:themeColor="text1"/>
        </w:rPr>
        <w:t xml:space="preserve"> </w:t>
      </w:r>
      <w:r w:rsidRPr="00C93A46">
        <w:rPr>
          <w:rFonts w:ascii="Arial" w:hAnsi="Arial" w:cs="Arial"/>
          <w:color w:val="000000" w:themeColor="text1"/>
        </w:rPr>
        <w:t xml:space="preserve">These enablers are the most promising solutions to tackle network complexity and help us meet the desired KPIs. </w:t>
      </w:r>
    </w:p>
    <w:p w14:paraId="24DD34FE" w14:textId="7ACD2D83" w:rsidR="005D64FB" w:rsidRPr="005C2ABD" w:rsidRDefault="005D64FB" w:rsidP="005D64FB">
      <w:pPr>
        <w:keepNext/>
        <w:keepLines/>
        <w:spacing w:after="120"/>
        <w:jc w:val="both"/>
        <w:rPr>
          <w:rFonts w:ascii="Arial" w:hAnsi="Arial" w:cs="Arial"/>
          <w:color w:val="000000" w:themeColor="text1"/>
        </w:rPr>
      </w:pPr>
      <w:r w:rsidRPr="00684D9A">
        <w:rPr>
          <w:rFonts w:ascii="Arial" w:hAnsi="Arial" w:cs="Arial"/>
          <w:color w:val="000000" w:themeColor="text1"/>
        </w:rPr>
        <w:t>Furthermore, it is expected that new emerging</w:t>
      </w:r>
      <w:r w:rsidRPr="005C2ABD">
        <w:rPr>
          <w:rFonts w:ascii="Arial" w:hAnsi="Arial" w:cs="Arial"/>
          <w:color w:val="000000" w:themeColor="text1"/>
        </w:rPr>
        <w:t xml:space="preserve"> applications based on Tactile IoT, </w:t>
      </w:r>
      <w:r w:rsidRPr="00C93A46">
        <w:rPr>
          <w:rFonts w:ascii="Arial" w:hAnsi="Arial" w:cs="Arial"/>
          <w:color w:val="000000" w:themeColor="text1"/>
        </w:rPr>
        <w:t>will be developed i</w:t>
      </w:r>
      <w:r w:rsidR="0008427B">
        <w:rPr>
          <w:rFonts w:ascii="Arial" w:hAnsi="Arial" w:cs="Arial"/>
          <w:color w:val="000000" w:themeColor="text1"/>
        </w:rPr>
        <w:t>n the near future, see e.g., [C1-21]</w:t>
      </w:r>
      <w:r w:rsidRPr="005C2ABD">
        <w:rPr>
          <w:rFonts w:ascii="Arial" w:hAnsi="Arial" w:cs="Arial"/>
          <w:color w:val="000000" w:themeColor="text1"/>
        </w:rPr>
        <w:t xml:space="preserve">. Examples of Emerging applications using </w:t>
      </w:r>
      <w:r w:rsidR="0008427B">
        <w:rPr>
          <w:rFonts w:ascii="Arial" w:hAnsi="Arial" w:cs="Arial"/>
          <w:color w:val="000000" w:themeColor="text1"/>
        </w:rPr>
        <w:t>tactile IoT, as described in [C1-21]</w:t>
      </w:r>
      <w:r w:rsidRPr="005C2ABD">
        <w:rPr>
          <w:rFonts w:ascii="Arial" w:hAnsi="Arial" w:cs="Arial"/>
          <w:color w:val="000000" w:themeColor="text1"/>
        </w:rPr>
        <w:t xml:space="preserve"> are:</w:t>
      </w:r>
    </w:p>
    <w:p w14:paraId="5546A87F" w14:textId="77777777" w:rsidR="005D64FB" w:rsidRPr="00C93A46" w:rsidRDefault="005D64FB" w:rsidP="00124439">
      <w:pPr>
        <w:pStyle w:val="ListParagraph"/>
        <w:numPr>
          <w:ilvl w:val="0"/>
          <w:numId w:val="28"/>
        </w:numPr>
        <w:spacing w:after="0" w:line="240" w:lineRule="auto"/>
        <w:jc w:val="both"/>
        <w:rPr>
          <w:rFonts w:ascii="Arial" w:hAnsi="Arial" w:cs="Arial"/>
          <w:color w:val="000000" w:themeColor="text1"/>
        </w:rPr>
      </w:pPr>
      <w:r w:rsidRPr="005C2ABD">
        <w:rPr>
          <w:rFonts w:ascii="Arial" w:hAnsi="Arial" w:cs="Arial"/>
          <w:color w:val="000000" w:themeColor="text1"/>
        </w:rPr>
        <w:t xml:space="preserve">Holographic media </w:t>
      </w:r>
      <w:r w:rsidRPr="00C93A46">
        <w:rPr>
          <w:rFonts w:ascii="Arial" w:hAnsi="Arial" w:cs="Arial"/>
          <w:color w:val="000000" w:themeColor="text1"/>
        </w:rPr>
        <w:t>applications: involve not only the local rendering of holograms but networking aspects, specifically the ability to transmit and stream holographic data from remote sites,</w:t>
      </w:r>
    </w:p>
    <w:p w14:paraId="12BB0122" w14:textId="77777777" w:rsidR="005D64FB" w:rsidRPr="00C93A46" w:rsidRDefault="005D64FB" w:rsidP="00124439">
      <w:pPr>
        <w:pStyle w:val="ListParagraph"/>
        <w:numPr>
          <w:ilvl w:val="0"/>
          <w:numId w:val="28"/>
        </w:numPr>
        <w:spacing w:after="0" w:line="240" w:lineRule="auto"/>
        <w:jc w:val="both"/>
        <w:rPr>
          <w:rFonts w:ascii="Arial" w:hAnsi="Arial" w:cs="Arial"/>
          <w:color w:val="000000" w:themeColor="text1"/>
        </w:rPr>
      </w:pPr>
      <w:r w:rsidRPr="00C93A46">
        <w:rPr>
          <w:rFonts w:ascii="Arial" w:hAnsi="Arial" w:cs="Arial"/>
          <w:color w:val="000000" w:themeColor="text1"/>
        </w:rPr>
        <w:t>Multi-Sense Networks: include emerging applications that involve not only optical (video, holograms) and acoustic (audio) senses, but as well smell and taste senses.</w:t>
      </w:r>
    </w:p>
    <w:p w14:paraId="2B272588" w14:textId="77777777" w:rsidR="005D64FB" w:rsidRPr="00C93A46" w:rsidRDefault="005D64FB" w:rsidP="00124439">
      <w:pPr>
        <w:pStyle w:val="ListParagraph"/>
        <w:numPr>
          <w:ilvl w:val="0"/>
          <w:numId w:val="28"/>
        </w:numPr>
        <w:spacing w:after="0" w:line="240" w:lineRule="auto"/>
        <w:jc w:val="both"/>
        <w:rPr>
          <w:rFonts w:ascii="Arial" w:hAnsi="Arial" w:cs="Arial"/>
          <w:color w:val="000000" w:themeColor="text1"/>
        </w:rPr>
      </w:pPr>
      <w:r w:rsidRPr="00C93A46">
        <w:rPr>
          <w:rFonts w:ascii="Arial" w:hAnsi="Arial" w:cs="Arial"/>
          <w:color w:val="000000" w:themeColor="text1"/>
        </w:rPr>
        <w:t>Time Engineered Applications: use a communication system that can coordinate between different sources of information such that all the parties involved have synchronized view of the application.</w:t>
      </w:r>
    </w:p>
    <w:p w14:paraId="41A413FC" w14:textId="7DD7B0DA" w:rsidR="001E3DA2" w:rsidRDefault="005D64FB" w:rsidP="00407A21">
      <w:pPr>
        <w:pStyle w:val="ListParagraph"/>
        <w:ind w:left="420"/>
        <w:jc w:val="both"/>
        <w:rPr>
          <w:rFonts w:ascii="Arial" w:hAnsi="Arial" w:cs="Arial"/>
          <w:color w:val="000000" w:themeColor="text1"/>
        </w:rPr>
      </w:pPr>
      <w:r w:rsidRPr="00C93A46">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56A89C68" w14:textId="03FA15A2" w:rsidR="00407A21" w:rsidRDefault="00407A21" w:rsidP="00407A21">
      <w:pPr>
        <w:jc w:val="both"/>
        <w:rPr>
          <w:rFonts w:ascii="Arial" w:hAnsi="Arial" w:cs="Arial"/>
          <w:color w:val="000000" w:themeColor="text1"/>
        </w:rPr>
      </w:pPr>
    </w:p>
    <w:p w14:paraId="2C1C8F1E" w14:textId="472CE7C7" w:rsidR="00407A21" w:rsidRDefault="00407A21" w:rsidP="00407A21">
      <w:pPr>
        <w:pStyle w:val="Heading2"/>
      </w:pPr>
      <w:bookmarkStart w:id="33" w:name="_Toc42177226"/>
      <w:r>
        <w:t xml:space="preserve">Mapping of the UN SDGs to </w:t>
      </w:r>
      <w:r w:rsidR="00F74E87">
        <w:t>I</w:t>
      </w:r>
      <w:r>
        <w:t>CT development</w:t>
      </w:r>
      <w:bookmarkEnd w:id="33"/>
    </w:p>
    <w:p w14:paraId="20C487C6" w14:textId="77777777" w:rsidR="00C42C17" w:rsidRPr="00C42C17" w:rsidRDefault="00C42C17" w:rsidP="00C42C17"/>
    <w:p w14:paraId="4E9F7BFE" w14:textId="6DB2CE6E" w:rsidR="001E3DA2" w:rsidRPr="00386A46" w:rsidRDefault="001E3DA2" w:rsidP="001E3DA2">
      <w:pPr>
        <w:spacing w:after="120"/>
        <w:jc w:val="both"/>
        <w:rPr>
          <w:rFonts w:ascii="Arial" w:hAnsi="Arial" w:cs="Arial"/>
          <w:color w:val="000000" w:themeColor="text1"/>
        </w:rPr>
      </w:pPr>
      <w:r w:rsidRPr="00386A46">
        <w:rPr>
          <w:rFonts w:ascii="Arial" w:hAnsi="Arial" w:cs="Arial"/>
          <w:iCs/>
          <w:noProof/>
          <w:color w:val="000000"/>
        </w:rPr>
        <w:t xml:space="preserve">The United Nations 2030 Sustainable Development Goals (SDGs) </w:t>
      </w:r>
      <w:r w:rsidR="00EA4B7A">
        <w:rPr>
          <w:rFonts w:ascii="Arial" w:hAnsi="Arial" w:cs="Arial"/>
          <w:color w:val="000000" w:themeColor="text1"/>
        </w:rPr>
        <w:t>[C1-1]</w:t>
      </w:r>
      <w:r w:rsidRPr="00386A46">
        <w:rPr>
          <w:rFonts w:ascii="Arial" w:hAnsi="Arial" w:cs="Arial"/>
          <w:iCs/>
          <w:noProof/>
          <w:color w:val="000000"/>
        </w:rPr>
        <w:t xml:space="preserve"> are a key driver for future developments to address societal challenges globally. </w:t>
      </w:r>
      <w:r w:rsidRPr="00386A46">
        <w:rPr>
          <w:rFonts w:ascii="Arial" w:hAnsi="Arial" w:cs="Arial"/>
          <w:color w:val="000000" w:themeColor="text1"/>
        </w:rPr>
        <w:t xml:space="preserve">The SDGs and the environmental sustainability challenges call for new and evolved Smart Networks and Services capabilities, high-level requirements and demands in capacities that must be carefully understood in a human-centric and societal context. Enabling European excellence </w:t>
      </w:r>
      <w:r w:rsidRPr="00386A46">
        <w:rPr>
          <w:rFonts w:ascii="Arial" w:hAnsi="Arial" w:cs="Arial"/>
          <w:color w:val="000000" w:themeColor="text1"/>
        </w:rPr>
        <w:lastRenderedPageBreak/>
        <w:t>in research, development, innovation and ubiquitous deployment of Smart Networks and Services will provide the tools to mitigate and tackle some of the major societal and environmental challenges of our times, such as ageing populations, increasing urbanisation, environmental protection and global warming. This must be achieved in a socio-technical and evolutionary context where the Partnership programme can adapt to changing needs and constantly evolving challenges and opportunities. By facilitating and enabling integrated and open ecosystem platforms with highly automated processes and service lifecycle support new tools will become available to empower societies, where the human-centric needs and the benefits to society will drive the developments.</w:t>
      </w:r>
    </w:p>
    <w:p w14:paraId="5764AA1F"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Smart cities and municipalities, smart mobility, smart eHealth and smart building solutions are example use case areas that can help to mitigate societal challenges around the ageing populations and the increasing urbanisation. Smart manufacturing and communication services can enable more distributed and decentralised production of physical goods. Together with smart mobility solutions new possibilities will emerge that can positively influence and lower the urbanisation trend as well as result in reduced transportation.</w:t>
      </w:r>
    </w:p>
    <w:p w14:paraId="4BDF41DA" w14:textId="77777777"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There are challenges and opportunities within aquaculture, agriculture and waste handling for any vertical or segment. These can be addressed by supporting further advancements across various areas of IoT. New sensor technologies and new methods and techniques for life-cycle assessment can be enabled and supported to reduce the use of natural minerals and resources, reducing toxic waste and improve their handling, as well as reducing climate gas emissions.</w:t>
      </w:r>
    </w:p>
    <w:p w14:paraId="4EEE12D3" w14:textId="48999F0F" w:rsidR="001E3DA2" w:rsidRPr="00386A46" w:rsidRDefault="001E3DA2" w:rsidP="001E3DA2">
      <w:pPr>
        <w:spacing w:after="120"/>
        <w:jc w:val="both"/>
        <w:rPr>
          <w:rFonts w:ascii="Arial" w:hAnsi="Arial" w:cs="Arial"/>
          <w:color w:val="000000" w:themeColor="text1"/>
        </w:rPr>
      </w:pPr>
      <w:r w:rsidRPr="00386A46">
        <w:rPr>
          <w:rFonts w:ascii="Arial" w:hAnsi="Arial" w:cs="Arial"/>
          <w:color w:val="000000" w:themeColor="text1"/>
        </w:rPr>
        <w:t xml:space="preserve">While SNS will help other vertical sectors to become green and climate neutral, the telecom sector itself must continue to improve the efficient management of resources, the performance and coverage of the deployed infrastructure while lowering the climate and environmental footprint of the networks. With respect to coverage </w:t>
      </w:r>
      <w:r w:rsidRPr="00386A46">
        <w:rPr>
          <w:rFonts w:ascii="Arial" w:hAnsi="Arial" w:cs="Arial"/>
          <w:i/>
          <w:color w:val="000000" w:themeColor="text1"/>
          <w:lang w:eastAsia="de-DE"/>
        </w:rPr>
        <w:t>“We need to balance the need for connectivity to become a utility with the cost of building the infrastructure to deliver it</w:t>
      </w:r>
      <w:r w:rsidR="00DA6395">
        <w:rPr>
          <w:rFonts w:ascii="Arial" w:hAnsi="Arial" w:cs="Arial"/>
          <w:i/>
          <w:color w:val="000000" w:themeColor="text1"/>
          <w:lang w:eastAsia="de-DE"/>
        </w:rPr>
        <w:t>”</w:t>
      </w:r>
      <w:r w:rsidRPr="00386A46">
        <w:rPr>
          <w:rFonts w:ascii="Arial" w:hAnsi="Arial" w:cs="Arial"/>
          <w:i/>
          <w:color w:val="000000" w:themeColor="text1"/>
          <w:lang w:eastAsia="de-DE"/>
        </w:rPr>
        <w:t xml:space="preserve"> </w:t>
      </w:r>
      <w:r w:rsidR="00DA6395">
        <w:rPr>
          <w:rFonts w:ascii="Arial" w:hAnsi="Arial" w:cs="Arial"/>
          <w:color w:val="000000" w:themeColor="text1"/>
          <w:lang w:eastAsia="de-DE"/>
        </w:rPr>
        <w:t>[</w:t>
      </w:r>
      <w:r w:rsidR="00DA6395">
        <w:rPr>
          <w:rFonts w:ascii="Arial" w:hAnsi="Arial" w:cs="Arial"/>
        </w:rPr>
        <w:t>C2-10]</w:t>
      </w:r>
      <w:r w:rsidRPr="00386A46">
        <w:rPr>
          <w:rFonts w:ascii="Arial" w:hAnsi="Arial" w:cs="Arial"/>
          <w:color w:val="000000" w:themeColor="text1"/>
          <w:lang w:eastAsia="de-DE"/>
        </w:rPr>
        <w:t>.</w:t>
      </w:r>
      <w:r w:rsidRPr="00386A46">
        <w:rPr>
          <w:rFonts w:ascii="Arial" w:hAnsi="Arial" w:cs="Arial"/>
          <w:color w:val="000000" w:themeColor="text1"/>
        </w:rPr>
        <w:t xml:space="preserve"> In the future, as demanded by environmentally concerned customers, the sector must prepare for reporting upon own climate gas emission equivalents per type of subscription or even per service session use. This will enable the end-user to take informed choices, rooted in accurate climate and environmental footprint information. For instance, as new and high-fidelity live audio-visual person-to-person communication tools can be supported and become readily available, end-users will have a realistic alternative when there are needs for face-to-face communication. Thus, we can anticipate reduced time spend for travelling and a decrease of climate gas emissions.</w:t>
      </w:r>
    </w:p>
    <w:p w14:paraId="1E54FF32" w14:textId="06E0A7F6" w:rsidR="001E3DA2" w:rsidRPr="00C42C17" w:rsidRDefault="001E3DA2" w:rsidP="00C42C17">
      <w:pPr>
        <w:pStyle w:val="paragraph"/>
        <w:jc w:val="both"/>
        <w:textAlignment w:val="baseline"/>
        <w:rPr>
          <w:sz w:val="22"/>
          <w:szCs w:val="22"/>
        </w:rPr>
      </w:pPr>
      <w:r w:rsidRPr="009B5A87">
        <w:rPr>
          <w:rFonts w:ascii="Arial" w:hAnsi="Arial" w:cs="Arial"/>
          <w:iCs/>
          <w:noProof/>
          <w:color w:val="000000"/>
          <w:sz w:val="22"/>
          <w:szCs w:val="22"/>
        </w:rPr>
        <w:t xml:space="preserve">Existing reports (e.g., </w:t>
      </w:r>
      <w:r w:rsidR="00DA6395" w:rsidRPr="00DA6395">
        <w:rPr>
          <w:rFonts w:ascii="Arial" w:hAnsi="Arial" w:cs="Arial"/>
          <w:color w:val="000000" w:themeColor="text1"/>
          <w:sz w:val="22"/>
          <w:lang w:eastAsia="de-DE"/>
        </w:rPr>
        <w:t>[</w:t>
      </w:r>
      <w:r w:rsidR="00DA6395" w:rsidRPr="00DA6395">
        <w:rPr>
          <w:rFonts w:ascii="Arial" w:hAnsi="Arial" w:cs="Arial"/>
          <w:sz w:val="22"/>
        </w:rPr>
        <w:t>C2-1]</w:t>
      </w:r>
      <w:r w:rsidR="00EA4B7A">
        <w:rPr>
          <w:rFonts w:ascii="Arial" w:hAnsi="Arial" w:cs="Arial"/>
          <w:sz w:val="22"/>
        </w:rPr>
        <w:t xml:space="preserve"> [C2-2</w:t>
      </w:r>
      <w:r w:rsidR="00EA4B7A" w:rsidRPr="00EA4B7A">
        <w:rPr>
          <w:rFonts w:ascii="Arial" w:hAnsi="Arial" w:cs="Arial"/>
          <w:sz w:val="22"/>
        </w:rPr>
        <w:t>]</w:t>
      </w:r>
      <w:r w:rsidRPr="009B5A87">
        <w:rPr>
          <w:rFonts w:ascii="Arial" w:hAnsi="Arial" w:cs="Arial"/>
          <w:iCs/>
          <w:noProof/>
          <w:color w:val="000000"/>
          <w:sz w:val="22"/>
          <w:szCs w:val="22"/>
        </w:rPr>
        <w:t xml:space="preserve">) explain how mobile networks are contributing to the economic growth and are addressing social challenges. The United Nations Broadband Commission for Sustainable Development has set deployment targets for </w:t>
      </w:r>
      <w:r w:rsidR="00DA6395">
        <w:rPr>
          <w:rFonts w:ascii="Arial" w:hAnsi="Arial" w:cs="Arial"/>
          <w:iCs/>
          <w:noProof/>
          <w:color w:val="000000"/>
          <w:sz w:val="22"/>
          <w:szCs w:val="22"/>
        </w:rPr>
        <w:t>[C2-11</w:t>
      </w:r>
      <w:r w:rsidR="00DA6395" w:rsidRPr="00DA6395">
        <w:rPr>
          <w:rFonts w:ascii="Arial" w:hAnsi="Arial" w:cs="Arial"/>
          <w:iCs/>
          <w:noProof/>
          <w:color w:val="000000"/>
          <w:sz w:val="22"/>
          <w:szCs w:val="22"/>
        </w:rPr>
        <w:t>]</w:t>
      </w:r>
      <w:r w:rsidRPr="009B5A87">
        <w:rPr>
          <w:rFonts w:ascii="Arial" w:hAnsi="Arial" w:cs="Arial"/>
          <w:iCs/>
          <w:noProof/>
          <w:color w:val="000000"/>
          <w:sz w:val="22"/>
          <w:szCs w:val="22"/>
        </w:rPr>
        <w:t xml:space="preserve"> to underline the importance of communication systems and networks. The UN SDGs require the availability of ubiquitous and affordable communication networks to support the digitalisation of society and economy in developing and developed countries. ITU has summarised the contributions of the ICT sector to work on the UN SDGs (</w:t>
      </w:r>
      <w:r w:rsidR="00DA6395">
        <w:rPr>
          <w:rFonts w:ascii="Arial" w:hAnsi="Arial" w:cs="Arial"/>
          <w:iCs/>
          <w:noProof/>
          <w:color w:val="000000"/>
          <w:sz w:val="22"/>
          <w:szCs w:val="22"/>
        </w:rPr>
        <w:t>Figure 1</w:t>
      </w:r>
      <w:r w:rsidRPr="009B5A87">
        <w:rPr>
          <w:rFonts w:ascii="Arial" w:hAnsi="Arial" w:cs="Arial"/>
          <w:iCs/>
          <w:noProof/>
          <w:color w:val="000000"/>
          <w:sz w:val="22"/>
          <w:szCs w:val="22"/>
        </w:rPr>
        <w:t xml:space="preserve">) </w:t>
      </w:r>
      <w:r w:rsidR="00DA6395">
        <w:rPr>
          <w:rFonts w:ascii="Arial" w:hAnsi="Arial" w:cs="Arial"/>
          <w:iCs/>
          <w:noProof/>
          <w:color w:val="000000"/>
          <w:sz w:val="22"/>
          <w:szCs w:val="22"/>
        </w:rPr>
        <w:t>[C2-2</w:t>
      </w:r>
      <w:r w:rsidR="00DA6395" w:rsidRPr="00DA6395">
        <w:rPr>
          <w:rFonts w:ascii="Arial" w:hAnsi="Arial" w:cs="Arial"/>
          <w:iCs/>
          <w:noProof/>
          <w:color w:val="000000"/>
          <w:sz w:val="22"/>
          <w:szCs w:val="22"/>
        </w:rPr>
        <w:t>]</w:t>
      </w:r>
      <w:r w:rsidR="00DA6395">
        <w:rPr>
          <w:rFonts w:ascii="Arial" w:hAnsi="Arial" w:cs="Arial"/>
          <w:iCs/>
          <w:noProof/>
          <w:color w:val="000000"/>
          <w:sz w:val="22"/>
          <w:szCs w:val="22"/>
        </w:rPr>
        <w:t xml:space="preserve"> </w:t>
      </w:r>
      <w:r w:rsidRPr="009B5A87">
        <w:rPr>
          <w:rFonts w:ascii="Arial" w:hAnsi="Arial" w:cs="Arial"/>
          <w:iCs/>
          <w:noProof/>
          <w:color w:val="000000"/>
          <w:sz w:val="22"/>
          <w:szCs w:val="22"/>
        </w:rPr>
        <w:t xml:space="preserve">as well as the investment in digital technology </w:t>
      </w:r>
      <w:r w:rsidR="00DA6395">
        <w:rPr>
          <w:rFonts w:ascii="Arial" w:hAnsi="Arial" w:cs="Arial"/>
          <w:iCs/>
          <w:noProof/>
          <w:color w:val="000000"/>
          <w:sz w:val="22"/>
          <w:szCs w:val="22"/>
        </w:rPr>
        <w:t>[C2-3</w:t>
      </w:r>
      <w:r w:rsidR="00DA6395" w:rsidRPr="00DA6395">
        <w:rPr>
          <w:rFonts w:ascii="Arial" w:hAnsi="Arial" w:cs="Arial"/>
          <w:iCs/>
          <w:noProof/>
          <w:color w:val="000000"/>
          <w:sz w:val="22"/>
          <w:szCs w:val="22"/>
        </w:rPr>
        <w:t>]</w:t>
      </w:r>
      <w:r w:rsidR="00DA6395">
        <w:rPr>
          <w:rFonts w:ascii="Arial" w:hAnsi="Arial" w:cs="Arial"/>
          <w:iCs/>
          <w:noProof/>
          <w:color w:val="000000"/>
          <w:sz w:val="22"/>
          <w:szCs w:val="22"/>
        </w:rPr>
        <w:t>.</w:t>
      </w:r>
      <w:r w:rsidRPr="009B5A87">
        <w:rPr>
          <w:rFonts w:ascii="Arial" w:hAnsi="Arial" w:cs="Arial"/>
          <w:iCs/>
          <w:noProof/>
          <w:color w:val="000000"/>
          <w:sz w:val="22"/>
          <w:szCs w:val="22"/>
        </w:rPr>
        <w:t xml:space="preserve"> Mobile networks have a central role to play in this. Existing reports (e.g., </w:t>
      </w:r>
      <w:r w:rsidR="00DA6395">
        <w:rPr>
          <w:rFonts w:ascii="Arial" w:hAnsi="Arial" w:cs="Arial"/>
          <w:iCs/>
          <w:noProof/>
          <w:color w:val="000000"/>
          <w:sz w:val="22"/>
          <w:szCs w:val="22"/>
        </w:rPr>
        <w:t>[C2-12</w:t>
      </w:r>
      <w:r w:rsidR="00DA6395" w:rsidRPr="00DA6395">
        <w:rPr>
          <w:rFonts w:ascii="Arial" w:hAnsi="Arial" w:cs="Arial"/>
          <w:iCs/>
          <w:noProof/>
          <w:color w:val="000000"/>
          <w:sz w:val="22"/>
          <w:szCs w:val="22"/>
        </w:rPr>
        <w:t>]</w:t>
      </w:r>
      <w:r w:rsidRPr="009B5A87">
        <w:rPr>
          <w:rFonts w:ascii="Arial" w:hAnsi="Arial" w:cs="Arial"/>
          <w:iCs/>
          <w:noProof/>
          <w:color w:val="000000"/>
          <w:sz w:val="22"/>
          <w:szCs w:val="22"/>
        </w:rPr>
        <w:t>) have presented, using a qualitative and quantitative analysis, the impact of mobile industry in all 17 SDGs (</w:t>
      </w:r>
      <w:r w:rsidRPr="009B5A87">
        <w:rPr>
          <w:rFonts w:ascii="Arial" w:hAnsi="Arial" w:cs="Arial"/>
          <w:iCs/>
          <w:noProof/>
          <w:color w:val="000000"/>
          <w:sz w:val="22"/>
          <w:szCs w:val="22"/>
        </w:rPr>
        <w:fldChar w:fldCharType="begin"/>
      </w:r>
      <w:r w:rsidRPr="009B5A87">
        <w:rPr>
          <w:rFonts w:ascii="Arial" w:hAnsi="Arial" w:cs="Arial"/>
          <w:iCs/>
          <w:noProof/>
          <w:color w:val="000000"/>
          <w:sz w:val="22"/>
          <w:szCs w:val="22"/>
        </w:rPr>
        <w:instrText xml:space="preserve"> REF _Ref23861701 \r \h  \* MERGEFORMAT </w:instrText>
      </w:r>
      <w:r w:rsidRPr="009B5A87">
        <w:rPr>
          <w:rFonts w:ascii="Arial" w:hAnsi="Arial" w:cs="Arial"/>
          <w:iCs/>
          <w:noProof/>
          <w:color w:val="000000"/>
          <w:sz w:val="22"/>
          <w:szCs w:val="22"/>
        </w:rPr>
      </w:r>
      <w:r w:rsidRPr="009B5A87">
        <w:rPr>
          <w:rFonts w:ascii="Arial" w:hAnsi="Arial" w:cs="Arial"/>
          <w:iCs/>
          <w:noProof/>
          <w:color w:val="000000"/>
          <w:sz w:val="22"/>
          <w:szCs w:val="22"/>
        </w:rPr>
        <w:fldChar w:fldCharType="separate"/>
      </w:r>
      <w:r w:rsidR="003F0180">
        <w:rPr>
          <w:rFonts w:ascii="Arial" w:hAnsi="Arial" w:cs="Arial"/>
          <w:iCs/>
          <w:noProof/>
          <w:color w:val="000000"/>
          <w:sz w:val="22"/>
          <w:szCs w:val="22"/>
        </w:rPr>
        <w:t>0</w:t>
      </w:r>
      <w:r w:rsidRPr="009B5A87">
        <w:rPr>
          <w:rFonts w:ascii="Arial" w:hAnsi="Arial" w:cs="Arial"/>
          <w:iCs/>
          <w:noProof/>
          <w:color w:val="000000"/>
          <w:sz w:val="22"/>
          <w:szCs w:val="22"/>
        </w:rPr>
        <w:fldChar w:fldCharType="end"/>
      </w:r>
      <w:r w:rsidRPr="009B5A87">
        <w:rPr>
          <w:rFonts w:ascii="Arial" w:hAnsi="Arial" w:cs="Arial"/>
          <w:iCs/>
          <w:noProof/>
          <w:color w:val="000000"/>
          <w:sz w:val="22"/>
          <w:szCs w:val="22"/>
        </w:rPr>
        <w:t xml:space="preserve">). Obviously, not all SDGs are met equally well for a number of reasons (e.g., maturity of services, lack of required networking technological solutions etc.). However, these normalised scores should be improved significantly in the future. Beyond-5G networks will lead such efforts as they will affect a number of vertical industries that cover multiple sectors of everyday’s life. Continuous research activities will create a number of technological breakthroughs. These are needed for the efficient support of the diverse </w:t>
      </w:r>
      <w:r w:rsidRPr="009B5A87">
        <w:rPr>
          <w:rFonts w:ascii="Arial" w:hAnsi="Arial" w:cs="Arial"/>
          <w:iCs/>
          <w:noProof/>
          <w:color w:val="000000"/>
          <w:sz w:val="22"/>
          <w:szCs w:val="22"/>
        </w:rPr>
        <w:lastRenderedPageBreak/>
        <w:t xml:space="preserve">requirements of the verticals and the expected massive connectivity of end-devices. All these efforts require multi-disciplinary and cross organisational collaboration activities (public and private sector, regulatory bodies etc.). </w:t>
      </w:r>
      <w:r w:rsidR="009B5A87" w:rsidRPr="00C42C17">
        <w:rPr>
          <w:rStyle w:val="normaltextrun"/>
          <w:rFonts w:ascii="Arial" w:eastAsiaTheme="majorEastAsia" w:hAnsi="Arial" w:cs="Arial"/>
          <w:sz w:val="22"/>
          <w:szCs w:val="22"/>
          <w:lang w:val="en-GB"/>
        </w:rPr>
        <w:t>There is work to discover the linkage between future 6G and SDGs [8] where the role of 6G is seen as three-fold: 6G as 1) a provider of services to help steer and support communities and countries towards reaching the UN SDGs’, 2) an enabler of measuring tool for data collection to help reporting of indicators with hyperlocal granularity, and 3) a reinforcer of new ecosystems based on 6G technology enablers and 6G network of networks to be developed in line with the UN SDGs.</w:t>
      </w:r>
      <w:r w:rsidR="009B5A87" w:rsidRPr="00C42C17">
        <w:rPr>
          <w:rStyle w:val="eop"/>
          <w:rFonts w:ascii="Arial" w:eastAsiaTheme="majorEastAsia" w:hAnsi="Arial" w:cs="Arial"/>
          <w:sz w:val="22"/>
          <w:szCs w:val="22"/>
        </w:rPr>
        <w:t> </w:t>
      </w:r>
    </w:p>
    <w:p w14:paraId="3DCEF323" w14:textId="77777777" w:rsidR="001E3DA2" w:rsidRPr="00386A46" w:rsidRDefault="001E3DA2" w:rsidP="001E3DA2">
      <w:pPr>
        <w:spacing w:after="120"/>
        <w:jc w:val="center"/>
        <w:rPr>
          <w:rFonts w:ascii="Arial" w:hAnsi="Arial" w:cs="Arial"/>
          <w:color w:val="000000" w:themeColor="text1"/>
        </w:rPr>
      </w:pPr>
      <w:r w:rsidRPr="00386A46">
        <w:rPr>
          <w:rFonts w:ascii="Arial" w:hAnsi="Arial" w:cs="Arial"/>
          <w:noProof/>
          <w:lang w:eastAsia="en-GB"/>
        </w:rPr>
        <w:drawing>
          <wp:inline distT="0" distB="0" distL="0" distR="0" wp14:anchorId="490EC237" wp14:editId="563DA66C">
            <wp:extent cx="5219999" cy="2570400"/>
            <wp:effectExtent l="0" t="0" r="0" b="1905"/>
            <wp:docPr id="883914258" name="Picture 49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pic:nvPicPr>
                  <pic:blipFill>
                    <a:blip r:embed="rId16">
                      <a:extLst>
                        <a:ext uri="{28A0092B-C50C-407E-A947-70E740481C1C}">
                          <a14:useLocalDpi xmlns:a14="http://schemas.microsoft.com/office/drawing/2010/main" val="0"/>
                        </a:ext>
                      </a:extLst>
                    </a:blip>
                    <a:stretch>
                      <a:fillRect/>
                    </a:stretch>
                  </pic:blipFill>
                  <pic:spPr>
                    <a:xfrm>
                      <a:off x="0" y="0"/>
                      <a:ext cx="5219999" cy="2570400"/>
                    </a:xfrm>
                    <a:prstGeom prst="rect">
                      <a:avLst/>
                    </a:prstGeom>
                  </pic:spPr>
                </pic:pic>
              </a:graphicData>
            </a:graphic>
          </wp:inline>
        </w:drawing>
      </w:r>
    </w:p>
    <w:p w14:paraId="4752549D" w14:textId="383C70D2" w:rsidR="001E3DA2" w:rsidRPr="005D2A31" w:rsidRDefault="005D2A31" w:rsidP="005D2A31">
      <w:pPr>
        <w:pStyle w:val="Caption"/>
        <w:tabs>
          <w:tab w:val="left" w:pos="1134"/>
          <w:tab w:val="right" w:pos="8820"/>
        </w:tabs>
        <w:spacing w:before="0" w:after="0"/>
        <w:jc w:val="left"/>
        <w:rPr>
          <w:rFonts w:ascii="Arial" w:hAnsi="Arial" w:cs="Arial"/>
          <w:color w:val="auto"/>
          <w:sz w:val="22"/>
          <w:szCs w:val="22"/>
        </w:rPr>
      </w:pPr>
      <w:bookmarkStart w:id="34" w:name="_Ref23861481"/>
      <w:r w:rsidRPr="005D2A31">
        <w:rPr>
          <w:rFonts w:ascii="Arial" w:hAnsi="Arial" w:cs="Arial"/>
          <w:color w:val="auto"/>
          <w:sz w:val="22"/>
          <w:szCs w:val="22"/>
        </w:rPr>
        <w:t xml:space="preserve">Figure 2-4. </w:t>
      </w:r>
      <w:r w:rsidR="001E3DA2" w:rsidRPr="005D2A31">
        <w:rPr>
          <w:rFonts w:ascii="Arial" w:hAnsi="Arial" w:cs="Arial"/>
          <w:color w:val="auto"/>
          <w:sz w:val="22"/>
          <w:szCs w:val="22"/>
        </w:rPr>
        <w:t>ITU-R view in Sustainable Development goals</w:t>
      </w:r>
      <w:bookmarkEnd w:id="34"/>
      <w:r w:rsidR="001E3DA2" w:rsidRPr="005D2A31">
        <w:rPr>
          <w:rFonts w:ascii="Arial" w:hAnsi="Arial" w:cs="Arial"/>
          <w:color w:val="auto"/>
          <w:sz w:val="22"/>
          <w:szCs w:val="22"/>
        </w:rPr>
        <w:t xml:space="preserve"> </w:t>
      </w:r>
      <w:r w:rsidR="00543667">
        <w:rPr>
          <w:rFonts w:ascii="Arial" w:hAnsi="Arial" w:cs="Arial"/>
          <w:color w:val="auto"/>
          <w:sz w:val="22"/>
          <w:szCs w:val="22"/>
        </w:rPr>
        <w:t xml:space="preserve"> [C1-1</w:t>
      </w:r>
      <w:r w:rsidR="00543667" w:rsidRPr="00543667">
        <w:rPr>
          <w:rFonts w:ascii="Arial" w:hAnsi="Arial" w:cs="Arial"/>
          <w:color w:val="auto"/>
          <w:sz w:val="22"/>
          <w:szCs w:val="22"/>
        </w:rPr>
        <w:t>]</w:t>
      </w:r>
    </w:p>
    <w:p w14:paraId="3C84EF24" w14:textId="77777777" w:rsidR="001E3DA2" w:rsidRPr="00386A46" w:rsidRDefault="001E3DA2" w:rsidP="001E3DA2">
      <w:pPr>
        <w:rPr>
          <w:rFonts w:ascii="Arial" w:hAnsi="Arial" w:cs="Arial"/>
          <w:lang w:eastAsia="de-DE"/>
        </w:rPr>
      </w:pPr>
    </w:p>
    <w:p w14:paraId="52D70554"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ITU has provided a methodology to identify which are the ICT building blocks for each SDG target group. For some of the SDG targets, this methodology is feasible since the related services of a vertical industry are quite mature. However, this is not the case for all SDGs, since some of these domains and processes are either in their infancy or they are currently evolving. Looking at the big picture though, one can easily identify what are the main technological areas that characterise each SDG.</w:t>
      </w:r>
    </w:p>
    <w:p w14:paraId="1DF44BC6" w14:textId="305F749C"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fldChar w:fldCharType="begin"/>
      </w:r>
      <w:r w:rsidRPr="00386A46">
        <w:rPr>
          <w:rFonts w:ascii="Arial" w:hAnsi="Arial" w:cs="Arial"/>
          <w:iCs/>
          <w:noProof/>
          <w:color w:val="000000"/>
        </w:rPr>
        <w:instrText xml:space="preserve"> REF _Ref23862341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3F0180">
        <w:rPr>
          <w:rFonts w:ascii="Arial" w:hAnsi="Arial" w:cs="Arial"/>
          <w:iCs/>
          <w:noProof/>
          <w:color w:val="000000"/>
        </w:rPr>
        <w:t>0</w:t>
      </w:r>
      <w:r w:rsidRPr="00386A46">
        <w:rPr>
          <w:rFonts w:ascii="Arial" w:hAnsi="Arial" w:cs="Arial"/>
          <w:iCs/>
          <w:noProof/>
          <w:color w:val="000000"/>
        </w:rPr>
        <w:fldChar w:fldCharType="end"/>
      </w:r>
      <w:r w:rsidRPr="00386A46">
        <w:rPr>
          <w:rFonts w:ascii="Arial" w:hAnsi="Arial" w:cs="Arial"/>
          <w:iCs/>
          <w:noProof/>
          <w:color w:val="000000"/>
        </w:rPr>
        <w:t xml:space="preserve"> presents such an indicative listing where some SDGs (i.e., 6, 7, 11, 13, 15) require mainly ubiquitous availability, energy efficiency and massive IoT service management. These SDGs are related for example to the deployment of vast numbers of IoT devices that collect information and improve the everyday life of citizens (e.g., water, quality, smart cities, improved management of power and energy etc.). Other SDGs (i.e., 3, 9) require a virtually “infinite network capacity”, high throughput, ultra low-latency and high reliability. Examples of related services to these SDGs are those used in the autonomous vehicles’ domain. Note here that although significant work has been performed in this area (i.e., V2X communication), fullfilling the capacity and delay requirements for full autonomous driving (i.e., SAE level 5) is still not supported by 5G networks as additional technological breakthroughs are needed.</w:t>
      </w:r>
    </w:p>
    <w:p w14:paraId="400B9FC1"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eastAsia="en-GB"/>
        </w:rPr>
        <w:lastRenderedPageBreak/>
        <w:drawing>
          <wp:inline distT="0" distB="0" distL="0" distR="0" wp14:anchorId="16267366" wp14:editId="5C25D4B0">
            <wp:extent cx="4507200" cy="4528800"/>
            <wp:effectExtent l="0" t="0" r="8255" b="5715"/>
            <wp:docPr id="394040666"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CEBE76E-393A-944D-AABB-744B7F7D4CE6}"/>
                        </a:ext>
                      </a:extLst>
                    </a:blip>
                    <a:stretch>
                      <a:fillRect/>
                    </a:stretch>
                  </pic:blipFill>
                  <pic:spPr>
                    <a:xfrm>
                      <a:off x="0" y="0"/>
                      <a:ext cx="4507200" cy="4528800"/>
                    </a:xfrm>
                    <a:prstGeom prst="rect">
                      <a:avLst/>
                    </a:prstGeom>
                  </pic:spPr>
                </pic:pic>
              </a:graphicData>
            </a:graphic>
          </wp:inline>
        </w:drawing>
      </w:r>
    </w:p>
    <w:p w14:paraId="18FC8B21" w14:textId="7232F34C" w:rsidR="001E3DA2" w:rsidRPr="005D2A31" w:rsidRDefault="005D2A31" w:rsidP="005D2A31">
      <w:pPr>
        <w:pStyle w:val="Caption"/>
        <w:tabs>
          <w:tab w:val="left" w:pos="1134"/>
          <w:tab w:val="right" w:pos="8820"/>
        </w:tabs>
        <w:spacing w:before="0" w:after="0"/>
        <w:ind w:left="1134"/>
        <w:jc w:val="left"/>
        <w:rPr>
          <w:rFonts w:ascii="Arial" w:hAnsi="Arial" w:cs="Arial"/>
          <w:color w:val="auto"/>
          <w:sz w:val="22"/>
          <w:szCs w:val="22"/>
        </w:rPr>
      </w:pPr>
      <w:bookmarkStart w:id="35" w:name="_Ref23861701"/>
      <w:r w:rsidRPr="005D2A31">
        <w:rPr>
          <w:rFonts w:ascii="Arial" w:hAnsi="Arial" w:cs="Arial"/>
          <w:color w:val="auto"/>
          <w:sz w:val="22"/>
          <w:szCs w:val="22"/>
        </w:rPr>
        <w:t xml:space="preserve">Figure 2-5. </w:t>
      </w:r>
      <w:r w:rsidR="001E3DA2" w:rsidRPr="005D2A31">
        <w:rPr>
          <w:rFonts w:ascii="Arial" w:hAnsi="Arial" w:cs="Arial"/>
          <w:color w:val="auto"/>
          <w:sz w:val="22"/>
          <w:szCs w:val="22"/>
        </w:rPr>
        <w:t>SDG impact scores</w:t>
      </w:r>
      <w:bookmarkEnd w:id="35"/>
      <w:r w:rsidR="00543667">
        <w:rPr>
          <w:rFonts w:ascii="Arial" w:hAnsi="Arial" w:cs="Arial"/>
          <w:color w:val="auto"/>
          <w:sz w:val="22"/>
          <w:szCs w:val="22"/>
        </w:rPr>
        <w:t xml:space="preserve">  [C1-1</w:t>
      </w:r>
      <w:r w:rsidR="00543667" w:rsidRPr="00543667">
        <w:rPr>
          <w:rFonts w:ascii="Arial" w:hAnsi="Arial" w:cs="Arial"/>
          <w:color w:val="auto"/>
          <w:sz w:val="22"/>
          <w:szCs w:val="22"/>
        </w:rPr>
        <w:t>]</w:t>
      </w:r>
    </w:p>
    <w:p w14:paraId="2B722690" w14:textId="77777777" w:rsidR="001E3DA2" w:rsidRPr="00386A46" w:rsidRDefault="001E3DA2" w:rsidP="001E3DA2">
      <w:pPr>
        <w:jc w:val="both"/>
        <w:rPr>
          <w:rFonts w:ascii="Arial" w:hAnsi="Arial" w:cs="Arial"/>
          <w:iCs/>
          <w:noProof/>
          <w:color w:val="000000"/>
        </w:rPr>
      </w:pPr>
    </w:p>
    <w:p w14:paraId="553E3748"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noProof/>
          <w:lang w:eastAsia="en-GB"/>
        </w:rPr>
        <w:drawing>
          <wp:inline distT="0" distB="0" distL="0" distR="0" wp14:anchorId="325D4C77" wp14:editId="404B339E">
            <wp:extent cx="5619600" cy="2833200"/>
            <wp:effectExtent l="0" t="0" r="635" b="5715"/>
            <wp:docPr id="1858151556" name="Picture 480"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18">
                      <a:extLst>
                        <a:ext uri="{28A0092B-C50C-407E-A947-70E740481C1C}">
                          <a14:useLocalDpi xmlns:a14="http://schemas.microsoft.com/office/drawing/2010/main" val="0"/>
                        </a:ext>
                      </a:extLst>
                    </a:blip>
                    <a:stretch>
                      <a:fillRect/>
                    </a:stretch>
                  </pic:blipFill>
                  <pic:spPr>
                    <a:xfrm>
                      <a:off x="0" y="0"/>
                      <a:ext cx="5619600" cy="2833200"/>
                    </a:xfrm>
                    <a:prstGeom prst="rect">
                      <a:avLst/>
                    </a:prstGeom>
                  </pic:spPr>
                </pic:pic>
              </a:graphicData>
            </a:graphic>
          </wp:inline>
        </w:drawing>
      </w:r>
    </w:p>
    <w:p w14:paraId="4EDB9E3F" w14:textId="67343FE1" w:rsidR="001E3DA2" w:rsidRPr="00C14FE4" w:rsidRDefault="00C14FE4" w:rsidP="00C14FE4">
      <w:pPr>
        <w:pStyle w:val="Caption"/>
        <w:tabs>
          <w:tab w:val="left" w:pos="1134"/>
          <w:tab w:val="right" w:pos="8820"/>
        </w:tabs>
        <w:spacing w:before="0" w:after="0"/>
        <w:ind w:left="1134"/>
        <w:jc w:val="left"/>
        <w:rPr>
          <w:rFonts w:ascii="Arial" w:hAnsi="Arial" w:cs="Arial"/>
          <w:color w:val="auto"/>
          <w:sz w:val="22"/>
          <w:szCs w:val="22"/>
        </w:rPr>
      </w:pPr>
      <w:bookmarkStart w:id="36" w:name="_Ref23862341"/>
      <w:r w:rsidRPr="00C14FE4">
        <w:rPr>
          <w:rFonts w:ascii="Arial" w:hAnsi="Arial" w:cs="Arial"/>
          <w:color w:val="auto"/>
          <w:sz w:val="22"/>
          <w:szCs w:val="22"/>
        </w:rPr>
        <w:t>F</w:t>
      </w:r>
      <w:r>
        <w:rPr>
          <w:rFonts w:ascii="Arial" w:hAnsi="Arial" w:cs="Arial"/>
          <w:color w:val="auto"/>
          <w:sz w:val="22"/>
          <w:szCs w:val="22"/>
        </w:rPr>
        <w:t>igure 2-6</w:t>
      </w:r>
      <w:r w:rsidRPr="00C14FE4">
        <w:rPr>
          <w:rFonts w:ascii="Arial" w:hAnsi="Arial" w:cs="Arial"/>
          <w:color w:val="auto"/>
          <w:sz w:val="22"/>
          <w:szCs w:val="22"/>
        </w:rPr>
        <w:t xml:space="preserve">. </w:t>
      </w:r>
      <w:r w:rsidR="001E3DA2" w:rsidRPr="00C14FE4">
        <w:rPr>
          <w:rFonts w:ascii="Arial" w:hAnsi="Arial" w:cs="Arial"/>
          <w:color w:val="auto"/>
          <w:sz w:val="22"/>
          <w:szCs w:val="22"/>
        </w:rPr>
        <w:t>Indicative technological areas and their relation to SDG</w:t>
      </w:r>
      <w:bookmarkEnd w:id="36"/>
      <w:r w:rsidR="001E3DA2" w:rsidRPr="00C14FE4">
        <w:rPr>
          <w:rFonts w:ascii="Arial" w:hAnsi="Arial" w:cs="Arial"/>
          <w:color w:val="auto"/>
          <w:sz w:val="22"/>
          <w:szCs w:val="22"/>
        </w:rPr>
        <w:t>s</w:t>
      </w:r>
    </w:p>
    <w:p w14:paraId="5A52AF9A" w14:textId="77777777" w:rsidR="001E3DA2" w:rsidRPr="00386A46" w:rsidRDefault="001E3DA2" w:rsidP="001E3DA2">
      <w:pPr>
        <w:jc w:val="both"/>
        <w:rPr>
          <w:rFonts w:ascii="Arial" w:hAnsi="Arial" w:cs="Arial"/>
          <w:iCs/>
          <w:noProof/>
          <w:color w:val="000000"/>
        </w:rPr>
      </w:pPr>
    </w:p>
    <w:p w14:paraId="3127832F" w14:textId="77777777"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In relation to the SDG 2, an initial analysis indicates that it needs a combination of technological solutions discussed for the previous two SDG groups. For example, zero hunger </w:t>
      </w:r>
      <w:r w:rsidRPr="00386A46">
        <w:rPr>
          <w:rFonts w:ascii="Arial" w:hAnsi="Arial" w:cs="Arial"/>
          <w:iCs/>
          <w:noProof/>
          <w:color w:val="000000"/>
        </w:rPr>
        <w:lastRenderedPageBreak/>
        <w:t>can be addressed by increasing the food productivity (i.e., smart farming requiring a significant amount of IoT solutions) and efficient cultivation techniques (e.g., remote/autonomous driven tractors etc.). Finally, the last group of SDGs (i.e., 4, 8, 10 and 12) requires ubiquitous availabilty, infinite network capacity and mainly increased throughput to support advanced services (e.g., advanced collaboration using holograms, etc.). Note that security and privacy are present in all the technological areas.</w:t>
      </w:r>
    </w:p>
    <w:p w14:paraId="53E06C8D" w14:textId="07B22879"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To understand in detail how the SDGs can be met and which ICT building blocks need to be developed and used, one needs to follow a more formal approach. In</w:t>
      </w:r>
      <w:r w:rsidR="00DA6395">
        <w:rPr>
          <w:rFonts w:ascii="Arial" w:hAnsi="Arial" w:cs="Arial"/>
          <w:iCs/>
          <w:noProof/>
          <w:color w:val="000000"/>
        </w:rPr>
        <w:t xml:space="preserve"> [C2-3</w:t>
      </w:r>
      <w:r w:rsidR="00DA6395" w:rsidRPr="00DA6395">
        <w:rPr>
          <w:rFonts w:ascii="Arial" w:hAnsi="Arial" w:cs="Arial"/>
          <w:iCs/>
          <w:noProof/>
          <w:color w:val="000000"/>
        </w:rPr>
        <w:t>]</w:t>
      </w:r>
      <w:r w:rsidRPr="00386A46">
        <w:rPr>
          <w:rFonts w:ascii="Arial" w:hAnsi="Arial" w:cs="Arial"/>
          <w:iCs/>
          <w:noProof/>
          <w:color w:val="000000"/>
        </w:rPr>
        <w:t xml:space="preserve"> a methdology is explained on how the SDG targets can be eventually mapped into the necessary building blocks. In </w:t>
      </w:r>
      <w:r w:rsidR="00DA6395">
        <w:rPr>
          <w:rFonts w:ascii="Arial" w:hAnsi="Arial" w:cs="Arial"/>
          <w:iCs/>
          <w:noProof/>
          <w:color w:val="000000"/>
        </w:rPr>
        <w:t xml:space="preserve">Annex 3 </w:t>
      </w:r>
      <w:r w:rsidRPr="00386A46">
        <w:rPr>
          <w:rFonts w:ascii="Arial" w:hAnsi="Arial" w:cs="Arial"/>
          <w:iCs/>
          <w:noProof/>
          <w:color w:val="000000"/>
        </w:rPr>
        <w:t>we briefly discuss this methodology and present two exemplary cases of such an analysis. A thorough analysis of all SDGs will take place during the first phase of the Smart Networks and Services Programme. This will allow the Programme to set solid and realistic goals until the end of the Programme.</w:t>
      </w:r>
    </w:p>
    <w:p w14:paraId="63B14C31" w14:textId="56732529"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Signficant research efforts have to be undertaken during the next decade for all these technological areas. </w:t>
      </w:r>
      <w:r w:rsidR="00DA6395">
        <w:rPr>
          <w:rFonts w:ascii="Arial" w:hAnsi="Arial" w:cs="Arial"/>
          <w:iCs/>
          <w:noProof/>
          <w:color w:val="000000"/>
        </w:rPr>
        <w:t>Figure 4</w:t>
      </w:r>
      <w:r w:rsidRPr="00386A46">
        <w:rPr>
          <w:rFonts w:ascii="Arial" w:hAnsi="Arial" w:cs="Arial"/>
          <w:iCs/>
          <w:noProof/>
          <w:color w:val="000000"/>
        </w:rPr>
        <w:t xml:space="preserve"> is an example on how the technological areas needed by the SDGs are mapped into research activities for B5G systems. </w:t>
      </w:r>
      <w:r w:rsidRPr="00386A46">
        <w:rPr>
          <w:rFonts w:ascii="Arial" w:hAnsi="Arial" w:cs="Arial"/>
          <w:iCs/>
          <w:noProof/>
          <w:color w:val="000000"/>
        </w:rPr>
        <w:fldChar w:fldCharType="begin"/>
      </w:r>
      <w:r w:rsidRPr="00386A46">
        <w:rPr>
          <w:rFonts w:ascii="Arial" w:hAnsi="Arial" w:cs="Arial"/>
          <w:iCs/>
          <w:noProof/>
          <w:color w:val="000000"/>
        </w:rPr>
        <w:instrText xml:space="preserve"> REF _Ref24043228 \r \h  \* MERGEFORMAT </w:instrText>
      </w:r>
      <w:r w:rsidRPr="00386A46">
        <w:rPr>
          <w:rFonts w:ascii="Arial" w:hAnsi="Arial" w:cs="Arial"/>
          <w:iCs/>
          <w:noProof/>
          <w:color w:val="000000"/>
        </w:rPr>
      </w:r>
      <w:r w:rsidRPr="00386A46">
        <w:rPr>
          <w:rFonts w:ascii="Arial" w:hAnsi="Arial" w:cs="Arial"/>
          <w:iCs/>
          <w:noProof/>
          <w:color w:val="000000"/>
        </w:rPr>
        <w:fldChar w:fldCharType="separate"/>
      </w:r>
      <w:r w:rsidR="003F0180">
        <w:rPr>
          <w:rFonts w:ascii="Arial" w:hAnsi="Arial" w:cs="Arial"/>
          <w:iCs/>
          <w:noProof/>
          <w:color w:val="000000"/>
        </w:rPr>
        <w:t>0</w:t>
      </w:r>
      <w:r w:rsidRPr="00386A46">
        <w:rPr>
          <w:rFonts w:ascii="Arial" w:hAnsi="Arial" w:cs="Arial"/>
          <w:iCs/>
          <w:noProof/>
          <w:color w:val="000000"/>
        </w:rPr>
        <w:fldChar w:fldCharType="end"/>
      </w:r>
      <w:r w:rsidRPr="00386A46">
        <w:rPr>
          <w:rFonts w:ascii="Arial" w:hAnsi="Arial" w:cs="Arial"/>
          <w:iCs/>
          <w:noProof/>
          <w:color w:val="000000"/>
        </w:rPr>
        <w:t xml:space="preserve"> also presents a list of enablers for these research areas.</w:t>
      </w:r>
    </w:p>
    <w:p w14:paraId="23C4CE04" w14:textId="346CB20F" w:rsidR="001E3DA2" w:rsidRPr="00386A46" w:rsidRDefault="001E3DA2" w:rsidP="001E3DA2">
      <w:pPr>
        <w:spacing w:after="120"/>
        <w:jc w:val="both"/>
        <w:rPr>
          <w:rFonts w:ascii="Arial" w:hAnsi="Arial" w:cs="Arial"/>
          <w:iCs/>
          <w:noProof/>
          <w:color w:val="000000"/>
        </w:rPr>
      </w:pPr>
      <w:r w:rsidRPr="00386A46">
        <w:rPr>
          <w:rFonts w:ascii="Arial" w:hAnsi="Arial" w:cs="Arial"/>
          <w:iCs/>
          <w:noProof/>
          <w:color w:val="000000"/>
        </w:rPr>
        <w:t xml:space="preserve">The European Commission is committed to the abovementioned SDGs </w:t>
      </w:r>
      <w:r w:rsidR="00DA6395" w:rsidRPr="00DA6395">
        <w:rPr>
          <w:rFonts w:ascii="Arial" w:hAnsi="Arial" w:cs="Arial"/>
          <w:iCs/>
          <w:noProof/>
          <w:color w:val="000000"/>
        </w:rPr>
        <w:t>[C2-</w:t>
      </w:r>
      <w:r w:rsidR="00DA6395">
        <w:rPr>
          <w:rFonts w:ascii="Arial" w:hAnsi="Arial" w:cs="Arial"/>
          <w:iCs/>
          <w:noProof/>
          <w:color w:val="000000"/>
        </w:rPr>
        <w:t>13</w:t>
      </w:r>
      <w:r w:rsidR="00DA6395" w:rsidRPr="00DA6395">
        <w:rPr>
          <w:rFonts w:ascii="Arial" w:hAnsi="Arial" w:cs="Arial"/>
          <w:iCs/>
          <w:noProof/>
          <w:color w:val="000000"/>
        </w:rPr>
        <w:t>]</w:t>
      </w:r>
      <w:r w:rsidR="00DA6395">
        <w:rPr>
          <w:rFonts w:ascii="Arial" w:hAnsi="Arial" w:cs="Arial"/>
          <w:iCs/>
          <w:noProof/>
          <w:color w:val="000000"/>
        </w:rPr>
        <w:t xml:space="preserve">. </w:t>
      </w:r>
      <w:r w:rsidRPr="00386A46">
        <w:rPr>
          <w:rFonts w:ascii="Arial" w:hAnsi="Arial" w:cs="Arial"/>
          <w:iCs/>
          <w:noProof/>
          <w:color w:val="000000"/>
        </w:rPr>
        <w:t>In his State of the Union speech in 2017 the President of the EU Commission, Jean-Claude Juncker, formulated the vision of “</w:t>
      </w:r>
      <w:r w:rsidRPr="00386A46">
        <w:rPr>
          <w:rFonts w:ascii="Arial" w:hAnsi="Arial" w:cs="Arial"/>
          <w:b/>
          <w:bCs/>
          <w:i/>
        </w:rPr>
        <w:t>a Europe that protects, a Europe that empowers, a Europe that defends</w:t>
      </w:r>
      <w:r w:rsidRPr="00386A46">
        <w:rPr>
          <w:rFonts w:ascii="Arial" w:hAnsi="Arial" w:cs="Arial"/>
          <w:bCs/>
        </w:rPr>
        <w:t xml:space="preserve">” </w:t>
      </w:r>
      <w:r w:rsidR="00DA6395">
        <w:rPr>
          <w:rFonts w:ascii="Arial" w:hAnsi="Arial" w:cs="Arial"/>
          <w:bCs/>
        </w:rPr>
        <w:t>[C2-14</w:t>
      </w:r>
      <w:r w:rsidR="00DA6395" w:rsidRPr="00DA6395">
        <w:rPr>
          <w:rFonts w:ascii="Arial" w:hAnsi="Arial" w:cs="Arial"/>
          <w:bCs/>
        </w:rPr>
        <w:t>]</w:t>
      </w:r>
      <w:r w:rsidR="00DA6395">
        <w:rPr>
          <w:rFonts w:ascii="Arial" w:hAnsi="Arial" w:cs="Arial"/>
          <w:bCs/>
        </w:rPr>
        <w:t xml:space="preserve"> </w:t>
      </w:r>
      <w:r w:rsidRPr="00386A46">
        <w:rPr>
          <w:rFonts w:ascii="Arial" w:hAnsi="Arial" w:cs="Arial"/>
          <w:iCs/>
          <w:noProof/>
          <w:color w:val="000000"/>
        </w:rPr>
        <w:t xml:space="preserve">which guides to the proposed next Multiannual Financial Framework from 2021 to 2027 of the European Union and the proposed Horizon Europe programme </w:t>
      </w:r>
      <w:r w:rsidR="00DA6395">
        <w:rPr>
          <w:rFonts w:ascii="Arial" w:hAnsi="Arial" w:cs="Arial"/>
          <w:iCs/>
          <w:noProof/>
          <w:color w:val="000000"/>
        </w:rPr>
        <w:t>[C2-15</w:t>
      </w:r>
      <w:r w:rsidR="00DA6395" w:rsidRPr="00DA6395">
        <w:rPr>
          <w:rFonts w:ascii="Arial" w:hAnsi="Arial" w:cs="Arial"/>
          <w:iCs/>
          <w:noProof/>
          <w:color w:val="000000"/>
        </w:rPr>
        <w:t>]</w:t>
      </w:r>
      <w:r w:rsidRPr="00386A46">
        <w:rPr>
          <w:rFonts w:ascii="Arial" w:hAnsi="Arial" w:cs="Arial"/>
          <w:iCs/>
          <w:noProof/>
          <w:color w:val="000000"/>
        </w:rPr>
        <w:t xml:space="preserve"> Data security and citizen’s integrity are key European objectives. This is one of the key enablers for Europe’s strategic autonomy. The proposed Partnership in Horizon Europe contributes to this European vision as</w:t>
      </w:r>
      <w:r w:rsidRPr="00386A46">
        <w:rPr>
          <w:rFonts w:ascii="Arial" w:hAnsi="Arial" w:cs="Arial"/>
        </w:rPr>
        <w:t xml:space="preserve"> “</w:t>
      </w:r>
      <w:r w:rsidRPr="00386A46">
        <w:rPr>
          <w:rFonts w:ascii="Arial" w:hAnsi="Arial" w:cs="Arial"/>
          <w:b/>
          <w:i/>
        </w:rPr>
        <w:t>Smart Networks and Services empowers society and protects citizens</w:t>
      </w:r>
      <w:r w:rsidRPr="00386A46">
        <w:rPr>
          <w:rFonts w:ascii="Arial" w:hAnsi="Arial" w:cs="Arial"/>
        </w:rPr>
        <w:t>”.</w:t>
      </w:r>
    </w:p>
    <w:p w14:paraId="50203D9A" w14:textId="77777777" w:rsidR="001E3DA2" w:rsidRPr="00386A46" w:rsidRDefault="001E3DA2" w:rsidP="001E3DA2">
      <w:pPr>
        <w:spacing w:after="120"/>
        <w:jc w:val="center"/>
        <w:rPr>
          <w:rFonts w:ascii="Arial" w:hAnsi="Arial" w:cs="Arial"/>
          <w:iCs/>
          <w:noProof/>
          <w:color w:val="000000"/>
        </w:rPr>
      </w:pPr>
      <w:r w:rsidRPr="00386A46">
        <w:rPr>
          <w:rFonts w:ascii="Arial" w:hAnsi="Arial" w:cs="Arial"/>
          <w:iCs/>
          <w:noProof/>
          <w:color w:val="000000"/>
          <w:lang w:eastAsia="en-GB"/>
        </w:rPr>
        <w:drawing>
          <wp:inline distT="0" distB="0" distL="0" distR="0" wp14:anchorId="20080BB1" wp14:editId="6FB5503A">
            <wp:extent cx="5727700" cy="326771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7700" cy="3267710"/>
                    </a:xfrm>
                    <a:prstGeom prst="rect">
                      <a:avLst/>
                    </a:prstGeom>
                  </pic:spPr>
                </pic:pic>
              </a:graphicData>
            </a:graphic>
          </wp:inline>
        </w:drawing>
      </w:r>
    </w:p>
    <w:p w14:paraId="7FE82817" w14:textId="5A7914D0" w:rsidR="001E3DA2" w:rsidRPr="008B2A55" w:rsidRDefault="008B2A55" w:rsidP="008B2A55">
      <w:pPr>
        <w:pStyle w:val="Caption"/>
        <w:tabs>
          <w:tab w:val="right" w:pos="8820"/>
        </w:tabs>
        <w:spacing w:before="0" w:after="0"/>
        <w:rPr>
          <w:rFonts w:ascii="Arial" w:hAnsi="Arial" w:cs="Arial"/>
          <w:color w:val="auto"/>
          <w:sz w:val="22"/>
          <w:szCs w:val="22"/>
        </w:rPr>
      </w:pPr>
      <w:bookmarkStart w:id="37" w:name="_Ref24043228"/>
      <w:r w:rsidRPr="008B2A55">
        <w:rPr>
          <w:rFonts w:ascii="Arial" w:hAnsi="Arial" w:cs="Arial"/>
          <w:color w:val="auto"/>
          <w:sz w:val="22"/>
          <w:szCs w:val="22"/>
        </w:rPr>
        <w:t xml:space="preserve">Figure 2-7. </w:t>
      </w:r>
      <w:r w:rsidR="001E3DA2" w:rsidRPr="008B2A55">
        <w:rPr>
          <w:rFonts w:ascii="Arial" w:hAnsi="Arial" w:cs="Arial"/>
          <w:color w:val="auto"/>
          <w:sz w:val="22"/>
          <w:szCs w:val="22"/>
        </w:rPr>
        <w:t>Indicative list of research areas and technical enablers</w:t>
      </w:r>
      <w:bookmarkEnd w:id="37"/>
    </w:p>
    <w:p w14:paraId="37B29406" w14:textId="496300FE" w:rsidR="001E3DA2" w:rsidRPr="00386A46" w:rsidRDefault="001E3DA2" w:rsidP="001E3DA2">
      <w:pPr>
        <w:rPr>
          <w:rFonts w:ascii="Arial" w:hAnsi="Arial" w:cs="Arial"/>
          <w:sz w:val="28"/>
          <w:szCs w:val="28"/>
          <w:lang w:val="en-US"/>
        </w:rPr>
      </w:pPr>
    </w:p>
    <w:p w14:paraId="4DFDAEC0" w14:textId="3B5164AA" w:rsidR="002D32F2" w:rsidRDefault="002D32F2" w:rsidP="002D32F2">
      <w:pPr>
        <w:pStyle w:val="Heading2"/>
        <w:rPr>
          <w:rFonts w:eastAsia="Times New Roman"/>
        </w:rPr>
      </w:pPr>
      <w:bookmarkStart w:id="38" w:name="_Toc42177227"/>
      <w:r>
        <w:rPr>
          <w:rFonts w:eastAsia="Times New Roman"/>
        </w:rPr>
        <w:lastRenderedPageBreak/>
        <w:t>Key Performance Indicators (Access, Network, Management)</w:t>
      </w:r>
      <w:bookmarkEnd w:id="38"/>
    </w:p>
    <w:p w14:paraId="5AD85C46" w14:textId="3682AB9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There are several Key Performance Indicators (KPIs) that will be subject for enhancements in future Smart Network, and these span the device, the radio access, the core network, and the end-to-end system management. Examples of these KPIs include: Bandwidth, Capacity, Spectrum Efficiency, Peak Data Rate, User Data Rate, User-plane Latency, Control-plane latency, Jitter, Device Density, Area Traffic Capacity, Reliability, Availability, Energy Efficiency, EMF values, Coverage, Mobility, Positioning Accuracy, Service Deployment Time, Network Automation Metrics, Security Metrics, , etc.</w:t>
      </w:r>
      <w:r w:rsidRPr="002D32F2">
        <w:rPr>
          <w:rFonts w:ascii="Arial" w:eastAsia="Times New Roman" w:hAnsi="Arial" w:cs="Arial"/>
          <w:lang w:val="en-US"/>
        </w:rPr>
        <w:t> </w:t>
      </w:r>
    </w:p>
    <w:p w14:paraId="3958D314" w14:textId="74A51238"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These technical KPIs and their targeted values in the evolution of 5G towards 6G are currently under discussion mainly in the scientific community with respect to the envisaged usage of future systems, cost implications, business cases and technical feasibility. For the time being no KPIs are formally agreed and set as </w:t>
      </w:r>
      <w:r w:rsidRPr="004D603F">
        <w:rPr>
          <w:rFonts w:ascii="Arial" w:eastAsia="Times New Roman" w:hAnsi="Arial" w:cs="Arial"/>
          <w:b/>
          <w:color w:val="000000"/>
        </w:rPr>
        <w:t xml:space="preserve">requirements </w:t>
      </w:r>
      <w:r w:rsidR="004D603F" w:rsidRPr="004D603F">
        <w:rPr>
          <w:rFonts w:ascii="Arial" w:eastAsia="Times New Roman" w:hAnsi="Arial" w:cs="Arial"/>
          <w:b/>
          <w:color w:val="000000"/>
        </w:rPr>
        <w:t>for research</w:t>
      </w:r>
      <w:r w:rsidR="004D603F">
        <w:rPr>
          <w:rFonts w:ascii="Arial" w:eastAsia="Times New Roman" w:hAnsi="Arial" w:cs="Arial"/>
          <w:b/>
          <w:color w:val="000000"/>
        </w:rPr>
        <w:t xml:space="preserve"> and innovation</w:t>
      </w:r>
      <w:r w:rsidR="004D603F">
        <w:rPr>
          <w:rFonts w:ascii="Arial" w:eastAsia="Times New Roman" w:hAnsi="Arial" w:cs="Arial"/>
          <w:color w:val="000000"/>
        </w:rPr>
        <w:t xml:space="preserve"> </w:t>
      </w:r>
      <w:r w:rsidRPr="002D32F2">
        <w:rPr>
          <w:rFonts w:ascii="Arial" w:eastAsia="Times New Roman" w:hAnsi="Arial" w:cs="Arial"/>
          <w:color w:val="000000"/>
        </w:rPr>
        <w:t>to be targeted in future wireless systems. With focus on the radio access, ITU-R WP5D has just recently (February 2020) initiated the development of a “Technology Trends Report”, which will lead to an updated vision document to agree technical KPIs on global level. In the coming years, associations in the commercial domain such as NGMN, GSMA, 5GAA, 5GACIA as well as regional associations, e.g. 5G IA and international counterparts will contribute to this discussion to achieve a global consensus.</w:t>
      </w:r>
      <w:r w:rsidRPr="002D32F2">
        <w:rPr>
          <w:rFonts w:ascii="Arial" w:eastAsia="Times New Roman" w:hAnsi="Arial" w:cs="Arial"/>
          <w:lang w:val="en-US"/>
        </w:rPr>
        <w:t> </w:t>
      </w:r>
    </w:p>
    <w:p w14:paraId="1FA68474" w14:textId="4E7CC0FD"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following </w:t>
      </w:r>
      <w:r w:rsidR="008B2A55" w:rsidRPr="008B2A55">
        <w:rPr>
          <w:rFonts w:ascii="Arial" w:eastAsia="Times New Roman" w:hAnsi="Arial" w:cs="Arial"/>
        </w:rPr>
        <w:t>Table 2</w:t>
      </w:r>
      <w:r w:rsidR="000C44A6" w:rsidRPr="008B2A55">
        <w:rPr>
          <w:rFonts w:ascii="Arial" w:eastAsia="Times New Roman" w:hAnsi="Arial" w:cs="Arial"/>
        </w:rPr>
        <w:t>-1</w:t>
      </w:r>
      <w:r w:rsidRPr="002D32F2">
        <w:rPr>
          <w:rFonts w:ascii="Arial" w:eastAsia="Times New Roman" w:hAnsi="Arial" w:cs="Arial"/>
          <w:color w:val="000000"/>
        </w:rPr>
        <w:t xml:space="preserve"> developed in the H2020 EMPOWER project</w:t>
      </w:r>
      <w:r w:rsidRPr="002D32F2">
        <w:rPr>
          <w:rFonts w:ascii="Arial" w:eastAsia="Times New Roman" w:hAnsi="Arial" w:cs="Arial"/>
          <w:color w:val="000000"/>
          <w:sz w:val="17"/>
          <w:szCs w:val="17"/>
          <w:vertAlign w:val="superscript"/>
        </w:rPr>
        <w:t>2</w:t>
      </w:r>
      <w:r w:rsidRPr="002D32F2">
        <w:rPr>
          <w:rFonts w:ascii="Arial" w:eastAsia="Times New Roman" w:hAnsi="Arial" w:cs="Arial"/>
          <w:color w:val="000000"/>
        </w:rPr>
        <w:t xml:space="preserve"> shows an exemplary challenging sketch of potential future technical KPIs for the </w:t>
      </w:r>
      <w:r w:rsidR="008B2A55">
        <w:rPr>
          <w:rFonts w:ascii="Arial" w:eastAsia="Times New Roman" w:hAnsi="Arial" w:cs="Arial"/>
          <w:color w:val="000000"/>
        </w:rPr>
        <w:t xml:space="preserve">terrestrial </w:t>
      </w:r>
      <w:r w:rsidRPr="002D32F2">
        <w:rPr>
          <w:rFonts w:ascii="Arial" w:eastAsia="Times New Roman" w:hAnsi="Arial" w:cs="Arial"/>
          <w:color w:val="000000"/>
        </w:rPr>
        <w:t>radio access as target for research and innovation and an input to the upcoming global debate, which provides guidance for the discussion in the community of the expected research direction. Such KPIs are under investigation and need to fit to requirements of industry and will be regularly updated based on state-of-the art knowledge.</w:t>
      </w:r>
      <w:r w:rsidRPr="002D32F2">
        <w:rPr>
          <w:rFonts w:ascii="Arial" w:eastAsia="Times New Roman" w:hAnsi="Arial" w:cs="Arial"/>
          <w:lang w:val="en-US"/>
        </w:rPr>
        <w:t> </w:t>
      </w:r>
    </w:p>
    <w:p w14:paraId="523415FB" w14:textId="7439E566"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rPr>
        <w:t xml:space="preserve">The KPIs in </w:t>
      </w:r>
      <w:r w:rsidR="008B2A55" w:rsidRPr="008B2A55">
        <w:rPr>
          <w:rFonts w:ascii="Arial" w:eastAsia="Times New Roman" w:hAnsi="Arial" w:cs="Arial"/>
        </w:rPr>
        <w:t>Table 2</w:t>
      </w:r>
      <w:r w:rsidR="000C44A6" w:rsidRPr="008B2A55">
        <w:rPr>
          <w:rFonts w:ascii="Arial" w:eastAsia="Times New Roman" w:hAnsi="Arial" w:cs="Arial"/>
        </w:rPr>
        <w:t>-1</w:t>
      </w:r>
      <w:r w:rsidRPr="002D32F2">
        <w:rPr>
          <w:rFonts w:ascii="Arial" w:eastAsia="Times New Roman" w:hAnsi="Arial" w:cs="Arial"/>
          <w:color w:val="000000"/>
        </w:rPr>
        <w:t xml:space="preserve"> have been derived as forecasts for the evolution of the KPIs targeted in 3GPP 5G NR for ITU-R IMT-2020 in the short, medium and long terms. These forecasts are based on an analysis of emerging use cases and their current and future requirements in the short, medium and long terms. Noticeably, seven use cases that embody the wireless challenges ahead have been considered in this analysis, namely:</w:t>
      </w:r>
      <w:r w:rsidRPr="002D32F2">
        <w:rPr>
          <w:rFonts w:ascii="Arial" w:eastAsia="Times New Roman" w:hAnsi="Arial" w:cs="Arial"/>
          <w:lang w:val="en-US"/>
        </w:rPr>
        <w:t> </w:t>
      </w:r>
    </w:p>
    <w:p w14:paraId="333C0EBC" w14:textId="77777777" w:rsidR="002D32F2" w:rsidRPr="002D32F2" w:rsidRDefault="002D32F2" w:rsidP="00124439">
      <w:pPr>
        <w:numPr>
          <w:ilvl w:val="0"/>
          <w:numId w:val="42"/>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Multi-Sensory Extreme Reality (XR) and Haptics</w:t>
      </w:r>
      <w:r w:rsidRPr="002D32F2">
        <w:rPr>
          <w:rFonts w:ascii="Arial" w:eastAsia="Times New Roman" w:hAnsi="Arial" w:cs="Arial"/>
          <w:lang w:val="en-US"/>
        </w:rPr>
        <w:t> </w:t>
      </w:r>
    </w:p>
    <w:p w14:paraId="220DFFE4" w14:textId="77777777" w:rsidR="002D32F2" w:rsidRPr="002D32F2" w:rsidRDefault="002D32F2" w:rsidP="00124439">
      <w:pPr>
        <w:numPr>
          <w:ilvl w:val="0"/>
          <w:numId w:val="43"/>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Volumetric Media Streaming</w:t>
      </w:r>
      <w:r w:rsidRPr="002D32F2">
        <w:rPr>
          <w:rFonts w:ascii="Arial" w:eastAsia="Times New Roman" w:hAnsi="Arial" w:cs="Arial"/>
          <w:lang w:val="en-US"/>
        </w:rPr>
        <w:t> </w:t>
      </w:r>
    </w:p>
    <w:p w14:paraId="0E1E8D25" w14:textId="77777777" w:rsidR="002D32F2" w:rsidRPr="002D32F2" w:rsidRDefault="002D32F2" w:rsidP="00124439">
      <w:pPr>
        <w:numPr>
          <w:ilvl w:val="0"/>
          <w:numId w:val="44"/>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Connected Industries and Automation</w:t>
      </w:r>
      <w:r w:rsidRPr="002D32F2">
        <w:rPr>
          <w:rFonts w:ascii="Arial" w:eastAsia="Times New Roman" w:hAnsi="Arial" w:cs="Arial"/>
          <w:lang w:val="en-US"/>
        </w:rPr>
        <w:t> </w:t>
      </w:r>
    </w:p>
    <w:p w14:paraId="45198A93" w14:textId="77777777" w:rsidR="002D32F2" w:rsidRPr="002D32F2" w:rsidRDefault="002D32F2" w:rsidP="00124439">
      <w:pPr>
        <w:numPr>
          <w:ilvl w:val="0"/>
          <w:numId w:val="45"/>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Autonomous Vehicles and Swarm Systems</w:t>
      </w:r>
      <w:r w:rsidRPr="002D32F2">
        <w:rPr>
          <w:rFonts w:ascii="Arial" w:eastAsia="Times New Roman" w:hAnsi="Arial" w:cs="Arial"/>
          <w:lang w:val="en-US"/>
        </w:rPr>
        <w:t> </w:t>
      </w:r>
    </w:p>
    <w:p w14:paraId="7FE603D6" w14:textId="77777777" w:rsidR="002D32F2" w:rsidRPr="002D32F2" w:rsidRDefault="002D32F2" w:rsidP="00124439">
      <w:pPr>
        <w:numPr>
          <w:ilvl w:val="0"/>
          <w:numId w:val="46"/>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Coverage</w:t>
      </w:r>
      <w:r w:rsidRPr="002D32F2">
        <w:rPr>
          <w:rFonts w:ascii="Arial" w:eastAsia="Times New Roman" w:hAnsi="Arial" w:cs="Arial"/>
          <w:lang w:val="en-US"/>
        </w:rPr>
        <w:t> </w:t>
      </w:r>
    </w:p>
    <w:p w14:paraId="362E3229" w14:textId="77777777" w:rsidR="002D32F2" w:rsidRPr="002D32F2" w:rsidRDefault="002D32F2" w:rsidP="00124439">
      <w:pPr>
        <w:numPr>
          <w:ilvl w:val="0"/>
          <w:numId w:val="47"/>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Extreme Gaming</w:t>
      </w:r>
      <w:r w:rsidRPr="002D32F2">
        <w:rPr>
          <w:rFonts w:ascii="Arial" w:eastAsia="Times New Roman" w:hAnsi="Arial" w:cs="Arial"/>
          <w:lang w:val="en-US"/>
        </w:rPr>
        <w:t> </w:t>
      </w:r>
    </w:p>
    <w:p w14:paraId="25472DD5" w14:textId="77777777" w:rsidR="002D32F2" w:rsidRPr="002D32F2" w:rsidRDefault="002D32F2" w:rsidP="00124439">
      <w:pPr>
        <w:numPr>
          <w:ilvl w:val="0"/>
          <w:numId w:val="48"/>
        </w:numPr>
        <w:spacing w:after="0" w:line="240" w:lineRule="auto"/>
        <w:ind w:left="1080" w:firstLine="0"/>
        <w:jc w:val="both"/>
        <w:textAlignment w:val="baseline"/>
        <w:rPr>
          <w:rFonts w:ascii="Arial" w:eastAsia="Times New Roman" w:hAnsi="Arial" w:cs="Arial"/>
          <w:lang w:val="en-US"/>
        </w:rPr>
      </w:pPr>
      <w:r w:rsidRPr="002D32F2">
        <w:rPr>
          <w:rFonts w:ascii="Arial" w:eastAsia="Times New Roman" w:hAnsi="Arial" w:cs="Arial"/>
          <w:color w:val="000000"/>
        </w:rPr>
        <w:t>Ultra-Low Power IoT</w:t>
      </w:r>
      <w:r w:rsidRPr="002D32F2">
        <w:rPr>
          <w:rFonts w:ascii="Arial" w:eastAsia="Times New Roman" w:hAnsi="Arial" w:cs="Arial"/>
          <w:lang w:val="en-US"/>
        </w:rPr>
        <w:t> </w:t>
      </w:r>
    </w:p>
    <w:p w14:paraId="36B5FD2D" w14:textId="265AFEC4"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eastAsia="Times New Roman" w:hAnsi="Arial" w:cs="Arial"/>
          <w:color w:val="000000"/>
        </w:rPr>
        <w:t xml:space="preserve">The impact of the above extreme use cases on some of the current 5G NR KPIs is captured in the heat map illustrated in </w:t>
      </w:r>
      <w:r w:rsidRPr="008B2A55">
        <w:rPr>
          <w:rFonts w:ascii="Arial" w:eastAsia="Times New Roman" w:hAnsi="Arial" w:cs="Arial"/>
        </w:rPr>
        <w:t xml:space="preserve">Figure </w:t>
      </w:r>
      <w:r w:rsidR="008B2A55" w:rsidRPr="008B2A55">
        <w:rPr>
          <w:rFonts w:ascii="Arial" w:eastAsia="Times New Roman" w:hAnsi="Arial" w:cs="Arial"/>
        </w:rPr>
        <w:t>2</w:t>
      </w:r>
      <w:r w:rsidR="000C44A6" w:rsidRPr="008B2A55">
        <w:rPr>
          <w:rFonts w:ascii="Arial" w:eastAsia="Times New Roman" w:hAnsi="Arial" w:cs="Arial"/>
        </w:rPr>
        <w:t>-</w:t>
      </w:r>
      <w:r w:rsidR="008B2A55" w:rsidRPr="008B2A55">
        <w:rPr>
          <w:rFonts w:ascii="Arial" w:eastAsia="Times New Roman" w:hAnsi="Arial" w:cs="Arial"/>
        </w:rPr>
        <w:t>8</w:t>
      </w:r>
      <w:r w:rsidRPr="002D32F2">
        <w:rPr>
          <w:rFonts w:ascii="Arial" w:eastAsia="Times New Roman" w:hAnsi="Arial" w:cs="Arial"/>
          <w:color w:val="000000"/>
        </w:rPr>
        <w:t>.</w:t>
      </w:r>
      <w:r w:rsidRPr="002D32F2">
        <w:rPr>
          <w:rFonts w:ascii="Arial" w:eastAsia="Times New Roman" w:hAnsi="Arial" w:cs="Arial"/>
          <w:lang w:val="en-US"/>
        </w:rPr>
        <w:t> </w:t>
      </w:r>
    </w:p>
    <w:p w14:paraId="7EBE750B" w14:textId="0F4E703D" w:rsidR="002D32F2" w:rsidRPr="002D32F2" w:rsidRDefault="002D32F2" w:rsidP="002D32F2">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2D32F2">
        <w:rPr>
          <w:rFonts w:ascii="Arial" w:hAnsi="Arial" w:cs="Arial"/>
          <w:noProof/>
          <w:sz w:val="20"/>
          <w:szCs w:val="20"/>
          <w:lang w:eastAsia="en-GB"/>
        </w:rPr>
        <w:lastRenderedPageBreak/>
        <w:drawing>
          <wp:inline distT="0" distB="0" distL="0" distR="0" wp14:anchorId="5259D1F4" wp14:editId="73008826">
            <wp:extent cx="6240780" cy="2080260"/>
            <wp:effectExtent l="0" t="0" r="7620" b="0"/>
            <wp:docPr id="21" name="Picture 21" descr="C:\Users\apouttu\AppData\Local\Microsoft\Windows\INetCache\Content.MSO\8AACBD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pouttu\AppData\Local\Microsoft\Windows\INetCache\Content.MSO\8AACBD22.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0780" cy="2080260"/>
                    </a:xfrm>
                    <a:prstGeom prst="rect">
                      <a:avLst/>
                    </a:prstGeom>
                    <a:noFill/>
                    <a:ln>
                      <a:noFill/>
                    </a:ln>
                  </pic:spPr>
                </pic:pic>
              </a:graphicData>
            </a:graphic>
          </wp:inline>
        </w:drawing>
      </w:r>
    </w:p>
    <w:p w14:paraId="6B9D350F" w14:textId="76D38F70" w:rsidR="002D32F2" w:rsidRPr="008B2A55" w:rsidRDefault="002D32F2" w:rsidP="002D32F2">
      <w:pPr>
        <w:spacing w:before="100" w:beforeAutospacing="1" w:after="100" w:afterAutospacing="1" w:line="240" w:lineRule="auto"/>
        <w:jc w:val="both"/>
        <w:textAlignment w:val="baseline"/>
        <w:rPr>
          <w:rFonts w:ascii="Arial" w:eastAsia="Times New Roman" w:hAnsi="Arial" w:cs="Arial"/>
          <w:b/>
          <w:bCs/>
          <w:lang w:val="en-US"/>
        </w:rPr>
      </w:pPr>
      <w:r w:rsidRPr="008B2A55">
        <w:rPr>
          <w:rFonts w:ascii="Arial" w:eastAsia="Times New Roman" w:hAnsi="Arial" w:cs="Arial"/>
          <w:b/>
          <w:bCs/>
        </w:rPr>
        <w:t xml:space="preserve">Figure </w:t>
      </w:r>
      <w:r w:rsidR="008B2A55" w:rsidRPr="008B2A55">
        <w:rPr>
          <w:rFonts w:ascii="Arial" w:eastAsia="Times New Roman" w:hAnsi="Arial" w:cs="Arial"/>
          <w:b/>
          <w:bCs/>
        </w:rPr>
        <w:t>2-8.</w:t>
      </w:r>
      <w:r w:rsidRPr="008B2A55">
        <w:rPr>
          <w:rFonts w:ascii="Arial" w:eastAsia="Times New Roman" w:hAnsi="Arial" w:cs="Arial"/>
          <w:b/>
          <w:bCs/>
        </w:rPr>
        <w:t xml:space="preserve"> Heat Map</w:t>
      </w:r>
      <w:r w:rsidRPr="008B2A55">
        <w:rPr>
          <w:rFonts w:ascii="Arial" w:eastAsia="Times New Roman" w:hAnsi="Arial" w:cs="Arial"/>
          <w:b/>
          <w:bCs/>
          <w:vertAlign w:val="superscript"/>
        </w:rPr>
        <w:t>2</w:t>
      </w:r>
      <w:r w:rsidRPr="008B2A55">
        <w:rPr>
          <w:rFonts w:ascii="Arial" w:eastAsia="Times New Roman" w:hAnsi="Arial" w:cs="Arial"/>
          <w:b/>
          <w:bCs/>
        </w:rPr>
        <w:t xml:space="preserve"> of the impact of example use cases on today’s 5G NR KPIs.</w:t>
      </w:r>
      <w:r w:rsidRPr="008B2A55">
        <w:rPr>
          <w:rFonts w:ascii="Arial" w:eastAsia="Times New Roman" w:hAnsi="Arial" w:cs="Arial"/>
          <w:b/>
          <w:bCs/>
          <w:lang w:val="en-US"/>
        </w:rPr>
        <w:t> </w:t>
      </w:r>
    </w:p>
    <w:p w14:paraId="09096947" w14:textId="4818F6D6" w:rsidR="002D32F2" w:rsidRDefault="002D32F2" w:rsidP="002D32F2">
      <w:pPr>
        <w:spacing w:before="100" w:beforeAutospacing="1" w:after="100" w:afterAutospacing="1" w:line="240" w:lineRule="auto"/>
        <w:jc w:val="both"/>
        <w:textAlignment w:val="baseline"/>
        <w:rPr>
          <w:rFonts w:ascii="Arial" w:eastAsia="Times New Roman" w:hAnsi="Arial" w:cs="Arial"/>
          <w:lang w:val="en-US"/>
        </w:rPr>
      </w:pPr>
      <w:r w:rsidRPr="002D32F2">
        <w:rPr>
          <w:rFonts w:ascii="Arial" w:eastAsia="Times New Roman" w:hAnsi="Arial" w:cs="Arial"/>
          <w:color w:val="000000"/>
        </w:rPr>
        <w:t xml:space="preserve">In addition to the above heat map, and with the aim to keep the KPIs ambitious, especially as it is impossible to foresee all future use cases in a time horizon the spans the next decade, the KPIs’ forecast in </w:t>
      </w:r>
      <w:r w:rsidRPr="002D32F2">
        <w:rPr>
          <w:rFonts w:ascii="Calibri" w:eastAsia="Times New Roman" w:hAnsi="Calibri" w:cs="Calibri"/>
        </w:rPr>
        <w:t>Table 1</w:t>
      </w:r>
      <w:r w:rsidRPr="002D32F2">
        <w:rPr>
          <w:rFonts w:ascii="Arial" w:eastAsia="Times New Roman" w:hAnsi="Arial" w:cs="Arial"/>
          <w:color w:val="000000"/>
        </w:rPr>
        <w:t xml:space="preserve"> also factor in assumptions on the pace of technological advances that would make it possible to meet or exceed these KPIs in the short, medium and long terms.</w:t>
      </w:r>
      <w:r w:rsidRPr="002D32F2">
        <w:rPr>
          <w:rFonts w:ascii="Arial" w:eastAsia="Times New Roman" w:hAnsi="Arial" w:cs="Arial"/>
          <w:lang w:val="en-US"/>
        </w:rPr>
        <w:t> </w:t>
      </w:r>
      <w:r w:rsidR="006364AB">
        <w:rPr>
          <w:rFonts w:ascii="Arial" w:eastAsia="Times New Roman" w:hAnsi="Arial" w:cs="Arial"/>
          <w:lang w:val="en-US"/>
        </w:rPr>
        <w:t>This table does not implicate that all these KPIs are realized in same time for a specific user device/use case. They represent the most stringent values in a performance domain.</w:t>
      </w:r>
    </w:p>
    <w:p w14:paraId="491880C4" w14:textId="5D2247A3" w:rsidR="002D32F2" w:rsidRPr="008B2A55" w:rsidRDefault="002D32F2" w:rsidP="002D32F2">
      <w:pPr>
        <w:spacing w:before="100" w:beforeAutospacing="1" w:after="100" w:afterAutospacing="1" w:line="240" w:lineRule="auto"/>
        <w:jc w:val="both"/>
        <w:textAlignment w:val="baseline"/>
        <w:rPr>
          <w:rFonts w:ascii="Arial" w:eastAsia="Times New Roman" w:hAnsi="Arial" w:cs="Arial"/>
          <w:b/>
          <w:bCs/>
          <w:lang w:val="en-US"/>
        </w:rPr>
      </w:pPr>
      <w:r w:rsidRPr="008B2A55">
        <w:rPr>
          <w:rFonts w:ascii="Arial" w:eastAsia="Times New Roman" w:hAnsi="Arial" w:cs="Arial"/>
          <w:b/>
          <w:bCs/>
        </w:rPr>
        <w:t xml:space="preserve">Table </w:t>
      </w:r>
      <w:r w:rsidR="008B2A55">
        <w:rPr>
          <w:rFonts w:ascii="Arial" w:eastAsia="Times New Roman" w:hAnsi="Arial" w:cs="Arial"/>
          <w:b/>
          <w:bCs/>
        </w:rPr>
        <w:t>2</w:t>
      </w:r>
      <w:r w:rsidR="000C44A6" w:rsidRPr="008B2A55">
        <w:rPr>
          <w:rFonts w:ascii="Arial" w:eastAsia="Times New Roman" w:hAnsi="Arial" w:cs="Arial"/>
          <w:b/>
          <w:bCs/>
        </w:rPr>
        <w:t>-</w:t>
      </w:r>
      <w:r w:rsidRPr="008B2A55">
        <w:rPr>
          <w:rFonts w:ascii="Arial" w:eastAsia="Times New Roman" w:hAnsi="Arial" w:cs="Arial"/>
          <w:b/>
          <w:bCs/>
        </w:rPr>
        <w:t xml:space="preserve">1: Selected KPIs Forecast for </w:t>
      </w:r>
      <w:r w:rsidR="002A7D20" w:rsidRPr="008B2A55">
        <w:rPr>
          <w:rFonts w:ascii="Arial" w:eastAsia="Times New Roman" w:hAnsi="Arial" w:cs="Arial"/>
          <w:b/>
          <w:bCs/>
        </w:rPr>
        <w:t xml:space="preserve">Terrestrial </w:t>
      </w:r>
      <w:r w:rsidR="00B479E6" w:rsidRPr="008B2A55">
        <w:rPr>
          <w:rFonts w:ascii="Arial" w:eastAsia="Times New Roman" w:hAnsi="Arial" w:cs="Arial"/>
          <w:b/>
          <w:bCs/>
        </w:rPr>
        <w:t>Radio Communications</w:t>
      </w:r>
      <w:r w:rsidR="006364AB" w:rsidRPr="008B2A55">
        <w:rPr>
          <w:rFonts w:ascii="Arial" w:eastAsia="Times New Roman" w:hAnsi="Arial" w:cs="Arial"/>
          <w:b/>
          <w:bCs/>
        </w:rPr>
        <w:t xml:space="preserve"> during </w:t>
      </w:r>
      <w:r w:rsidRPr="008B2A55">
        <w:rPr>
          <w:rFonts w:ascii="Arial" w:eastAsia="Times New Roman" w:hAnsi="Arial" w:cs="Arial"/>
          <w:b/>
          <w:bCs/>
        </w:rPr>
        <w:t>the short, medium, and long -term evolution of 5G NR.</w:t>
      </w:r>
      <w:r w:rsidRPr="008B2A55">
        <w:rPr>
          <w:rFonts w:ascii="Arial" w:eastAsia="Times New Roman" w:hAnsi="Arial" w:cs="Arial"/>
          <w:b/>
          <w:bCs/>
          <w:lang w:val="en-U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65"/>
        <w:gridCol w:w="1787"/>
        <w:gridCol w:w="1786"/>
        <w:gridCol w:w="1786"/>
        <w:gridCol w:w="1786"/>
      </w:tblGrid>
      <w:tr w:rsidR="002D32F2" w:rsidRPr="002D32F2" w14:paraId="18E54441" w14:textId="77777777" w:rsidTr="002D32F2">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4C10AC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b/>
                <w:bCs/>
                <w:sz w:val="20"/>
                <w:szCs w:val="20"/>
              </w:rPr>
              <w:t>Target KPI</w:t>
            </w:r>
            <w:r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4352A830" w14:textId="77777777" w:rsidR="006364AB" w:rsidRDefault="002D32F2" w:rsidP="002D32F2">
            <w:pPr>
              <w:spacing w:before="100" w:beforeAutospacing="1" w:after="100" w:afterAutospacing="1" w:line="240" w:lineRule="auto"/>
              <w:jc w:val="center"/>
              <w:textAlignment w:val="baseline"/>
              <w:rPr>
                <w:rFonts w:ascii="Arial" w:eastAsia="Times New Roman" w:hAnsi="Arial" w:cs="Arial"/>
                <w:b/>
                <w:bCs/>
                <w:sz w:val="20"/>
                <w:szCs w:val="20"/>
                <w:lang w:val="x-none"/>
              </w:rPr>
            </w:pPr>
            <w:r w:rsidRPr="002D32F2">
              <w:rPr>
                <w:rFonts w:ascii="Arial" w:eastAsia="Times New Roman" w:hAnsi="Arial" w:cs="Arial"/>
                <w:b/>
                <w:bCs/>
                <w:sz w:val="20"/>
                <w:szCs w:val="20"/>
                <w:lang w:val="x-none"/>
              </w:rPr>
              <w:t>5G</w:t>
            </w:r>
            <w:r w:rsidRPr="002D32F2">
              <w:rPr>
                <w:rFonts w:ascii="Arial" w:eastAsia="Times New Roman" w:hAnsi="Arial" w:cs="Arial"/>
                <w:b/>
                <w:bCs/>
                <w:sz w:val="20"/>
                <w:szCs w:val="20"/>
              </w:rPr>
              <w:t xml:space="preserve"> N</w:t>
            </w:r>
            <w:r w:rsidRPr="002D32F2">
              <w:rPr>
                <w:rFonts w:ascii="Arial" w:eastAsia="Times New Roman" w:hAnsi="Arial" w:cs="Arial"/>
                <w:b/>
                <w:bCs/>
                <w:sz w:val="20"/>
                <w:szCs w:val="20"/>
                <w:lang w:val="x-none"/>
              </w:rPr>
              <w:t>R (Rel.16)</w:t>
            </w:r>
          </w:p>
          <w:p w14:paraId="36C8E17E" w14:textId="584FEA20" w:rsidR="002D32F2"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b/>
                <w:bCs/>
                <w:sz w:val="20"/>
                <w:szCs w:val="20"/>
                <w:lang w:val="x-none"/>
              </w:rPr>
              <w:t>2020</w:t>
            </w:r>
            <w:r w:rsidR="002D32F2" w:rsidRPr="002D32F2">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10D561B5" w14:textId="77777777" w:rsidR="002D32F2" w:rsidRDefault="002D32F2" w:rsidP="002D32F2">
            <w:pPr>
              <w:spacing w:before="100" w:beforeAutospacing="1" w:after="100" w:afterAutospacing="1" w:line="240" w:lineRule="auto"/>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Short-term Evo.</w:t>
            </w:r>
            <w:r w:rsidRPr="002D32F2">
              <w:rPr>
                <w:rFonts w:ascii="Arial" w:eastAsia="Times New Roman" w:hAnsi="Arial" w:cs="Arial"/>
                <w:sz w:val="20"/>
                <w:szCs w:val="20"/>
                <w:lang w:val="en-US"/>
              </w:rPr>
              <w:t> </w:t>
            </w:r>
          </w:p>
          <w:p w14:paraId="537F5D1D" w14:textId="0AE31040" w:rsidR="006364AB"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sz w:val="20"/>
                <w:szCs w:val="20"/>
                <w:lang w:val="en-US"/>
              </w:rPr>
              <w:t>~2025</w:t>
            </w:r>
          </w:p>
        </w:tc>
        <w:tc>
          <w:tcPr>
            <w:tcW w:w="1920" w:type="dxa"/>
            <w:tcBorders>
              <w:top w:val="single" w:sz="6" w:space="0" w:color="auto"/>
              <w:left w:val="nil"/>
              <w:bottom w:val="single" w:sz="6" w:space="0" w:color="auto"/>
              <w:right w:val="single" w:sz="6" w:space="0" w:color="auto"/>
            </w:tcBorders>
            <w:shd w:val="clear" w:color="auto" w:fill="auto"/>
            <w:hideMark/>
          </w:tcPr>
          <w:p w14:paraId="5321A869" w14:textId="77777777" w:rsidR="006364AB" w:rsidRDefault="002D32F2" w:rsidP="002D32F2">
            <w:pPr>
              <w:spacing w:before="100" w:beforeAutospacing="1" w:after="100" w:afterAutospacing="1" w:line="240" w:lineRule="auto"/>
              <w:jc w:val="center"/>
              <w:textAlignment w:val="baseline"/>
              <w:rPr>
                <w:rFonts w:ascii="Arial" w:eastAsia="Times New Roman" w:hAnsi="Arial" w:cs="Arial"/>
                <w:b/>
                <w:bCs/>
                <w:sz w:val="20"/>
                <w:szCs w:val="20"/>
              </w:rPr>
            </w:pPr>
            <w:r w:rsidRPr="002D32F2">
              <w:rPr>
                <w:rFonts w:ascii="Arial" w:eastAsia="Times New Roman" w:hAnsi="Arial" w:cs="Arial"/>
                <w:b/>
                <w:bCs/>
                <w:sz w:val="20"/>
                <w:szCs w:val="20"/>
              </w:rPr>
              <w:t>Medium-term Evo</w:t>
            </w:r>
          </w:p>
          <w:p w14:paraId="5824002B" w14:textId="036B95AA" w:rsidR="002D32F2" w:rsidRPr="006364AB"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6364AB">
              <w:rPr>
                <w:rFonts w:ascii="Arial" w:eastAsia="Times New Roman" w:hAnsi="Arial" w:cs="Arial"/>
                <w:bCs/>
                <w:sz w:val="20"/>
                <w:szCs w:val="20"/>
              </w:rPr>
              <w:t>~2028</w:t>
            </w:r>
            <w:r w:rsidR="002D32F2" w:rsidRPr="006364AB">
              <w:rPr>
                <w:rFonts w:ascii="Arial" w:eastAsia="Times New Roman" w:hAnsi="Arial" w:cs="Arial"/>
                <w:sz w:val="20"/>
                <w:szCs w:val="20"/>
                <w:lang w:val="en-US"/>
              </w:rPr>
              <w:t> </w:t>
            </w:r>
          </w:p>
        </w:tc>
        <w:tc>
          <w:tcPr>
            <w:tcW w:w="1920" w:type="dxa"/>
            <w:tcBorders>
              <w:top w:val="single" w:sz="6" w:space="0" w:color="auto"/>
              <w:left w:val="nil"/>
              <w:bottom w:val="single" w:sz="6" w:space="0" w:color="auto"/>
              <w:right w:val="single" w:sz="6" w:space="0" w:color="auto"/>
            </w:tcBorders>
            <w:shd w:val="clear" w:color="auto" w:fill="auto"/>
            <w:hideMark/>
          </w:tcPr>
          <w:p w14:paraId="1C9F5444" w14:textId="77777777" w:rsidR="002D32F2" w:rsidRDefault="002D32F2" w:rsidP="002D32F2">
            <w:pPr>
              <w:spacing w:before="100" w:beforeAutospacing="1" w:after="100" w:afterAutospacing="1" w:line="240" w:lineRule="auto"/>
              <w:jc w:val="center"/>
              <w:textAlignment w:val="baseline"/>
              <w:rPr>
                <w:rFonts w:ascii="Arial" w:eastAsia="Times New Roman" w:hAnsi="Arial" w:cs="Arial"/>
                <w:sz w:val="20"/>
                <w:szCs w:val="20"/>
                <w:lang w:val="en-US"/>
              </w:rPr>
            </w:pPr>
            <w:r w:rsidRPr="002D32F2">
              <w:rPr>
                <w:rFonts w:ascii="Arial" w:eastAsia="Times New Roman" w:hAnsi="Arial" w:cs="Arial"/>
                <w:b/>
                <w:bCs/>
                <w:sz w:val="20"/>
                <w:szCs w:val="20"/>
              </w:rPr>
              <w:t>Long-term Evo.</w:t>
            </w:r>
            <w:r w:rsidRPr="002D32F2">
              <w:rPr>
                <w:rFonts w:ascii="Arial" w:eastAsia="Times New Roman" w:hAnsi="Arial" w:cs="Arial"/>
                <w:sz w:val="20"/>
                <w:szCs w:val="20"/>
                <w:lang w:val="en-US"/>
              </w:rPr>
              <w:t> </w:t>
            </w:r>
          </w:p>
          <w:p w14:paraId="78275B44" w14:textId="67BE3900" w:rsidR="006364AB" w:rsidRPr="002D32F2" w:rsidRDefault="006364AB"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Pr>
                <w:rFonts w:ascii="Arial" w:eastAsia="Times New Roman" w:hAnsi="Arial" w:cs="Arial"/>
                <w:sz w:val="20"/>
                <w:szCs w:val="20"/>
                <w:lang w:val="en-US"/>
              </w:rPr>
              <w:t>~2030</w:t>
            </w:r>
          </w:p>
        </w:tc>
      </w:tr>
      <w:tr w:rsidR="002D32F2" w:rsidRPr="002D32F2" w14:paraId="1CC491C5"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E78318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Spectrum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410DF8F"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&lt;52.6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65D50C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&lt;150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4F0EEB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&lt;300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A027EB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&lt;500 GHz</w:t>
            </w:r>
            <w:r w:rsidRPr="002D32F2">
              <w:rPr>
                <w:rFonts w:ascii="Arial" w:eastAsia="Times New Roman" w:hAnsi="Arial" w:cs="Arial"/>
                <w:sz w:val="20"/>
                <w:szCs w:val="20"/>
                <w:lang w:val="en-US"/>
              </w:rPr>
              <w:t> </w:t>
            </w:r>
          </w:p>
        </w:tc>
      </w:tr>
      <w:tr w:rsidR="002D32F2" w:rsidRPr="002D32F2" w14:paraId="4AF1BAF4"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C18F1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Bandwidth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3E7728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&lt;0.5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21825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&lt;2.5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7D91AFD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&lt;5 GHz</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9130D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&lt;10 GHz</w:t>
            </w:r>
            <w:r w:rsidRPr="002D32F2">
              <w:rPr>
                <w:rFonts w:ascii="Arial" w:eastAsia="Times New Roman" w:hAnsi="Arial" w:cs="Arial"/>
                <w:sz w:val="20"/>
                <w:szCs w:val="20"/>
                <w:lang w:val="en-US"/>
              </w:rPr>
              <w:t> </w:t>
            </w:r>
          </w:p>
        </w:tc>
      </w:tr>
      <w:tr w:rsidR="002D32F2" w:rsidRPr="002D32F2" w14:paraId="3AD68598"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369E122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Peak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92A86F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 Gbps</w:t>
            </w:r>
            <w:r w:rsidRPr="002D32F2">
              <w:rPr>
                <w:rFonts w:ascii="Arial" w:eastAsia="Times New Roman" w:hAnsi="Arial" w:cs="Arial"/>
                <w:sz w:val="20"/>
                <w:szCs w:val="20"/>
                <w:lang w:val="en-US"/>
              </w:rPr>
              <w:t> </w:t>
            </w:r>
          </w:p>
          <w:p w14:paraId="1F8922D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B0ACC9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Gbps</w:t>
            </w:r>
            <w:r w:rsidRPr="002D32F2">
              <w:rPr>
                <w:rFonts w:ascii="Arial" w:eastAsia="Times New Roman" w:hAnsi="Arial" w:cs="Arial"/>
                <w:sz w:val="20"/>
                <w:szCs w:val="20"/>
                <w:lang w:val="en-US"/>
              </w:rPr>
              <w:t> </w:t>
            </w:r>
          </w:p>
          <w:p w14:paraId="18580DC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5148ED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&gt;200 Gbps</w:t>
            </w:r>
            <w:r w:rsidRPr="002D32F2">
              <w:rPr>
                <w:rFonts w:ascii="Arial" w:eastAsia="Times New Roman" w:hAnsi="Arial" w:cs="Arial"/>
                <w:sz w:val="20"/>
                <w:szCs w:val="20"/>
                <w:lang w:val="en-US"/>
              </w:rPr>
              <w:t> </w:t>
            </w:r>
          </w:p>
          <w:p w14:paraId="00B88CE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&gt;100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3020F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&gt;400 Gbps</w:t>
            </w:r>
            <w:r w:rsidRPr="002D32F2">
              <w:rPr>
                <w:rFonts w:ascii="Arial" w:eastAsia="Times New Roman" w:hAnsi="Arial" w:cs="Arial"/>
                <w:sz w:val="20"/>
                <w:szCs w:val="20"/>
                <w:lang w:val="en-US"/>
              </w:rPr>
              <w:t> </w:t>
            </w:r>
          </w:p>
          <w:p w14:paraId="4110C15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&gt;200 Gbps</w:t>
            </w:r>
            <w:r w:rsidRPr="002D32F2">
              <w:rPr>
                <w:rFonts w:ascii="Arial" w:eastAsia="Times New Roman" w:hAnsi="Arial" w:cs="Arial"/>
                <w:sz w:val="20"/>
                <w:szCs w:val="20"/>
                <w:lang w:val="en-US"/>
              </w:rPr>
              <w:t> </w:t>
            </w:r>
          </w:p>
        </w:tc>
      </w:tr>
      <w:tr w:rsidR="002D32F2" w:rsidRPr="002D32F2" w14:paraId="7DF2838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2CFE14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User Data Rate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C02181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&gt;100 Mbps</w:t>
            </w:r>
            <w:r w:rsidRPr="002D32F2">
              <w:rPr>
                <w:rFonts w:ascii="Arial" w:eastAsia="Times New Roman" w:hAnsi="Arial" w:cs="Arial"/>
                <w:sz w:val="20"/>
                <w:szCs w:val="20"/>
                <w:lang w:val="en-US"/>
              </w:rPr>
              <w:t> </w:t>
            </w:r>
          </w:p>
          <w:p w14:paraId="4763062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CEF807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&gt;500 Mbps</w:t>
            </w:r>
            <w:r w:rsidRPr="002D32F2">
              <w:rPr>
                <w:rFonts w:ascii="Arial" w:eastAsia="Times New Roman" w:hAnsi="Arial" w:cs="Arial"/>
                <w:sz w:val="20"/>
                <w:szCs w:val="20"/>
                <w:lang w:val="en-US"/>
              </w:rPr>
              <w:t> </w:t>
            </w:r>
          </w:p>
          <w:p w14:paraId="4B20834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&gt;250 Mbps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95985D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 &gt;1 Gbps</w:t>
            </w:r>
            <w:r w:rsidRPr="002D32F2">
              <w:rPr>
                <w:rFonts w:ascii="Arial" w:eastAsia="Times New Roman" w:hAnsi="Arial" w:cs="Arial"/>
                <w:sz w:val="20"/>
                <w:szCs w:val="20"/>
                <w:lang w:val="en-US"/>
              </w:rPr>
              <w:t> </w:t>
            </w:r>
          </w:p>
          <w:p w14:paraId="3A70B9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&gt;0.5 Gbps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7A5AD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DL:&gt;2 Gbps</w:t>
            </w:r>
            <w:r w:rsidRPr="002D32F2">
              <w:rPr>
                <w:rFonts w:ascii="Arial" w:eastAsia="Times New Roman" w:hAnsi="Arial" w:cs="Arial"/>
                <w:sz w:val="20"/>
                <w:szCs w:val="20"/>
                <w:lang w:val="en-US"/>
              </w:rPr>
              <w:t> </w:t>
            </w:r>
          </w:p>
          <w:p w14:paraId="1DFC952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UL: &gt;1 Gbps</w:t>
            </w:r>
            <w:r w:rsidRPr="002D32F2">
              <w:rPr>
                <w:rFonts w:ascii="Arial" w:eastAsia="Times New Roman" w:hAnsi="Arial" w:cs="Arial"/>
                <w:sz w:val="20"/>
                <w:szCs w:val="20"/>
                <w:lang w:val="en-US"/>
              </w:rPr>
              <w:t> </w:t>
            </w:r>
          </w:p>
        </w:tc>
      </w:tr>
      <w:tr w:rsidR="002D32F2" w:rsidRPr="002D32F2" w14:paraId="65A5B6EE"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5BABEE9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Density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DEDD586"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825636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&gt;1.5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D6230B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&gt;2 device/sqm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AF3CA5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rPr>
              <w:t>&gt;5 device/sqm</w:t>
            </w:r>
            <w:r w:rsidRPr="002D32F2">
              <w:rPr>
                <w:rFonts w:ascii="Arial" w:eastAsia="Times New Roman" w:hAnsi="Arial" w:cs="Arial"/>
                <w:sz w:val="20"/>
                <w:szCs w:val="20"/>
                <w:lang w:val="en-US"/>
              </w:rPr>
              <w:t> </w:t>
            </w:r>
          </w:p>
        </w:tc>
      </w:tr>
      <w:tr w:rsidR="002D32F2" w:rsidRPr="002D32F2" w14:paraId="298ACA9A"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2167AE11" w14:textId="7892ED1E"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Reliability</w:t>
            </w:r>
            <w:r w:rsidRPr="002D32F2">
              <w:rPr>
                <w:rFonts w:ascii="Arial" w:eastAsia="Times New Roman" w:hAnsi="Arial" w:cs="Arial"/>
                <w:sz w:val="20"/>
                <w:szCs w:val="20"/>
                <w:lang w:val="en-US"/>
              </w:rPr>
              <w:t> </w:t>
            </w:r>
            <w:r w:rsidR="006364AB">
              <w:rPr>
                <w:rFonts w:ascii="Arial" w:eastAsia="Times New Roman" w:hAnsi="Arial" w:cs="Arial"/>
                <w:sz w:val="20"/>
                <w:szCs w:val="20"/>
                <w:lang w:val="en-US"/>
              </w:rPr>
              <w:t>[BLER]</w:t>
            </w:r>
          </w:p>
        </w:tc>
        <w:tc>
          <w:tcPr>
            <w:tcW w:w="1920" w:type="dxa"/>
            <w:tcBorders>
              <w:top w:val="nil"/>
              <w:left w:val="nil"/>
              <w:bottom w:val="single" w:sz="6" w:space="0" w:color="auto"/>
              <w:right w:val="single" w:sz="6" w:space="0" w:color="auto"/>
            </w:tcBorders>
            <w:shd w:val="clear" w:color="auto" w:fill="auto"/>
            <w:hideMark/>
          </w:tcPr>
          <w:p w14:paraId="218D8158" w14:textId="28D9FAFF" w:rsidR="002D32F2" w:rsidRPr="002D32F2" w:rsidRDefault="002D32F2" w:rsidP="006364AB">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&gt;</w:t>
            </w:r>
            <w:r w:rsidR="006364AB">
              <w:rPr>
                <w:rFonts w:ascii="Arial" w:eastAsia="Times New Roman" w:hAnsi="Arial" w:cs="Arial"/>
                <w:sz w:val="20"/>
                <w:szCs w:val="20"/>
                <w:lang w:val="fi-FI"/>
              </w:rPr>
              <w:t>1-10</w:t>
            </w:r>
            <w:r w:rsidR="006364AB" w:rsidRPr="006364AB">
              <w:rPr>
                <w:rFonts w:ascii="Arial" w:eastAsia="Times New Roman" w:hAnsi="Arial" w:cs="Arial"/>
                <w:sz w:val="20"/>
                <w:szCs w:val="20"/>
                <w:vertAlign w:val="superscript"/>
                <w:lang w:val="fi-FI"/>
              </w:rPr>
              <w:t>-5</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CA7C52A" w14:textId="06E71D3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6</w:t>
            </w:r>
            <w:r w:rsidR="002A7D20"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43BEF0" w14:textId="45177559"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7</w:t>
            </w:r>
            <w:r w:rsidR="002A7D20"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100DF7E" w14:textId="5C10CC9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w:t>
            </w:r>
            <w:r w:rsidR="002A7D20">
              <w:rPr>
                <w:rFonts w:ascii="Arial" w:eastAsia="Times New Roman" w:hAnsi="Arial" w:cs="Arial"/>
                <w:sz w:val="20"/>
                <w:szCs w:val="20"/>
                <w:lang w:val="fi-FI"/>
              </w:rPr>
              <w:t>1-10</w:t>
            </w:r>
            <w:r w:rsidR="002A7D20" w:rsidRPr="006364AB">
              <w:rPr>
                <w:rFonts w:ascii="Arial" w:eastAsia="Times New Roman" w:hAnsi="Arial" w:cs="Arial"/>
                <w:sz w:val="20"/>
                <w:szCs w:val="20"/>
                <w:vertAlign w:val="superscript"/>
                <w:lang w:val="fi-FI"/>
              </w:rPr>
              <w:t>-</w:t>
            </w:r>
            <w:r w:rsidR="002A7D20">
              <w:rPr>
                <w:rFonts w:ascii="Arial" w:eastAsia="Times New Roman" w:hAnsi="Arial" w:cs="Arial"/>
                <w:sz w:val="20"/>
                <w:szCs w:val="20"/>
                <w:vertAlign w:val="superscript"/>
                <w:lang w:val="fi-FI"/>
              </w:rPr>
              <w:t>8</w:t>
            </w:r>
            <w:r w:rsidR="002A7D20" w:rsidRPr="002D32F2">
              <w:rPr>
                <w:rFonts w:ascii="Arial" w:eastAsia="Times New Roman" w:hAnsi="Arial" w:cs="Arial"/>
                <w:sz w:val="20"/>
                <w:szCs w:val="20"/>
                <w:lang w:val="en-US"/>
              </w:rPr>
              <w:t> </w:t>
            </w:r>
          </w:p>
        </w:tc>
      </w:tr>
      <w:tr w:rsidR="002D32F2" w:rsidRPr="002D32F2" w14:paraId="05C84E4B"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C8B4A0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A34DA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URLLC: &lt;1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1E6BD1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&lt;0.5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BF1B2E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&lt;0.2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269896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&lt;0.1 ms</w:t>
            </w:r>
            <w:r w:rsidRPr="002D32F2">
              <w:rPr>
                <w:rFonts w:ascii="Arial" w:eastAsia="Times New Roman" w:hAnsi="Arial" w:cs="Arial"/>
                <w:sz w:val="20"/>
                <w:szCs w:val="20"/>
                <w:lang w:val="en-US"/>
              </w:rPr>
              <w:t> </w:t>
            </w:r>
          </w:p>
        </w:tc>
      </w:tr>
      <w:tr w:rsidR="002D32F2" w:rsidRPr="002D32F2" w14:paraId="55F6512D"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07056F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C-Plane Latency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C5BCD1"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CE96B7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1CD0117"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&lt;4 ms</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0AF73B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&lt;2 ms</w:t>
            </w:r>
            <w:r w:rsidRPr="002D32F2">
              <w:rPr>
                <w:rFonts w:ascii="Arial" w:eastAsia="Times New Roman" w:hAnsi="Arial" w:cs="Arial"/>
                <w:sz w:val="20"/>
                <w:szCs w:val="20"/>
                <w:lang w:val="en-US"/>
              </w:rPr>
              <w:t> </w:t>
            </w:r>
          </w:p>
        </w:tc>
      </w:tr>
      <w:tr w:rsidR="002D32F2" w:rsidRPr="002D32F2" w14:paraId="21796DB1"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6595103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Energy Efficiency (Net./Term.)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29B611A"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Qualitative</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3DE8DD7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&gt;30 %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985E359"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&gt;70 % gain vs IMT-2020</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06F862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&gt;100% gain vs IMT-2020</w:t>
            </w:r>
            <w:r w:rsidRPr="002D32F2">
              <w:rPr>
                <w:rFonts w:ascii="Arial" w:eastAsia="Times New Roman" w:hAnsi="Arial" w:cs="Arial"/>
                <w:sz w:val="20"/>
                <w:szCs w:val="20"/>
                <w:lang w:val="en-US"/>
              </w:rPr>
              <w:t> </w:t>
            </w:r>
          </w:p>
        </w:tc>
      </w:tr>
      <w:tr w:rsidR="002D32F2" w:rsidRPr="002D32F2" w14:paraId="7BAE94EC"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4A71E0A3"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Mobility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0DC3B60B"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82B7BE5"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73CC70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&lt;500 Km/h</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61AB176D"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&lt;1000 Km/h</w:t>
            </w:r>
            <w:r w:rsidRPr="002D32F2">
              <w:rPr>
                <w:rFonts w:ascii="Arial" w:eastAsia="Times New Roman" w:hAnsi="Arial" w:cs="Arial"/>
                <w:sz w:val="20"/>
                <w:szCs w:val="20"/>
                <w:lang w:val="en-US"/>
              </w:rPr>
              <w:t> </w:t>
            </w:r>
          </w:p>
        </w:tc>
      </w:tr>
      <w:tr w:rsidR="002D32F2" w:rsidRPr="002D32F2" w14:paraId="1C70A1C0" w14:textId="77777777" w:rsidTr="002D32F2">
        <w:tc>
          <w:tcPr>
            <w:tcW w:w="1920" w:type="dxa"/>
            <w:tcBorders>
              <w:top w:val="nil"/>
              <w:left w:val="single" w:sz="6" w:space="0" w:color="auto"/>
              <w:bottom w:val="single" w:sz="6" w:space="0" w:color="auto"/>
              <w:right w:val="single" w:sz="6" w:space="0" w:color="auto"/>
            </w:tcBorders>
            <w:shd w:val="clear" w:color="auto" w:fill="auto"/>
            <w:hideMark/>
          </w:tcPr>
          <w:p w14:paraId="73942A40"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Positioning accuracy</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1625D7A8"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NA (&lt;1 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44CF0BFE"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&lt;30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560BDF72"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&lt;10 cm</w:t>
            </w:r>
            <w:r w:rsidRPr="002D32F2">
              <w:rPr>
                <w:rFonts w:ascii="Arial" w:eastAsia="Times New Roman" w:hAnsi="Arial" w:cs="Arial"/>
                <w:sz w:val="20"/>
                <w:szCs w:val="20"/>
                <w:lang w:val="en-US"/>
              </w:rPr>
              <w:t> </w:t>
            </w:r>
          </w:p>
        </w:tc>
        <w:tc>
          <w:tcPr>
            <w:tcW w:w="1920" w:type="dxa"/>
            <w:tcBorders>
              <w:top w:val="nil"/>
              <w:left w:val="nil"/>
              <w:bottom w:val="single" w:sz="6" w:space="0" w:color="auto"/>
              <w:right w:val="single" w:sz="6" w:space="0" w:color="auto"/>
            </w:tcBorders>
            <w:shd w:val="clear" w:color="auto" w:fill="auto"/>
            <w:hideMark/>
          </w:tcPr>
          <w:p w14:paraId="2087FFE4" w14:textId="77777777" w:rsidR="002D32F2" w:rsidRPr="002D32F2" w:rsidRDefault="002D32F2" w:rsidP="002D32F2">
            <w:pPr>
              <w:spacing w:before="100" w:beforeAutospacing="1" w:after="100" w:afterAutospacing="1" w:line="240" w:lineRule="auto"/>
              <w:jc w:val="center"/>
              <w:textAlignment w:val="baseline"/>
              <w:rPr>
                <w:rFonts w:ascii="Times New Roman" w:eastAsia="Times New Roman" w:hAnsi="Times New Roman" w:cs="Times New Roman"/>
                <w:sz w:val="24"/>
                <w:szCs w:val="24"/>
                <w:lang w:val="en-US"/>
              </w:rPr>
            </w:pPr>
            <w:r w:rsidRPr="002D32F2">
              <w:rPr>
                <w:rFonts w:ascii="Arial" w:eastAsia="Times New Roman" w:hAnsi="Arial" w:cs="Arial"/>
                <w:sz w:val="20"/>
                <w:szCs w:val="20"/>
                <w:lang w:val="x-none"/>
              </w:rPr>
              <w:t>&lt;1 cm</w:t>
            </w:r>
            <w:r w:rsidRPr="002D32F2">
              <w:rPr>
                <w:rFonts w:ascii="Arial" w:eastAsia="Times New Roman" w:hAnsi="Arial" w:cs="Arial"/>
                <w:sz w:val="20"/>
                <w:szCs w:val="20"/>
                <w:lang w:val="en-US"/>
              </w:rPr>
              <w:t> </w:t>
            </w:r>
          </w:p>
        </w:tc>
      </w:tr>
    </w:tbl>
    <w:p w14:paraId="38AFF782" w14:textId="5FF4A8F4" w:rsidR="001E3DA2" w:rsidRDefault="001E3DA2" w:rsidP="00766813">
      <w:pPr>
        <w:jc w:val="both"/>
        <w:rPr>
          <w:rFonts w:ascii="Arial" w:hAnsi="Arial" w:cs="Arial"/>
          <w:sz w:val="20"/>
          <w:szCs w:val="20"/>
        </w:rPr>
      </w:pPr>
    </w:p>
    <w:p w14:paraId="48028882" w14:textId="1B7AECE9" w:rsidR="000C44A6" w:rsidRDefault="000C44A6" w:rsidP="00766813">
      <w:pPr>
        <w:jc w:val="both"/>
        <w:rPr>
          <w:rFonts w:ascii="Arial" w:hAnsi="Arial" w:cs="Arial"/>
        </w:rPr>
      </w:pPr>
      <w:r w:rsidRPr="008B2A55">
        <w:rPr>
          <w:rFonts w:ascii="Arial" w:hAnsi="Arial" w:cs="Arial"/>
        </w:rPr>
        <w:t xml:space="preserve">As for the satellite communications, satellite </w:t>
      </w:r>
      <w:r w:rsidR="002A7D20" w:rsidRPr="008B2A55">
        <w:rPr>
          <w:rFonts w:ascii="Arial" w:hAnsi="Arial" w:cs="Arial"/>
        </w:rPr>
        <w:t>working group within Networld2020 is considering the following KPIs</w:t>
      </w:r>
      <w:r w:rsidR="008B2A55">
        <w:rPr>
          <w:rFonts w:ascii="Arial" w:hAnsi="Arial" w:cs="Arial"/>
        </w:rPr>
        <w:t xml:space="preserve"> (Table 2-2).</w:t>
      </w:r>
    </w:p>
    <w:p w14:paraId="55DF74DE" w14:textId="77777777" w:rsidR="00210FCA" w:rsidRPr="008B2A55" w:rsidRDefault="00210FCA" w:rsidP="00766813">
      <w:pPr>
        <w:jc w:val="both"/>
        <w:rPr>
          <w:rFonts w:ascii="Arial" w:hAnsi="Arial" w:cs="Arial"/>
        </w:rPr>
      </w:pPr>
    </w:p>
    <w:p w14:paraId="1BE5869C" w14:textId="74346EE0" w:rsidR="000C44A6" w:rsidRPr="008B2A55" w:rsidRDefault="002A7D20" w:rsidP="002A7D20">
      <w:pPr>
        <w:spacing w:before="100" w:beforeAutospacing="1" w:after="0" w:line="240" w:lineRule="auto"/>
        <w:jc w:val="both"/>
        <w:textAlignment w:val="baseline"/>
        <w:rPr>
          <w:rFonts w:ascii="Arial" w:eastAsia="Times New Roman" w:hAnsi="Arial" w:cs="Arial"/>
          <w:b/>
          <w:bCs/>
          <w:lang w:val="en-US"/>
        </w:rPr>
      </w:pPr>
      <w:r w:rsidRPr="008B2A55">
        <w:rPr>
          <w:rFonts w:ascii="Arial" w:eastAsia="Times New Roman" w:hAnsi="Arial" w:cs="Arial"/>
          <w:b/>
          <w:bCs/>
        </w:rPr>
        <w:lastRenderedPageBreak/>
        <w:t xml:space="preserve">Table </w:t>
      </w:r>
      <w:r w:rsidR="008B2A55" w:rsidRPr="008B2A55">
        <w:rPr>
          <w:rFonts w:ascii="Arial" w:eastAsia="Times New Roman" w:hAnsi="Arial" w:cs="Arial"/>
          <w:b/>
          <w:bCs/>
        </w:rPr>
        <w:t>2</w:t>
      </w:r>
      <w:r w:rsidRPr="008B2A55">
        <w:rPr>
          <w:rFonts w:ascii="Arial" w:eastAsia="Times New Roman" w:hAnsi="Arial" w:cs="Arial"/>
          <w:b/>
          <w:bCs/>
        </w:rPr>
        <w:t>-</w:t>
      </w:r>
      <w:r w:rsidR="008B2A55" w:rsidRPr="008B2A55">
        <w:rPr>
          <w:rFonts w:ascii="Arial" w:eastAsia="Times New Roman" w:hAnsi="Arial" w:cs="Arial"/>
          <w:b/>
          <w:bCs/>
        </w:rPr>
        <w:t>2</w:t>
      </w:r>
      <w:r w:rsidRPr="008B2A55">
        <w:rPr>
          <w:rFonts w:ascii="Arial" w:eastAsia="Times New Roman" w:hAnsi="Arial" w:cs="Arial"/>
          <w:b/>
          <w:bCs/>
        </w:rPr>
        <w:t xml:space="preserve">: Selected KPIs Forecast for </w:t>
      </w:r>
      <w:r w:rsidR="007D1063" w:rsidRPr="008B2A55">
        <w:rPr>
          <w:rFonts w:ascii="Arial" w:eastAsia="Times New Roman" w:hAnsi="Arial" w:cs="Arial"/>
          <w:b/>
          <w:bCs/>
        </w:rPr>
        <w:t xml:space="preserve">Satellite </w:t>
      </w:r>
      <w:r w:rsidRPr="008B2A55">
        <w:rPr>
          <w:rFonts w:ascii="Arial" w:eastAsia="Times New Roman" w:hAnsi="Arial" w:cs="Arial"/>
          <w:b/>
          <w:bCs/>
        </w:rPr>
        <w:t>Radio Communications during the short, medium, and long -term evolution of 5G NR.</w:t>
      </w:r>
      <w:r w:rsidRPr="008B2A55">
        <w:rPr>
          <w:rFonts w:ascii="Arial" w:eastAsia="Times New Roman" w:hAnsi="Arial" w:cs="Arial"/>
          <w:b/>
          <w:bCs/>
          <w:lang w:val="en-US"/>
        </w:rPr>
        <w:t> </w:t>
      </w:r>
    </w:p>
    <w:tbl>
      <w:tblPr>
        <w:tblStyle w:val="TableGrid3"/>
        <w:tblpPr w:leftFromText="180" w:rightFromText="180" w:vertAnchor="text" w:horzAnchor="margin" w:tblpY="266"/>
        <w:tblW w:w="9067" w:type="dxa"/>
        <w:tblLook w:val="04A0" w:firstRow="1" w:lastRow="0" w:firstColumn="1" w:lastColumn="0" w:noHBand="0" w:noVBand="1"/>
      </w:tblPr>
      <w:tblGrid>
        <w:gridCol w:w="3055"/>
        <w:gridCol w:w="1760"/>
        <w:gridCol w:w="2126"/>
        <w:gridCol w:w="2126"/>
      </w:tblGrid>
      <w:tr w:rsidR="000C44A6" w:rsidRPr="000C44A6" w14:paraId="7129F116" w14:textId="77777777" w:rsidTr="008B2A55">
        <w:tc>
          <w:tcPr>
            <w:tcW w:w="3055" w:type="dxa"/>
          </w:tcPr>
          <w:p w14:paraId="4F69C239"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KPI</w:t>
            </w:r>
          </w:p>
        </w:tc>
        <w:tc>
          <w:tcPr>
            <w:tcW w:w="1760" w:type="dxa"/>
          </w:tcPr>
          <w:p w14:paraId="274CDD59"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Short tTerm Evo.</w:t>
            </w:r>
          </w:p>
        </w:tc>
        <w:tc>
          <w:tcPr>
            <w:tcW w:w="2126" w:type="dxa"/>
          </w:tcPr>
          <w:p w14:paraId="4AD4749A"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Medium-Term Evo</w:t>
            </w:r>
          </w:p>
        </w:tc>
        <w:tc>
          <w:tcPr>
            <w:tcW w:w="2126" w:type="dxa"/>
          </w:tcPr>
          <w:p w14:paraId="538A068B" w14:textId="77777777" w:rsidR="000C44A6" w:rsidRPr="000C44A6" w:rsidRDefault="000C44A6" w:rsidP="000C44A6">
            <w:pPr>
              <w:spacing w:after="120"/>
              <w:jc w:val="center"/>
              <w:rPr>
                <w:rFonts w:cstheme="minorHAnsi"/>
                <w:b/>
                <w:bCs/>
                <w:sz w:val="20"/>
                <w:szCs w:val="20"/>
              </w:rPr>
            </w:pPr>
            <w:r w:rsidRPr="000C44A6">
              <w:rPr>
                <w:rFonts w:cstheme="minorHAnsi"/>
                <w:b/>
                <w:bCs/>
                <w:sz w:val="20"/>
                <w:szCs w:val="20"/>
              </w:rPr>
              <w:t>Long-Term Evo</w:t>
            </w:r>
          </w:p>
        </w:tc>
      </w:tr>
      <w:tr w:rsidR="000C44A6" w:rsidRPr="000C44A6" w14:paraId="3F9C17BF" w14:textId="77777777" w:rsidTr="008B2A55">
        <w:tc>
          <w:tcPr>
            <w:tcW w:w="3055" w:type="dxa"/>
          </w:tcPr>
          <w:p w14:paraId="7112DD17" w14:textId="77777777" w:rsidR="000C44A6" w:rsidRPr="000C44A6" w:rsidRDefault="000C44A6" w:rsidP="000C44A6">
            <w:pPr>
              <w:spacing w:after="120"/>
              <w:rPr>
                <w:rFonts w:cstheme="minorHAnsi"/>
                <w:sz w:val="20"/>
                <w:szCs w:val="20"/>
              </w:rPr>
            </w:pPr>
            <w:r w:rsidRPr="000C44A6">
              <w:rPr>
                <w:rFonts w:cstheme="minorHAnsi"/>
                <w:sz w:val="20"/>
                <w:szCs w:val="20"/>
              </w:rPr>
              <w:t>Minimization of unmet capacity</w:t>
            </w:r>
            <w:r w:rsidRPr="000C44A6">
              <w:rPr>
                <w:rFonts w:cstheme="minorHAnsi"/>
                <w:sz w:val="20"/>
                <w:szCs w:val="20"/>
              </w:rPr>
              <w:br/>
              <w:t>[user demand that is not satisfied]</w:t>
            </w:r>
          </w:p>
        </w:tc>
        <w:tc>
          <w:tcPr>
            <w:tcW w:w="1760" w:type="dxa"/>
          </w:tcPr>
          <w:p w14:paraId="7BB89E2F" w14:textId="77777777" w:rsidR="000C44A6" w:rsidRPr="000C44A6" w:rsidRDefault="000C44A6" w:rsidP="000C44A6">
            <w:pPr>
              <w:spacing w:after="120"/>
              <w:rPr>
                <w:rFonts w:cstheme="minorHAnsi"/>
                <w:sz w:val="20"/>
                <w:szCs w:val="20"/>
              </w:rPr>
            </w:pPr>
            <w:r w:rsidRPr="000C44A6">
              <w:rPr>
                <w:rFonts w:cstheme="minorHAnsi"/>
                <w:sz w:val="20"/>
                <w:szCs w:val="20"/>
              </w:rPr>
              <w:t>&lt;0.1.%</w:t>
            </w:r>
          </w:p>
        </w:tc>
        <w:tc>
          <w:tcPr>
            <w:tcW w:w="2126" w:type="dxa"/>
          </w:tcPr>
          <w:p w14:paraId="74996164" w14:textId="77777777" w:rsidR="000C44A6" w:rsidRPr="000C44A6" w:rsidRDefault="000C44A6" w:rsidP="000C44A6">
            <w:pPr>
              <w:spacing w:after="120"/>
              <w:rPr>
                <w:rFonts w:cstheme="minorHAnsi"/>
                <w:sz w:val="20"/>
                <w:szCs w:val="20"/>
              </w:rPr>
            </w:pPr>
            <w:r w:rsidRPr="000C44A6">
              <w:rPr>
                <w:rFonts w:cstheme="minorHAnsi"/>
                <w:sz w:val="20"/>
                <w:szCs w:val="20"/>
              </w:rPr>
              <w:t>&lt;0.05%</w:t>
            </w:r>
          </w:p>
        </w:tc>
        <w:tc>
          <w:tcPr>
            <w:tcW w:w="2126" w:type="dxa"/>
          </w:tcPr>
          <w:p w14:paraId="3B3A1DF5" w14:textId="77777777" w:rsidR="000C44A6" w:rsidRPr="000C44A6" w:rsidRDefault="000C44A6" w:rsidP="000C44A6">
            <w:pPr>
              <w:spacing w:after="120"/>
              <w:rPr>
                <w:rFonts w:cstheme="minorHAnsi"/>
                <w:sz w:val="20"/>
                <w:szCs w:val="20"/>
              </w:rPr>
            </w:pPr>
            <w:r w:rsidRPr="000C44A6">
              <w:rPr>
                <w:rFonts w:cstheme="minorHAnsi"/>
                <w:sz w:val="20"/>
                <w:szCs w:val="20"/>
              </w:rPr>
              <w:t>&lt;0.01%</w:t>
            </w:r>
          </w:p>
        </w:tc>
      </w:tr>
      <w:tr w:rsidR="000C44A6" w:rsidRPr="000C44A6" w14:paraId="617B3097" w14:textId="77777777" w:rsidTr="008B2A55">
        <w:tc>
          <w:tcPr>
            <w:tcW w:w="3055" w:type="dxa"/>
          </w:tcPr>
          <w:p w14:paraId="6247C8C3" w14:textId="77777777" w:rsidR="000C44A6" w:rsidRPr="000C44A6" w:rsidRDefault="000C44A6" w:rsidP="000C44A6">
            <w:pPr>
              <w:spacing w:after="120"/>
              <w:rPr>
                <w:rFonts w:cstheme="minorHAnsi"/>
                <w:sz w:val="20"/>
                <w:szCs w:val="20"/>
              </w:rPr>
            </w:pPr>
            <w:r w:rsidRPr="000C44A6">
              <w:rPr>
                <w:rFonts w:cstheme="minorHAnsi"/>
                <w:sz w:val="20"/>
                <w:szCs w:val="20"/>
              </w:rPr>
              <w:t>Maximization of satellite resource utilization</w:t>
            </w:r>
            <w:r w:rsidRPr="000C44A6">
              <w:rPr>
                <w:rFonts w:cstheme="minorHAnsi"/>
                <w:sz w:val="20"/>
                <w:szCs w:val="20"/>
              </w:rPr>
              <w:br/>
              <w:t>[Used satellite resources such as power, bandwidth, etc]</w:t>
            </w:r>
          </w:p>
        </w:tc>
        <w:tc>
          <w:tcPr>
            <w:tcW w:w="1760" w:type="dxa"/>
          </w:tcPr>
          <w:p w14:paraId="76EDBA87" w14:textId="77777777" w:rsidR="000C44A6" w:rsidRPr="000C44A6" w:rsidRDefault="000C44A6" w:rsidP="000C44A6">
            <w:pPr>
              <w:spacing w:after="120"/>
              <w:rPr>
                <w:rFonts w:cstheme="minorHAnsi"/>
                <w:sz w:val="20"/>
                <w:szCs w:val="20"/>
              </w:rPr>
            </w:pPr>
            <w:r w:rsidRPr="000C44A6">
              <w:rPr>
                <w:rFonts w:cstheme="minorHAnsi"/>
                <w:sz w:val="20"/>
                <w:szCs w:val="20"/>
              </w:rPr>
              <w:t>&gt;99%</w:t>
            </w:r>
          </w:p>
        </w:tc>
        <w:tc>
          <w:tcPr>
            <w:tcW w:w="2126" w:type="dxa"/>
          </w:tcPr>
          <w:p w14:paraId="1919B725" w14:textId="77777777" w:rsidR="000C44A6" w:rsidRPr="000C44A6" w:rsidRDefault="000C44A6" w:rsidP="000C44A6">
            <w:pPr>
              <w:spacing w:after="120"/>
              <w:rPr>
                <w:rFonts w:cstheme="minorHAnsi"/>
                <w:sz w:val="20"/>
                <w:szCs w:val="20"/>
              </w:rPr>
            </w:pPr>
            <w:r w:rsidRPr="000C44A6">
              <w:rPr>
                <w:rFonts w:cstheme="minorHAnsi"/>
                <w:sz w:val="20"/>
                <w:szCs w:val="20"/>
              </w:rPr>
              <w:t>&gt;99.9%</w:t>
            </w:r>
          </w:p>
        </w:tc>
        <w:tc>
          <w:tcPr>
            <w:tcW w:w="2126" w:type="dxa"/>
          </w:tcPr>
          <w:p w14:paraId="0A93C1B7" w14:textId="77777777" w:rsidR="000C44A6" w:rsidRPr="000C44A6" w:rsidRDefault="000C44A6" w:rsidP="000C44A6">
            <w:pPr>
              <w:spacing w:after="120"/>
              <w:rPr>
                <w:rFonts w:cstheme="minorHAnsi"/>
                <w:sz w:val="20"/>
                <w:szCs w:val="20"/>
              </w:rPr>
            </w:pPr>
            <w:r w:rsidRPr="000C44A6">
              <w:rPr>
                <w:rFonts w:cstheme="minorHAnsi"/>
                <w:sz w:val="20"/>
                <w:szCs w:val="20"/>
              </w:rPr>
              <w:t>&gt;99.99%</w:t>
            </w:r>
          </w:p>
        </w:tc>
      </w:tr>
      <w:tr w:rsidR="000C44A6" w:rsidRPr="000C44A6" w14:paraId="654C32AF" w14:textId="77777777" w:rsidTr="008B2A55">
        <w:tc>
          <w:tcPr>
            <w:tcW w:w="3055" w:type="dxa"/>
          </w:tcPr>
          <w:p w14:paraId="4E040A04"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Time to reallocate satellite resources</w:t>
            </w:r>
          </w:p>
          <w:p w14:paraId="0C010A48" w14:textId="77777777" w:rsidR="000C44A6" w:rsidRPr="000C44A6" w:rsidRDefault="000C44A6" w:rsidP="000C44A6">
            <w:pPr>
              <w:spacing w:after="120"/>
              <w:rPr>
                <w:rFonts w:cstheme="minorHAnsi"/>
                <w:sz w:val="20"/>
                <w:szCs w:val="20"/>
              </w:rPr>
            </w:pPr>
            <w:r w:rsidRPr="000C44A6">
              <w:rPr>
                <w:rFonts w:eastAsia="Times New Roman" w:cstheme="minorHAnsi"/>
                <w:color w:val="222222"/>
                <w:sz w:val="20"/>
                <w:szCs w:val="20"/>
                <w:lang w:eastAsia="en-GB"/>
              </w:rPr>
              <w:t>[Allocation of satellite resources such as power, spectrum, beampattern given a change in the demand]</w:t>
            </w:r>
          </w:p>
        </w:tc>
        <w:tc>
          <w:tcPr>
            <w:tcW w:w="1760" w:type="dxa"/>
          </w:tcPr>
          <w:p w14:paraId="1EF422EE" w14:textId="77777777" w:rsidR="000C44A6" w:rsidRPr="000C44A6" w:rsidRDefault="000C44A6" w:rsidP="000C44A6">
            <w:pPr>
              <w:spacing w:after="120"/>
              <w:rPr>
                <w:rFonts w:cstheme="minorHAnsi"/>
                <w:sz w:val="20"/>
                <w:szCs w:val="20"/>
              </w:rPr>
            </w:pPr>
            <w:r w:rsidRPr="000C44A6">
              <w:rPr>
                <w:rFonts w:cstheme="minorHAnsi"/>
                <w:sz w:val="20"/>
                <w:szCs w:val="20"/>
              </w:rPr>
              <w:t>&lt;1 min</w:t>
            </w:r>
          </w:p>
        </w:tc>
        <w:tc>
          <w:tcPr>
            <w:tcW w:w="2126" w:type="dxa"/>
          </w:tcPr>
          <w:p w14:paraId="16ECD5D6" w14:textId="77777777" w:rsidR="000C44A6" w:rsidRPr="000C44A6" w:rsidRDefault="000C44A6" w:rsidP="000C44A6">
            <w:pPr>
              <w:spacing w:after="120"/>
              <w:rPr>
                <w:rFonts w:cstheme="minorHAnsi"/>
                <w:sz w:val="20"/>
                <w:szCs w:val="20"/>
              </w:rPr>
            </w:pPr>
            <w:r w:rsidRPr="000C44A6">
              <w:rPr>
                <w:rFonts w:cstheme="minorHAnsi"/>
                <w:sz w:val="20"/>
                <w:szCs w:val="20"/>
              </w:rPr>
              <w:t>&lt;5 sec</w:t>
            </w:r>
          </w:p>
        </w:tc>
        <w:tc>
          <w:tcPr>
            <w:tcW w:w="2126" w:type="dxa"/>
          </w:tcPr>
          <w:p w14:paraId="16D43043" w14:textId="77777777" w:rsidR="000C44A6" w:rsidRPr="000C44A6" w:rsidRDefault="000C44A6" w:rsidP="000C44A6">
            <w:pPr>
              <w:spacing w:after="120"/>
              <w:rPr>
                <w:rFonts w:cstheme="minorHAnsi"/>
                <w:sz w:val="20"/>
                <w:szCs w:val="20"/>
              </w:rPr>
            </w:pPr>
            <w:r w:rsidRPr="000C44A6">
              <w:rPr>
                <w:rFonts w:cstheme="minorHAnsi"/>
                <w:sz w:val="20"/>
                <w:szCs w:val="20"/>
              </w:rPr>
              <w:t>&lt;10 sec</w:t>
            </w:r>
          </w:p>
        </w:tc>
      </w:tr>
      <w:tr w:rsidR="000C44A6" w:rsidRPr="000C44A6" w14:paraId="2D8CD86A" w14:textId="77777777" w:rsidTr="008B2A55">
        <w:tc>
          <w:tcPr>
            <w:tcW w:w="3055" w:type="dxa"/>
          </w:tcPr>
          <w:p w14:paraId="3741543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Solving and detecting time of satellite operation incidents</w:t>
            </w:r>
          </w:p>
        </w:tc>
        <w:tc>
          <w:tcPr>
            <w:tcW w:w="1760" w:type="dxa"/>
          </w:tcPr>
          <w:p w14:paraId="6047B5DD" w14:textId="77777777" w:rsidR="000C44A6" w:rsidRPr="000C44A6" w:rsidRDefault="000C44A6" w:rsidP="000C44A6">
            <w:pPr>
              <w:spacing w:after="120"/>
              <w:rPr>
                <w:rFonts w:cstheme="minorHAnsi"/>
                <w:sz w:val="20"/>
                <w:szCs w:val="20"/>
              </w:rPr>
            </w:pPr>
            <w:r w:rsidRPr="000C44A6">
              <w:rPr>
                <w:rFonts w:cstheme="minorHAnsi"/>
                <w:sz w:val="20"/>
                <w:szCs w:val="20"/>
              </w:rPr>
              <w:t>&lt;10 min</w:t>
            </w:r>
          </w:p>
        </w:tc>
        <w:tc>
          <w:tcPr>
            <w:tcW w:w="2126" w:type="dxa"/>
          </w:tcPr>
          <w:p w14:paraId="3A18C5DD" w14:textId="77777777" w:rsidR="000C44A6" w:rsidRPr="000C44A6" w:rsidRDefault="000C44A6" w:rsidP="000C44A6">
            <w:pPr>
              <w:spacing w:after="120"/>
              <w:rPr>
                <w:rFonts w:cstheme="minorHAnsi"/>
                <w:sz w:val="20"/>
                <w:szCs w:val="20"/>
              </w:rPr>
            </w:pPr>
            <w:r w:rsidRPr="000C44A6">
              <w:rPr>
                <w:rFonts w:cstheme="minorHAnsi"/>
                <w:sz w:val="20"/>
                <w:szCs w:val="20"/>
              </w:rPr>
              <w:t>&lt;5min</w:t>
            </w:r>
          </w:p>
        </w:tc>
        <w:tc>
          <w:tcPr>
            <w:tcW w:w="2126" w:type="dxa"/>
          </w:tcPr>
          <w:p w14:paraId="636B7C4F" w14:textId="77777777" w:rsidR="000C44A6" w:rsidRPr="000C44A6" w:rsidRDefault="000C44A6" w:rsidP="000C44A6">
            <w:pPr>
              <w:spacing w:after="120"/>
              <w:rPr>
                <w:rFonts w:cstheme="minorHAnsi"/>
                <w:sz w:val="20"/>
                <w:szCs w:val="20"/>
              </w:rPr>
            </w:pPr>
            <w:r w:rsidRPr="000C44A6">
              <w:rPr>
                <w:rFonts w:cstheme="minorHAnsi"/>
                <w:sz w:val="20"/>
                <w:szCs w:val="20"/>
              </w:rPr>
              <w:t>&lt; 1 min</w:t>
            </w:r>
          </w:p>
        </w:tc>
      </w:tr>
      <w:tr w:rsidR="000C44A6" w:rsidRPr="000C44A6" w14:paraId="478111F5" w14:textId="77777777" w:rsidTr="008B2A55">
        <w:tc>
          <w:tcPr>
            <w:tcW w:w="3055" w:type="dxa"/>
          </w:tcPr>
          <w:p w14:paraId="0F571BB3"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Energy Reduction using adaptive intersegment links</w:t>
            </w:r>
          </w:p>
        </w:tc>
        <w:tc>
          <w:tcPr>
            <w:tcW w:w="1760" w:type="dxa"/>
          </w:tcPr>
          <w:p w14:paraId="1BCE568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&gt;50%</w:t>
            </w:r>
          </w:p>
        </w:tc>
        <w:tc>
          <w:tcPr>
            <w:tcW w:w="2126" w:type="dxa"/>
          </w:tcPr>
          <w:p w14:paraId="55DB45B9"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&gt;80%</w:t>
            </w:r>
          </w:p>
        </w:tc>
        <w:tc>
          <w:tcPr>
            <w:tcW w:w="2126" w:type="dxa"/>
          </w:tcPr>
          <w:p w14:paraId="580EB6A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&gt;90%</w:t>
            </w:r>
          </w:p>
        </w:tc>
      </w:tr>
      <w:tr w:rsidR="000C44A6" w:rsidRPr="000C44A6" w14:paraId="2F3C2515" w14:textId="77777777" w:rsidTr="008B2A55">
        <w:tc>
          <w:tcPr>
            <w:tcW w:w="3055" w:type="dxa"/>
          </w:tcPr>
          <w:p w14:paraId="3D9ACB2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Connectivity gain for converged satellite cloud scenarios</w:t>
            </w:r>
          </w:p>
          <w:p w14:paraId="7671821E"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[Increase in successful connections]</w:t>
            </w:r>
          </w:p>
        </w:tc>
        <w:tc>
          <w:tcPr>
            <w:tcW w:w="1760" w:type="dxa"/>
          </w:tcPr>
          <w:p w14:paraId="7B99B40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&gt;100%</w:t>
            </w:r>
          </w:p>
        </w:tc>
        <w:tc>
          <w:tcPr>
            <w:tcW w:w="2126" w:type="dxa"/>
          </w:tcPr>
          <w:p w14:paraId="529B74FC"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&gt;150%</w:t>
            </w:r>
          </w:p>
        </w:tc>
        <w:tc>
          <w:tcPr>
            <w:tcW w:w="2126" w:type="dxa"/>
          </w:tcPr>
          <w:p w14:paraId="30E3D3AB"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&gt;200%</w:t>
            </w:r>
          </w:p>
        </w:tc>
      </w:tr>
      <w:tr w:rsidR="000C44A6" w:rsidRPr="000C44A6" w14:paraId="3CBD68D7" w14:textId="77777777" w:rsidTr="008B2A55">
        <w:tc>
          <w:tcPr>
            <w:tcW w:w="3055" w:type="dxa"/>
          </w:tcPr>
          <w:p w14:paraId="316767ED"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Reduction of required manual intervention</w:t>
            </w:r>
          </w:p>
          <w:p w14:paraId="670ACC02"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[reduction with respect to today manual intervation]</w:t>
            </w:r>
          </w:p>
        </w:tc>
        <w:tc>
          <w:tcPr>
            <w:tcW w:w="1760" w:type="dxa"/>
          </w:tcPr>
          <w:p w14:paraId="24414B8F"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&gt;50%</w:t>
            </w:r>
          </w:p>
        </w:tc>
        <w:tc>
          <w:tcPr>
            <w:tcW w:w="2126" w:type="dxa"/>
          </w:tcPr>
          <w:p w14:paraId="77FC76D3"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&gt;80%</w:t>
            </w:r>
          </w:p>
        </w:tc>
        <w:tc>
          <w:tcPr>
            <w:tcW w:w="2126" w:type="dxa"/>
          </w:tcPr>
          <w:p w14:paraId="2B67809A"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&gt;90%</w:t>
            </w:r>
          </w:p>
        </w:tc>
      </w:tr>
      <w:tr w:rsidR="000C44A6" w:rsidRPr="000C44A6" w14:paraId="329AF443" w14:textId="77777777" w:rsidTr="008B2A55">
        <w:tc>
          <w:tcPr>
            <w:tcW w:w="3055" w:type="dxa"/>
          </w:tcPr>
          <w:p w14:paraId="496BD23A"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Widespread IoT coverage </w:t>
            </w:r>
            <w:r w:rsidRPr="000C44A6">
              <w:rPr>
                <w:rFonts w:eastAsia="Times New Roman" w:cstheme="minorHAnsi"/>
                <w:color w:val="222222"/>
                <w:sz w:val="20"/>
                <w:szCs w:val="20"/>
                <w:lang w:eastAsia="en-GB"/>
              </w:rPr>
              <w:br/>
              <w:t>[gain with respect to 2020 wireless area capacity]</w:t>
            </w:r>
          </w:p>
        </w:tc>
        <w:tc>
          <w:tcPr>
            <w:tcW w:w="1760" w:type="dxa"/>
          </w:tcPr>
          <w:p w14:paraId="486CD7E8"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 50% </w:t>
            </w:r>
          </w:p>
        </w:tc>
        <w:tc>
          <w:tcPr>
            <w:tcW w:w="2126" w:type="dxa"/>
          </w:tcPr>
          <w:p w14:paraId="12A3BB25"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&gt;99%</w:t>
            </w:r>
          </w:p>
        </w:tc>
        <w:tc>
          <w:tcPr>
            <w:tcW w:w="2126" w:type="dxa"/>
          </w:tcPr>
          <w:p w14:paraId="2E4F4871"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 99.9% </w:t>
            </w:r>
          </w:p>
        </w:tc>
      </w:tr>
      <w:tr w:rsidR="000C44A6" w:rsidRPr="000C44A6" w14:paraId="006035DF" w14:textId="77777777" w:rsidTr="008B2A55">
        <w:tc>
          <w:tcPr>
            <w:tcW w:w="3055" w:type="dxa"/>
          </w:tcPr>
          <w:p w14:paraId="7D9986AD"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Reliability (perceived zero downtime)</w:t>
            </w:r>
          </w:p>
          <w:p w14:paraId="05D0A0F9"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of total operation time]</w:t>
            </w:r>
          </w:p>
        </w:tc>
        <w:tc>
          <w:tcPr>
            <w:tcW w:w="1760" w:type="dxa"/>
          </w:tcPr>
          <w:p w14:paraId="2FBC2954"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&gt;50% </w:t>
            </w:r>
          </w:p>
        </w:tc>
        <w:tc>
          <w:tcPr>
            <w:tcW w:w="2126" w:type="dxa"/>
          </w:tcPr>
          <w:p w14:paraId="608A502F"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&gt;99%</w:t>
            </w:r>
          </w:p>
        </w:tc>
        <w:tc>
          <w:tcPr>
            <w:tcW w:w="2126" w:type="dxa"/>
          </w:tcPr>
          <w:p w14:paraId="3532FEA8" w14:textId="77777777" w:rsidR="000C44A6" w:rsidRPr="000C44A6" w:rsidRDefault="000C44A6" w:rsidP="000C44A6">
            <w:pPr>
              <w:spacing w:after="120"/>
              <w:rPr>
                <w:rFonts w:eastAsia="Times New Roman" w:cstheme="minorHAnsi"/>
                <w:color w:val="222222"/>
                <w:sz w:val="20"/>
                <w:szCs w:val="20"/>
                <w:lang w:eastAsia="en-GB"/>
              </w:rPr>
            </w:pPr>
            <w:r w:rsidRPr="000C44A6">
              <w:rPr>
                <w:rFonts w:eastAsia="Times New Roman" w:cstheme="minorHAnsi"/>
                <w:color w:val="222222"/>
                <w:sz w:val="20"/>
                <w:szCs w:val="20"/>
                <w:lang w:eastAsia="en-GB"/>
              </w:rPr>
              <w:t xml:space="preserve">&gt;99.9% </w:t>
            </w:r>
          </w:p>
        </w:tc>
      </w:tr>
      <w:tr w:rsidR="000C44A6" w:rsidRPr="000C44A6" w14:paraId="1B08B074" w14:textId="77777777" w:rsidTr="008B2A55">
        <w:tc>
          <w:tcPr>
            <w:tcW w:w="3055" w:type="dxa"/>
          </w:tcPr>
          <w:p w14:paraId="05FF6064" w14:textId="77777777" w:rsidR="000C44A6" w:rsidRPr="000C44A6" w:rsidRDefault="000C44A6" w:rsidP="000C44A6">
            <w:pPr>
              <w:spacing w:after="120"/>
              <w:rPr>
                <w:rFonts w:ascii="Arial" w:eastAsia="Times New Roman" w:hAnsi="Arial" w:cs="Arial"/>
                <w:sz w:val="24"/>
                <w:szCs w:val="24"/>
                <w:lang w:eastAsia="en-GB"/>
              </w:rPr>
            </w:pPr>
            <w:r w:rsidRPr="000C44A6">
              <w:rPr>
                <w:rFonts w:eastAsia="Times New Roman" w:cstheme="minorHAnsi"/>
                <w:sz w:val="20"/>
                <w:szCs w:val="20"/>
                <w:lang w:eastAsia="en-GB"/>
              </w:rPr>
              <w:t>Experienced data rate</w:t>
            </w:r>
            <w:r w:rsidRPr="000C44A6">
              <w:rPr>
                <w:sz w:val="16"/>
              </w:rPr>
              <w:t xml:space="preserve"> </w:t>
            </w:r>
            <w:r w:rsidRPr="000C44A6">
              <w:rPr>
                <w:sz w:val="16"/>
              </w:rPr>
              <w:br/>
              <w:t xml:space="preserve">(Broadband) </w:t>
            </w:r>
          </w:p>
        </w:tc>
        <w:tc>
          <w:tcPr>
            <w:tcW w:w="1760" w:type="dxa"/>
          </w:tcPr>
          <w:p w14:paraId="31218E88"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&gt;50 Mbit/s</w:t>
            </w:r>
            <w:r w:rsidRPr="000C44A6">
              <w:rPr>
                <w:rFonts w:eastAsia="Times New Roman" w:cstheme="minorHAnsi"/>
                <w:sz w:val="20"/>
                <w:szCs w:val="20"/>
                <w:lang w:eastAsia="en-GB"/>
              </w:rPr>
              <w:br/>
              <w:t>UL: &gt;25 Mbit/s</w:t>
            </w:r>
          </w:p>
        </w:tc>
        <w:tc>
          <w:tcPr>
            <w:tcW w:w="2126" w:type="dxa"/>
          </w:tcPr>
          <w:p w14:paraId="6F65D41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&gt;500 Mbit/s</w:t>
            </w:r>
            <w:r w:rsidRPr="000C44A6">
              <w:rPr>
                <w:rFonts w:eastAsia="Times New Roman" w:cstheme="minorHAnsi"/>
                <w:sz w:val="20"/>
                <w:szCs w:val="20"/>
                <w:lang w:eastAsia="en-GB"/>
              </w:rPr>
              <w:br/>
              <w:t>UL: &gt; 250 Mbit/s</w:t>
            </w:r>
          </w:p>
        </w:tc>
        <w:tc>
          <w:tcPr>
            <w:tcW w:w="2126" w:type="dxa"/>
          </w:tcPr>
          <w:p w14:paraId="3085E0AA"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&gt;1.0 Gbit/s</w:t>
            </w:r>
            <w:r w:rsidRPr="000C44A6">
              <w:rPr>
                <w:rFonts w:eastAsia="Times New Roman" w:cstheme="minorHAnsi"/>
                <w:sz w:val="20"/>
                <w:szCs w:val="20"/>
                <w:lang w:eastAsia="en-GB"/>
              </w:rPr>
              <w:br/>
              <w:t>UL: &gt;0.5 Gbit/s</w:t>
            </w:r>
          </w:p>
        </w:tc>
      </w:tr>
      <w:tr w:rsidR="000C44A6" w:rsidRPr="000C44A6" w14:paraId="52859B94" w14:textId="77777777" w:rsidTr="008B2A55">
        <w:tc>
          <w:tcPr>
            <w:tcW w:w="3055" w:type="dxa"/>
          </w:tcPr>
          <w:p w14:paraId="37660BB0"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Area traffic capacity</w:t>
            </w:r>
            <w:r w:rsidRPr="000C44A6">
              <w:rPr>
                <w:rFonts w:eastAsia="Times New Roman" w:cstheme="minorHAnsi"/>
                <w:sz w:val="20"/>
                <w:szCs w:val="20"/>
                <w:lang w:eastAsia="en-GB"/>
              </w:rPr>
              <w:br/>
              <w:t>(Broadband)</w:t>
            </w:r>
          </w:p>
        </w:tc>
        <w:tc>
          <w:tcPr>
            <w:tcW w:w="1760" w:type="dxa"/>
          </w:tcPr>
          <w:p w14:paraId="60DB2598" w14:textId="77777777" w:rsidR="000C44A6" w:rsidRPr="000C44A6" w:rsidRDefault="000C44A6" w:rsidP="000C44A6">
            <w:pPr>
              <w:spacing w:after="120"/>
            </w:pPr>
            <w:r w:rsidRPr="000C44A6">
              <w:rPr>
                <w:rFonts w:eastAsia="Times New Roman" w:cstheme="minorHAnsi"/>
                <w:sz w:val="20"/>
                <w:szCs w:val="20"/>
                <w:lang w:eastAsia="en-GB"/>
              </w:rPr>
              <w:t>DL: &gt;75 Mbit/s/km2</w:t>
            </w:r>
            <w:r w:rsidRPr="000C44A6">
              <w:rPr>
                <w:rFonts w:eastAsia="Times New Roman" w:cstheme="minorHAnsi"/>
                <w:sz w:val="20"/>
                <w:szCs w:val="20"/>
                <w:lang w:eastAsia="en-GB"/>
              </w:rPr>
              <w:br/>
              <w:t>UL: &gt;37 Mbit/s/km2</w:t>
            </w:r>
          </w:p>
        </w:tc>
        <w:tc>
          <w:tcPr>
            <w:tcW w:w="2126" w:type="dxa"/>
          </w:tcPr>
          <w:p w14:paraId="523E1D12"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&gt;750 Mbit/s/km2</w:t>
            </w:r>
            <w:r w:rsidRPr="000C44A6">
              <w:rPr>
                <w:rFonts w:eastAsia="Times New Roman" w:cstheme="minorHAnsi"/>
                <w:sz w:val="20"/>
                <w:szCs w:val="20"/>
                <w:lang w:eastAsia="en-GB"/>
              </w:rPr>
              <w:br/>
              <w:t>UL: &gt;370 Mbit/s/km2</w:t>
            </w:r>
          </w:p>
        </w:tc>
        <w:tc>
          <w:tcPr>
            <w:tcW w:w="2126" w:type="dxa"/>
          </w:tcPr>
          <w:p w14:paraId="33EE281C" w14:textId="77777777" w:rsidR="000C44A6" w:rsidRPr="000C44A6" w:rsidRDefault="000C44A6" w:rsidP="000C44A6">
            <w:pPr>
              <w:spacing w:after="120"/>
            </w:pPr>
            <w:r w:rsidRPr="000C44A6">
              <w:rPr>
                <w:rFonts w:eastAsia="Times New Roman" w:cstheme="minorHAnsi"/>
                <w:sz w:val="20"/>
                <w:szCs w:val="20"/>
                <w:lang w:eastAsia="en-GB"/>
              </w:rPr>
              <w:t>DL: &gt;1.5 Gbit/s/km2</w:t>
            </w:r>
            <w:r w:rsidRPr="000C44A6">
              <w:rPr>
                <w:rFonts w:eastAsia="Times New Roman" w:cstheme="minorHAnsi"/>
                <w:sz w:val="20"/>
                <w:szCs w:val="20"/>
                <w:lang w:eastAsia="en-GB"/>
              </w:rPr>
              <w:br/>
              <w:t>UL: &gt;0.75 Gbit/s/km2</w:t>
            </w:r>
          </w:p>
        </w:tc>
      </w:tr>
      <w:tr w:rsidR="000C44A6" w:rsidRPr="000C44A6" w14:paraId="491A9555" w14:textId="77777777" w:rsidTr="008B2A55">
        <w:tc>
          <w:tcPr>
            <w:tcW w:w="3055" w:type="dxa"/>
          </w:tcPr>
          <w:p w14:paraId="6AAE5BB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 xml:space="preserve">Experienced data rate </w:t>
            </w:r>
            <w:r w:rsidRPr="000C44A6">
              <w:rPr>
                <w:rFonts w:eastAsia="Times New Roman" w:cstheme="minorHAnsi"/>
                <w:sz w:val="20"/>
                <w:szCs w:val="20"/>
                <w:lang w:eastAsia="en-GB"/>
              </w:rPr>
              <w:br/>
              <w:t>(NB-IoT)</w:t>
            </w:r>
          </w:p>
        </w:tc>
        <w:tc>
          <w:tcPr>
            <w:tcW w:w="1760" w:type="dxa"/>
          </w:tcPr>
          <w:p w14:paraId="3E00C130" w14:textId="77777777" w:rsidR="000C44A6" w:rsidRPr="000C44A6" w:rsidRDefault="000C44A6" w:rsidP="000C44A6">
            <w:pPr>
              <w:spacing w:after="120"/>
            </w:pPr>
            <w:r w:rsidRPr="000C44A6">
              <w:rPr>
                <w:rFonts w:eastAsia="Times New Roman" w:cstheme="minorHAnsi"/>
                <w:sz w:val="20"/>
                <w:szCs w:val="20"/>
                <w:lang w:eastAsia="en-GB"/>
              </w:rPr>
              <w:t>DL: &gt;2 Kbit/s</w:t>
            </w:r>
            <w:r w:rsidRPr="000C44A6">
              <w:rPr>
                <w:rFonts w:eastAsia="Times New Roman" w:cstheme="minorHAnsi"/>
                <w:sz w:val="20"/>
                <w:szCs w:val="20"/>
                <w:lang w:eastAsia="en-GB"/>
              </w:rPr>
              <w:br/>
              <w:t>UL: &gt;10 Kbit/s</w:t>
            </w:r>
          </w:p>
        </w:tc>
        <w:tc>
          <w:tcPr>
            <w:tcW w:w="2126" w:type="dxa"/>
          </w:tcPr>
          <w:p w14:paraId="3E001C2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&gt;20 Kbit/s</w:t>
            </w:r>
            <w:r w:rsidRPr="000C44A6">
              <w:rPr>
                <w:rFonts w:eastAsia="Times New Roman" w:cstheme="minorHAnsi"/>
                <w:sz w:val="20"/>
                <w:szCs w:val="20"/>
                <w:lang w:eastAsia="en-GB"/>
              </w:rPr>
              <w:br/>
              <w:t>UL: &gt;100 Kbit/s</w:t>
            </w:r>
          </w:p>
        </w:tc>
        <w:tc>
          <w:tcPr>
            <w:tcW w:w="2126" w:type="dxa"/>
          </w:tcPr>
          <w:p w14:paraId="2544526B" w14:textId="77777777" w:rsidR="000C44A6" w:rsidRPr="000C44A6" w:rsidRDefault="000C44A6" w:rsidP="000C44A6">
            <w:pPr>
              <w:spacing w:after="120"/>
            </w:pPr>
            <w:r w:rsidRPr="000C44A6">
              <w:rPr>
                <w:rFonts w:eastAsia="Times New Roman" w:cstheme="minorHAnsi"/>
                <w:sz w:val="20"/>
                <w:szCs w:val="20"/>
                <w:lang w:eastAsia="en-GB"/>
              </w:rPr>
              <w:t>DL: &gt;40 Kbit/s</w:t>
            </w:r>
            <w:r w:rsidRPr="000C44A6">
              <w:rPr>
                <w:rFonts w:eastAsia="Times New Roman" w:cstheme="minorHAnsi"/>
                <w:sz w:val="20"/>
                <w:szCs w:val="20"/>
                <w:lang w:eastAsia="en-GB"/>
              </w:rPr>
              <w:br/>
              <w:t>UL: &gt;200 Kbit/s</w:t>
            </w:r>
          </w:p>
        </w:tc>
      </w:tr>
      <w:tr w:rsidR="000C44A6" w:rsidRPr="000C44A6" w14:paraId="7EF5F6C2" w14:textId="77777777" w:rsidTr="008B2A55">
        <w:tc>
          <w:tcPr>
            <w:tcW w:w="3055" w:type="dxa"/>
          </w:tcPr>
          <w:p w14:paraId="1BDFBC24"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Area traffic capacity</w:t>
            </w:r>
            <w:r w:rsidRPr="000C44A6">
              <w:rPr>
                <w:rFonts w:eastAsia="Times New Roman" w:cstheme="minorHAnsi"/>
                <w:sz w:val="20"/>
                <w:szCs w:val="20"/>
                <w:lang w:eastAsia="en-GB"/>
              </w:rPr>
              <w:br/>
              <w:t>(NB-IoT)</w:t>
            </w:r>
          </w:p>
        </w:tc>
        <w:tc>
          <w:tcPr>
            <w:tcW w:w="1760" w:type="dxa"/>
          </w:tcPr>
          <w:p w14:paraId="714177E2" w14:textId="77777777" w:rsidR="000C44A6" w:rsidRPr="000C44A6" w:rsidRDefault="000C44A6" w:rsidP="000C44A6">
            <w:pPr>
              <w:spacing w:after="120"/>
            </w:pPr>
            <w:r w:rsidRPr="000C44A6">
              <w:rPr>
                <w:rFonts w:eastAsia="Times New Roman" w:cstheme="minorHAnsi"/>
                <w:sz w:val="20"/>
                <w:szCs w:val="20"/>
                <w:lang w:eastAsia="en-GB"/>
              </w:rPr>
              <w:t>DL: &gt;8 Kbit/s</w:t>
            </w:r>
            <w:r w:rsidRPr="000C44A6">
              <w:rPr>
                <w:rFonts w:eastAsia="Times New Roman" w:cstheme="minorHAnsi"/>
                <w:sz w:val="20"/>
                <w:szCs w:val="20"/>
                <w:lang w:eastAsia="en-GB"/>
              </w:rPr>
              <w:br/>
              <w:t>UL: &gt;40 Kbit/s</w:t>
            </w:r>
          </w:p>
        </w:tc>
        <w:tc>
          <w:tcPr>
            <w:tcW w:w="2126" w:type="dxa"/>
          </w:tcPr>
          <w:p w14:paraId="77A10BE3" w14:textId="77777777" w:rsidR="000C44A6" w:rsidRPr="000C44A6" w:rsidRDefault="000C44A6" w:rsidP="000C44A6">
            <w:pPr>
              <w:spacing w:after="120"/>
              <w:rPr>
                <w:rFonts w:eastAsia="Times New Roman" w:cstheme="minorHAnsi"/>
                <w:sz w:val="20"/>
                <w:szCs w:val="20"/>
                <w:lang w:eastAsia="en-GB"/>
              </w:rPr>
            </w:pPr>
            <w:r w:rsidRPr="000C44A6">
              <w:rPr>
                <w:rFonts w:eastAsia="Times New Roman" w:cstheme="minorHAnsi"/>
                <w:sz w:val="20"/>
                <w:szCs w:val="20"/>
                <w:lang w:eastAsia="en-GB"/>
              </w:rPr>
              <w:t>DL: &gt;80 Kbit/s</w:t>
            </w:r>
            <w:r w:rsidRPr="000C44A6">
              <w:rPr>
                <w:rFonts w:eastAsia="Times New Roman" w:cstheme="minorHAnsi"/>
                <w:sz w:val="20"/>
                <w:szCs w:val="20"/>
                <w:lang w:eastAsia="en-GB"/>
              </w:rPr>
              <w:br/>
              <w:t>UL: &gt;400 Kbit/s</w:t>
            </w:r>
          </w:p>
        </w:tc>
        <w:tc>
          <w:tcPr>
            <w:tcW w:w="2126" w:type="dxa"/>
          </w:tcPr>
          <w:p w14:paraId="78520E27" w14:textId="77777777" w:rsidR="000C44A6" w:rsidRPr="000C44A6" w:rsidRDefault="000C44A6" w:rsidP="000C44A6">
            <w:pPr>
              <w:spacing w:after="120"/>
            </w:pPr>
            <w:r w:rsidRPr="000C44A6">
              <w:rPr>
                <w:rFonts w:eastAsia="Times New Roman" w:cstheme="minorHAnsi"/>
                <w:sz w:val="20"/>
                <w:szCs w:val="20"/>
                <w:lang w:eastAsia="en-GB"/>
              </w:rPr>
              <w:t>DL: &gt;160Kbit/s/km2</w:t>
            </w:r>
            <w:r w:rsidRPr="000C44A6">
              <w:rPr>
                <w:rFonts w:eastAsia="Times New Roman" w:cstheme="minorHAnsi"/>
                <w:sz w:val="20"/>
                <w:szCs w:val="20"/>
                <w:lang w:eastAsia="en-GB"/>
              </w:rPr>
              <w:br/>
              <w:t>UL: &gt;800Kbit/s/km2</w:t>
            </w:r>
          </w:p>
        </w:tc>
      </w:tr>
    </w:tbl>
    <w:p w14:paraId="32E86851" w14:textId="77777777" w:rsidR="000C44A6" w:rsidRPr="000C44A6" w:rsidRDefault="000C44A6" w:rsidP="00766813">
      <w:pPr>
        <w:jc w:val="both"/>
        <w:rPr>
          <w:rFonts w:ascii="Arial" w:hAnsi="Arial" w:cs="Arial"/>
          <w:sz w:val="20"/>
          <w:szCs w:val="20"/>
          <w:lang w:val="en-US"/>
        </w:rPr>
      </w:pPr>
    </w:p>
    <w:p w14:paraId="665E089D" w14:textId="77777777" w:rsidR="00210FCA" w:rsidRDefault="00210FCA" w:rsidP="000C44A6">
      <w:pPr>
        <w:jc w:val="both"/>
        <w:rPr>
          <w:rFonts w:ascii="Arial" w:hAnsi="Arial" w:cs="Arial"/>
        </w:rPr>
      </w:pPr>
    </w:p>
    <w:p w14:paraId="561F9121" w14:textId="77777777" w:rsidR="00D16FD8" w:rsidRDefault="00D16FD8" w:rsidP="000C44A6">
      <w:pPr>
        <w:jc w:val="both"/>
        <w:rPr>
          <w:rFonts w:ascii="Arial" w:hAnsi="Arial" w:cs="Arial"/>
        </w:rPr>
      </w:pPr>
    </w:p>
    <w:p w14:paraId="4D02A267" w14:textId="0D537797" w:rsidR="001E7AB1" w:rsidRDefault="001E7AB1" w:rsidP="000C44A6">
      <w:pPr>
        <w:jc w:val="both"/>
        <w:rPr>
          <w:rFonts w:ascii="Arial" w:hAnsi="Arial" w:cs="Arial"/>
        </w:rPr>
      </w:pPr>
      <w:r>
        <w:rPr>
          <w:rFonts w:ascii="Arial" w:hAnsi="Arial" w:cs="Arial"/>
        </w:rPr>
        <w:lastRenderedPageBreak/>
        <w:t>The optical community is proposing the followin</w:t>
      </w:r>
      <w:r w:rsidR="00D16FD8">
        <w:rPr>
          <w:rFonts w:ascii="Arial" w:hAnsi="Arial" w:cs="Arial"/>
        </w:rPr>
        <w:t>g key performance indicators</w:t>
      </w:r>
    </w:p>
    <w:p w14:paraId="25DA7E2F" w14:textId="77777777" w:rsidR="00D16FD8" w:rsidRPr="00D16FD8" w:rsidRDefault="00D16FD8" w:rsidP="00D16FD8">
      <w:pPr>
        <w:spacing w:after="0" w:line="240" w:lineRule="auto"/>
        <w:rPr>
          <w:rFonts w:ascii="Calibri" w:eastAsia="Calibri" w:hAnsi="Calibri" w:cs="Calibri"/>
          <w:color w:val="1F497D"/>
          <w:lang w:val="en-US"/>
        </w:rPr>
      </w:pPr>
    </w:p>
    <w:tbl>
      <w:tblPr>
        <w:tblW w:w="9128" w:type="dxa"/>
        <w:tblInd w:w="-5" w:type="dxa"/>
        <w:tblCellMar>
          <w:left w:w="0" w:type="dxa"/>
          <w:right w:w="0" w:type="dxa"/>
        </w:tblCellMar>
        <w:tblLook w:val="04A0" w:firstRow="1" w:lastRow="0" w:firstColumn="1" w:lastColumn="0" w:noHBand="0" w:noVBand="1"/>
      </w:tblPr>
      <w:tblGrid>
        <w:gridCol w:w="482"/>
        <w:gridCol w:w="1842"/>
        <w:gridCol w:w="1843"/>
        <w:gridCol w:w="1701"/>
        <w:gridCol w:w="1559"/>
        <w:gridCol w:w="1701"/>
      </w:tblGrid>
      <w:tr w:rsidR="00D16FD8" w:rsidRPr="00D16FD8" w14:paraId="66D11668" w14:textId="77777777" w:rsidTr="00D16FD8">
        <w:trPr>
          <w:cantSplit/>
          <w:trHeight w:val="1134"/>
        </w:trPr>
        <w:tc>
          <w:tcPr>
            <w:tcW w:w="4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4A279ABA" w14:textId="77777777" w:rsidR="00D16FD8" w:rsidRPr="00D16FD8" w:rsidRDefault="00D16FD8" w:rsidP="00D16FD8">
            <w:pPr>
              <w:spacing w:before="100" w:beforeAutospacing="1" w:after="100" w:afterAutospacing="1" w:line="240" w:lineRule="auto"/>
              <w:ind w:left="113" w:right="113"/>
              <w:jc w:val="center"/>
              <w:textAlignment w:val="baseline"/>
              <w:rPr>
                <w:rFonts w:ascii="Calibri" w:eastAsia="Calibri" w:hAnsi="Calibri" w:cs="Calibri"/>
                <w:lang w:val="en-US"/>
              </w:rPr>
            </w:pPr>
            <w:r w:rsidRPr="00D16FD8">
              <w:rPr>
                <w:rFonts w:ascii="Arial" w:eastAsia="Calibri" w:hAnsi="Arial" w:cs="Arial"/>
                <w:b/>
                <w:bCs/>
                <w:sz w:val="20"/>
                <w:szCs w:val="20"/>
                <w:lang w:val="en-US"/>
              </w:rPr>
              <w:t> </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67C09D"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Target KPI</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552837"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Current</w:t>
            </w:r>
          </w:p>
          <w:p w14:paraId="54F4B672"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x-none"/>
              </w:rPr>
              <w:t>2020</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0825E7"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Short-term Evo</w:t>
            </w:r>
          </w:p>
          <w:p w14:paraId="12A2FDBD"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~2025</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ED07F1"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Mid-term Evo</w:t>
            </w:r>
          </w:p>
          <w:p w14:paraId="4D565894"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~2028</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91102B"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Long-term Evo</w:t>
            </w:r>
          </w:p>
          <w:p w14:paraId="4C25F266" w14:textId="77777777" w:rsidR="00D16FD8" w:rsidRPr="00D16FD8" w:rsidRDefault="00D16FD8" w:rsidP="00D16FD8">
            <w:pPr>
              <w:spacing w:before="100" w:beforeAutospacing="1" w:after="100" w:afterAutospacing="1" w:line="240" w:lineRule="auto"/>
              <w:jc w:val="center"/>
              <w:textAlignment w:val="baseline"/>
              <w:rPr>
                <w:rFonts w:ascii="Calibri" w:eastAsia="Calibri" w:hAnsi="Calibri" w:cs="Calibri"/>
                <w:lang w:val="en-US"/>
              </w:rPr>
            </w:pPr>
            <w:r w:rsidRPr="00D16FD8">
              <w:rPr>
                <w:rFonts w:ascii="Arial" w:eastAsia="Calibri" w:hAnsi="Arial" w:cs="Arial"/>
                <w:b/>
                <w:bCs/>
                <w:sz w:val="20"/>
                <w:szCs w:val="20"/>
                <w:lang w:val="de-DE"/>
              </w:rPr>
              <w:t>~2030</w:t>
            </w:r>
          </w:p>
        </w:tc>
      </w:tr>
      <w:tr w:rsidR="00D16FD8" w:rsidRPr="00D16FD8" w14:paraId="285A904C" w14:textId="77777777" w:rsidTr="00D16FD8">
        <w:tc>
          <w:tcPr>
            <w:tcW w:w="48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7E558E6F" w14:textId="77777777" w:rsidR="00D16FD8" w:rsidRPr="00D16FD8" w:rsidRDefault="00D16FD8" w:rsidP="00D16FD8">
            <w:pPr>
              <w:spacing w:after="0" w:line="240" w:lineRule="auto"/>
              <w:ind w:left="113" w:right="113"/>
              <w:jc w:val="center"/>
              <w:rPr>
                <w:rFonts w:ascii="Calibri" w:eastAsia="Calibri" w:hAnsi="Calibri" w:cs="Calibri"/>
                <w:lang w:val="en-US"/>
              </w:rPr>
            </w:pPr>
            <w:r w:rsidRPr="00D16FD8">
              <w:rPr>
                <w:rFonts w:ascii="Calibri" w:eastAsia="Calibri" w:hAnsi="Calibri" w:cs="Calibri"/>
                <w:sz w:val="20"/>
                <w:szCs w:val="20"/>
                <w:lang w:val="de-DE"/>
              </w:rPr>
              <w:t>Metro/Core</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334645CA"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Spectrum</w:t>
            </w:r>
            <w:r w:rsidRPr="00D16FD8">
              <w:rPr>
                <w:rFonts w:ascii="Calibri" w:eastAsia="Calibri" w:hAnsi="Calibri" w:cs="Calibri"/>
                <w:sz w:val="20"/>
                <w:szCs w:val="20"/>
                <w:vertAlign w:val="superscript"/>
                <w:lang w:val="de-DE"/>
              </w:rPr>
              <w:t>1</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9F02DD3"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5THz</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E1AD084"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15THz</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5BE4220"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30THz</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EFBAE4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50THz</w:t>
            </w:r>
          </w:p>
        </w:tc>
      </w:tr>
      <w:tr w:rsidR="00D16FD8" w:rsidRPr="00D16FD8" w14:paraId="1A0F323D"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355E82A9"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05C75913"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Port speed</w:t>
            </w:r>
            <w:r w:rsidRPr="00D16FD8">
              <w:rPr>
                <w:rFonts w:ascii="Calibri" w:eastAsia="Calibri" w:hAnsi="Calibri" w:cs="Calibri"/>
                <w:sz w:val="20"/>
                <w:szCs w:val="20"/>
                <w:vertAlign w:val="superscript"/>
                <w:lang w:val="de-DE"/>
              </w:rPr>
              <w:t>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BB0F2E9"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400Gb/s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E63B9A5"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1.6Tb/s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32D5E973"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3.2Tb/s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369B9F1"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6.4Tb/s</w:t>
            </w:r>
          </w:p>
        </w:tc>
      </w:tr>
      <w:tr w:rsidR="00D16FD8" w:rsidRPr="00D16FD8" w14:paraId="2EEEC781"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5406FFE9"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B947EDD"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Bandwidth</w:t>
            </w:r>
            <w:r w:rsidRPr="00D16FD8">
              <w:rPr>
                <w:rFonts w:ascii="Calibri" w:eastAsia="Calibri" w:hAnsi="Calibri" w:cs="Calibri"/>
                <w:sz w:val="20"/>
                <w:szCs w:val="20"/>
                <w:vertAlign w:val="superscript"/>
                <w:lang w:val="de-DE"/>
              </w:rPr>
              <w:t>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7AD3A95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&lt;75GHz</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515671F"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&lt;300GHz</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121E05C"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&lt;600GHz</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BA909E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&lt;1200GHz</w:t>
            </w:r>
          </w:p>
        </w:tc>
      </w:tr>
      <w:tr w:rsidR="00D16FD8" w:rsidRPr="00D16FD8" w14:paraId="55B2FD4F"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196863C0"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54C785F4"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Line capacity</w:t>
            </w:r>
            <w:r w:rsidRPr="00D16FD8">
              <w:rPr>
                <w:rFonts w:ascii="Calibri" w:eastAsia="Calibri" w:hAnsi="Calibri" w:cs="Calibri"/>
                <w:sz w:val="20"/>
                <w:szCs w:val="20"/>
                <w:vertAlign w:val="superscript"/>
                <w:lang w:val="de-DE"/>
              </w:rPr>
              <w:t>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56ACD3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25Tb/s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D5070B4"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200Tb/s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2009789"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600Tb/s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BC23D36"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1.5Pb/s</w:t>
            </w:r>
          </w:p>
        </w:tc>
      </w:tr>
      <w:tr w:rsidR="00D16FD8" w:rsidRPr="00D16FD8" w14:paraId="0F79B0EB"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4EAC9E7C"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F48CC45"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Node capacity</w:t>
            </w:r>
            <w:r w:rsidRPr="00D16FD8">
              <w:rPr>
                <w:rFonts w:ascii="Calibri" w:eastAsia="Calibri" w:hAnsi="Calibri" w:cs="Calibri"/>
                <w:sz w:val="20"/>
                <w:szCs w:val="20"/>
                <w:vertAlign w:val="superscript"/>
                <w:lang w:val="de-DE"/>
              </w:rPr>
              <w:t>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6D14903"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150Tb/s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5EAB8A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1.2Pb/s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68BBB4B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3.6Pb/s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410B19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9Pb/s</w:t>
            </w:r>
          </w:p>
        </w:tc>
      </w:tr>
      <w:tr w:rsidR="00D16FD8" w:rsidRPr="00D16FD8" w14:paraId="6BF02462" w14:textId="77777777" w:rsidTr="00D16FD8">
        <w:tc>
          <w:tcPr>
            <w:tcW w:w="48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4A84F0A7" w14:textId="77777777" w:rsidR="00D16FD8" w:rsidRPr="00D16FD8" w:rsidRDefault="00D16FD8" w:rsidP="00D16FD8">
            <w:pPr>
              <w:spacing w:after="0" w:line="240" w:lineRule="auto"/>
              <w:ind w:left="113" w:right="113"/>
              <w:jc w:val="center"/>
              <w:rPr>
                <w:rFonts w:ascii="Calibri" w:eastAsia="Calibri" w:hAnsi="Calibri" w:cs="Calibri"/>
                <w:lang w:val="en-US"/>
              </w:rPr>
            </w:pPr>
            <w:r w:rsidRPr="00D16FD8">
              <w:rPr>
                <w:rFonts w:ascii="Calibri" w:eastAsia="Calibri" w:hAnsi="Calibri" w:cs="Calibri"/>
                <w:sz w:val="20"/>
                <w:szCs w:val="20"/>
                <w:lang w:val="de-DE"/>
              </w:rPr>
              <w:t>Access</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91102DE"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PON speeds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4CA7F46F"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25934D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50Gb/s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34D193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100Gb/s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FCDF9A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&gt;200Gb/s</w:t>
            </w:r>
          </w:p>
        </w:tc>
      </w:tr>
      <w:tr w:rsidR="00D16FD8" w:rsidRPr="00D16FD8" w14:paraId="43F05D4A"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76B0A8D4"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249B623"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User data rate</w:t>
            </w:r>
            <w:r w:rsidRPr="00D16FD8">
              <w:rPr>
                <w:rFonts w:ascii="Calibri" w:eastAsia="Calibri" w:hAnsi="Calibri" w:cs="Calibri"/>
                <w:sz w:val="20"/>
                <w:szCs w:val="20"/>
                <w:vertAlign w:val="superscript"/>
                <w:lang w:val="de-DE"/>
              </w:rPr>
              <w:t>6</w:t>
            </w:r>
          </w:p>
          <w:p w14:paraId="10DD56ED"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(consumer)</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65C7F78"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100Mb/s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592C900"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~1Gb/s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1B35FDD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&gt;2.5Gb/s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158BA51"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&gt;5Gb/s</w:t>
            </w:r>
          </w:p>
        </w:tc>
      </w:tr>
      <w:tr w:rsidR="00D16FD8" w:rsidRPr="00D16FD8" w14:paraId="77E30777"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7737ABA2"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2DC063A8"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User data rate</w:t>
            </w:r>
            <w:r w:rsidRPr="00D16FD8">
              <w:rPr>
                <w:rFonts w:ascii="Calibri" w:eastAsia="Calibri" w:hAnsi="Calibri" w:cs="Calibri"/>
                <w:sz w:val="20"/>
                <w:szCs w:val="20"/>
                <w:vertAlign w:val="superscript"/>
                <w:lang w:val="de-DE"/>
              </w:rPr>
              <w:t>6</w:t>
            </w:r>
          </w:p>
          <w:p w14:paraId="48BBFCF9"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(business)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EE4A73C"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4F08D46"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~10Gb/s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B68A699"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&gt;25Gb/s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8CC1232"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&gt;50Gb/s</w:t>
            </w:r>
          </w:p>
        </w:tc>
      </w:tr>
      <w:tr w:rsidR="00D16FD8" w:rsidRPr="00D16FD8" w14:paraId="0ED3AA01"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5BA2515F"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D188E23"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Latency</w:t>
            </w:r>
            <w:r w:rsidRPr="00D16FD8">
              <w:rPr>
                <w:rFonts w:ascii="Calibri" w:eastAsia="Calibri" w:hAnsi="Calibri" w:cs="Calibri"/>
                <w:sz w:val="20"/>
                <w:szCs w:val="20"/>
                <w:vertAlign w:val="superscript"/>
                <w:lang w:val="de-DE"/>
              </w:rPr>
              <w:t>7</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211D2BF"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&lt;1ms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70CEB0F1"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&lt;100µs</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4466F94C"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&lt;10µs</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3D76BA3E"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&lt;1µs</w:t>
            </w:r>
          </w:p>
        </w:tc>
      </w:tr>
      <w:tr w:rsidR="00D16FD8" w:rsidRPr="00D16FD8" w14:paraId="18FA61BA" w14:textId="77777777" w:rsidTr="00D16FD8">
        <w:tc>
          <w:tcPr>
            <w:tcW w:w="48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14:paraId="692D94CB" w14:textId="77777777" w:rsidR="00D16FD8" w:rsidRPr="00D16FD8" w:rsidRDefault="00D16FD8" w:rsidP="00D16FD8">
            <w:pPr>
              <w:spacing w:after="0" w:line="240" w:lineRule="auto"/>
              <w:ind w:left="113" w:right="113"/>
              <w:jc w:val="center"/>
              <w:rPr>
                <w:rFonts w:ascii="Calibri" w:eastAsia="Calibri" w:hAnsi="Calibri" w:cs="Calibri"/>
                <w:lang w:val="en-US"/>
              </w:rPr>
            </w:pPr>
            <w:r w:rsidRPr="00D16FD8">
              <w:rPr>
                <w:rFonts w:ascii="Calibri" w:eastAsia="Calibri" w:hAnsi="Calibri" w:cs="Calibri"/>
                <w:sz w:val="20"/>
                <w:szCs w:val="20"/>
                <w:lang w:val="de-DE"/>
              </w:rPr>
              <w:t> </w:t>
            </w: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14B224F0"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Power consumption</w:t>
            </w:r>
            <w:r w:rsidRPr="00D16FD8">
              <w:rPr>
                <w:rFonts w:ascii="Calibri" w:eastAsia="Calibri" w:hAnsi="Calibri" w:cs="Calibri"/>
                <w:sz w:val="20"/>
                <w:szCs w:val="20"/>
                <w:vertAlign w:val="superscript"/>
                <w:lang w:val="de-DE"/>
              </w:rPr>
              <w:t>8</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13FC1F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100%</w:t>
            </w:r>
            <w:r w:rsidRPr="00D16FD8">
              <w:rPr>
                <w:rFonts w:ascii="Calibri" w:eastAsia="Calibri" w:hAnsi="Calibri" w:cs="Calibri"/>
                <w:sz w:val="20"/>
                <w:szCs w:val="20"/>
                <w:lang w:val="de-DE"/>
              </w:rPr>
              <w:br/>
              <w:t>(baseline)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600CBBD"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40%</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794F589"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30%</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289C8DD8"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20%</w:t>
            </w:r>
          </w:p>
        </w:tc>
      </w:tr>
      <w:tr w:rsidR="00D16FD8" w:rsidRPr="00D16FD8" w14:paraId="013659E3"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5883D045"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53D9CDA4"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Service provisioning</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65B2FFF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Hour</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F129C72"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Min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2808829A"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Second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98728D5"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Sub-second</w:t>
            </w:r>
          </w:p>
        </w:tc>
      </w:tr>
      <w:tr w:rsidR="00D16FD8" w:rsidRPr="00D16FD8" w14:paraId="11A93E66" w14:textId="77777777" w:rsidTr="00D16FD8">
        <w:tc>
          <w:tcPr>
            <w:tcW w:w="0" w:type="auto"/>
            <w:vMerge/>
            <w:tcBorders>
              <w:top w:val="nil"/>
              <w:left w:val="single" w:sz="8" w:space="0" w:color="auto"/>
              <w:bottom w:val="single" w:sz="8" w:space="0" w:color="auto"/>
              <w:right w:val="single" w:sz="8" w:space="0" w:color="auto"/>
            </w:tcBorders>
            <w:vAlign w:val="center"/>
            <w:hideMark/>
          </w:tcPr>
          <w:p w14:paraId="1D22F929" w14:textId="77777777" w:rsidR="00D16FD8" w:rsidRPr="00D16FD8" w:rsidRDefault="00D16FD8" w:rsidP="00D16FD8">
            <w:pPr>
              <w:spacing w:after="0" w:line="240" w:lineRule="auto"/>
              <w:rPr>
                <w:rFonts w:ascii="Calibri" w:eastAsia="Calibri" w:hAnsi="Calibri" w:cs="Calibri"/>
                <w:lang w:val="en-US"/>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61BD6D5D" w14:textId="77777777" w:rsidR="00D16FD8" w:rsidRPr="00D16FD8" w:rsidRDefault="00D16FD8" w:rsidP="00D16FD8">
            <w:pPr>
              <w:spacing w:after="0" w:line="240" w:lineRule="auto"/>
              <w:jc w:val="center"/>
              <w:rPr>
                <w:rFonts w:ascii="Calibri" w:eastAsia="Calibri" w:hAnsi="Calibri" w:cs="Calibri"/>
                <w:lang w:val="en-US"/>
              </w:rPr>
            </w:pPr>
            <w:r w:rsidRPr="00D16FD8">
              <w:rPr>
                <w:rFonts w:ascii="Calibri" w:eastAsia="Calibri" w:hAnsi="Calibri" w:cs="Calibri"/>
                <w:sz w:val="20"/>
                <w:szCs w:val="20"/>
                <w:lang w:val="de-DE"/>
              </w:rPr>
              <w:t>Network operations</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B197B77"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Operator-controlled, reactive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BA24AF6"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Intent-based, proactive</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14:paraId="7C22AB30"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Self-diagnosing</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90E38E3" w14:textId="77777777" w:rsidR="00D16FD8" w:rsidRPr="00D16FD8" w:rsidRDefault="00D16FD8" w:rsidP="00D16FD8">
            <w:pPr>
              <w:spacing w:after="0" w:line="240" w:lineRule="auto"/>
              <w:rPr>
                <w:rFonts w:ascii="Calibri" w:eastAsia="Calibri" w:hAnsi="Calibri" w:cs="Calibri"/>
                <w:lang w:val="en-US"/>
              </w:rPr>
            </w:pPr>
            <w:r w:rsidRPr="00D16FD8">
              <w:rPr>
                <w:rFonts w:ascii="Calibri" w:eastAsia="Calibri" w:hAnsi="Calibri" w:cs="Calibri"/>
                <w:sz w:val="20"/>
                <w:szCs w:val="20"/>
                <w:lang w:val="de-DE"/>
              </w:rPr>
              <w:t>Self-optimizing</w:t>
            </w:r>
          </w:p>
        </w:tc>
      </w:tr>
    </w:tbl>
    <w:p w14:paraId="24CB920B"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1</w:t>
      </w:r>
      <w:r w:rsidRPr="00D16FD8">
        <w:rPr>
          <w:rFonts w:ascii="Calibri" w:eastAsia="Calibri" w:hAnsi="Calibri" w:cs="Calibri"/>
          <w:sz w:val="18"/>
          <w:szCs w:val="18"/>
          <w:lang w:val="en-US"/>
        </w:rPr>
        <w:t xml:space="preserve"> 25% CAGR, in line with conservative traffic predictions</w:t>
      </w:r>
    </w:p>
    <w:p w14:paraId="30AE724F"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2</w:t>
      </w:r>
      <w:r w:rsidRPr="00D16FD8">
        <w:rPr>
          <w:rFonts w:ascii="Calibri" w:eastAsia="Calibri" w:hAnsi="Calibri" w:cs="Calibri"/>
          <w:sz w:val="18"/>
          <w:szCs w:val="18"/>
          <w:lang w:val="en-US"/>
        </w:rPr>
        <w:t xml:space="preserve"> Extrapolation of Ethernet roadmap</w:t>
      </w:r>
    </w:p>
    <w:p w14:paraId="2F641106"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3</w:t>
      </w:r>
      <w:r w:rsidRPr="00D16FD8">
        <w:rPr>
          <w:rFonts w:ascii="Calibri" w:eastAsia="Calibri" w:hAnsi="Calibri" w:cs="Calibri"/>
          <w:sz w:val="18"/>
          <w:szCs w:val="18"/>
          <w:lang w:val="en-US"/>
        </w:rPr>
        <w:t xml:space="preserve"> Using 400G DP-16QAM as baseline</w:t>
      </w:r>
    </w:p>
    <w:p w14:paraId="2CEDE23B"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4</w:t>
      </w:r>
      <w:r w:rsidRPr="00D16FD8">
        <w:rPr>
          <w:rFonts w:ascii="Calibri" w:eastAsia="Calibri" w:hAnsi="Calibri" w:cs="Calibri"/>
          <w:sz w:val="18"/>
          <w:szCs w:val="18"/>
          <w:lang w:val="en-US"/>
        </w:rPr>
        <w:t xml:space="preserve"> 50% CAGR, in line with internet content provider traffic predictions. Assumes exploitation of frequency and space domain.</w:t>
      </w:r>
    </w:p>
    <w:p w14:paraId="3D0CBD1D"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5</w:t>
      </w:r>
      <w:r w:rsidRPr="00D16FD8">
        <w:rPr>
          <w:rFonts w:ascii="Calibri" w:eastAsia="Calibri" w:hAnsi="Calibri" w:cs="Calibri"/>
          <w:sz w:val="18"/>
          <w:szCs w:val="18"/>
          <w:lang w:val="en-US"/>
        </w:rPr>
        <w:t xml:space="preserve"> Based on degree 4 node with 50% local add/drop</w:t>
      </w:r>
    </w:p>
    <w:p w14:paraId="2CBFC68C"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6</w:t>
      </w:r>
      <w:r w:rsidRPr="00D16FD8">
        <w:rPr>
          <w:rFonts w:ascii="Calibri" w:eastAsia="Calibri" w:hAnsi="Calibri" w:cs="Calibri"/>
          <w:sz w:val="18"/>
          <w:szCs w:val="18"/>
          <w:lang w:val="en-US"/>
        </w:rPr>
        <w:t xml:space="preserve"> 50% CAGR based on Nielsen’s law</w:t>
      </w:r>
    </w:p>
    <w:p w14:paraId="5430A780"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7</w:t>
      </w:r>
      <w:r w:rsidRPr="00D16FD8">
        <w:rPr>
          <w:rFonts w:ascii="Calibri" w:eastAsia="Calibri" w:hAnsi="Calibri" w:cs="Calibri"/>
          <w:sz w:val="18"/>
          <w:szCs w:val="18"/>
          <w:lang w:val="en-US"/>
        </w:rPr>
        <w:t xml:space="preserve"> Excluding propagation delay</w:t>
      </w:r>
    </w:p>
    <w:p w14:paraId="6996ADA4" w14:textId="77777777" w:rsidR="00D16FD8" w:rsidRPr="00D16FD8" w:rsidRDefault="00D16FD8" w:rsidP="00D16FD8">
      <w:pPr>
        <w:spacing w:after="0" w:line="240" w:lineRule="auto"/>
        <w:rPr>
          <w:rFonts w:ascii="Calibri" w:eastAsia="Calibri" w:hAnsi="Calibri" w:cs="Calibri"/>
          <w:sz w:val="18"/>
          <w:szCs w:val="18"/>
          <w:lang w:val="en-US"/>
        </w:rPr>
      </w:pPr>
      <w:r w:rsidRPr="00D16FD8">
        <w:rPr>
          <w:rFonts w:ascii="Calibri" w:eastAsia="Calibri" w:hAnsi="Calibri" w:cs="Calibri"/>
          <w:sz w:val="18"/>
          <w:szCs w:val="18"/>
          <w:vertAlign w:val="superscript"/>
          <w:lang w:val="en-US"/>
        </w:rPr>
        <w:t>8</w:t>
      </w:r>
      <w:r w:rsidRPr="00D16FD8">
        <w:rPr>
          <w:rFonts w:ascii="Calibri" w:eastAsia="Calibri" w:hAnsi="Calibri" w:cs="Calibri"/>
          <w:sz w:val="18"/>
          <w:szCs w:val="18"/>
          <w:lang w:val="en-US"/>
        </w:rPr>
        <w:t xml:space="preserve"> 15% reduction per Gb/s p.a., extrapolated from past transponder data</w:t>
      </w:r>
    </w:p>
    <w:p w14:paraId="29FFA78D" w14:textId="77777777" w:rsidR="00D16FD8" w:rsidRPr="00D16FD8" w:rsidRDefault="00D16FD8" w:rsidP="000C44A6">
      <w:pPr>
        <w:jc w:val="both"/>
        <w:rPr>
          <w:rFonts w:ascii="Arial" w:hAnsi="Arial" w:cs="Arial"/>
          <w:lang w:val="en-US"/>
        </w:rPr>
      </w:pPr>
    </w:p>
    <w:p w14:paraId="0D9A40D3" w14:textId="67557566" w:rsidR="001E7AB1" w:rsidRDefault="001E7AB1" w:rsidP="000C44A6">
      <w:pPr>
        <w:jc w:val="both"/>
        <w:rPr>
          <w:rFonts w:ascii="Arial" w:hAnsi="Arial" w:cs="Arial"/>
        </w:rPr>
      </w:pPr>
      <w:r>
        <w:rPr>
          <w:rFonts w:ascii="Arial" w:hAnsi="Arial" w:cs="Arial"/>
        </w:rPr>
        <w:t xml:space="preserve">With respect to the </w:t>
      </w:r>
      <w:r w:rsidRPr="0021121D">
        <w:rPr>
          <w:rFonts w:ascii="Arial" w:hAnsi="Arial" w:cs="Arial"/>
          <w:b/>
        </w:rPr>
        <w:t xml:space="preserve">system </w:t>
      </w:r>
      <w:r w:rsidR="003B7D66" w:rsidRPr="0021121D">
        <w:rPr>
          <w:rFonts w:ascii="Arial" w:hAnsi="Arial" w:cs="Arial"/>
          <w:b/>
        </w:rPr>
        <w:t>architecture and networking</w:t>
      </w:r>
      <w:r w:rsidR="003B7D66">
        <w:rPr>
          <w:rFonts w:ascii="Arial" w:hAnsi="Arial" w:cs="Arial"/>
        </w:rPr>
        <w:t xml:space="preserve"> we have the proposed metrics below:</w:t>
      </w:r>
    </w:p>
    <w:p w14:paraId="307CA483" w14:textId="725E6B35" w:rsidR="003B7D66" w:rsidRPr="00353F91" w:rsidRDefault="003B7D66" w:rsidP="00353F91">
      <w:pPr>
        <w:pStyle w:val="ListParagraph"/>
        <w:numPr>
          <w:ilvl w:val="0"/>
          <w:numId w:val="90"/>
        </w:numPr>
        <w:rPr>
          <w:rFonts w:ascii="Arial" w:hAnsi="Arial" w:cs="Arial"/>
        </w:rPr>
      </w:pPr>
      <w:r w:rsidRPr="00353F91">
        <w:rPr>
          <w:rFonts w:ascii="Arial" w:hAnsi="Arial" w:cs="Arial"/>
        </w:rPr>
        <w:t>Runtime Service Scheduling efficiency increase compared to overprovisioning (for a service requiring 99.999% or higher success rates and under typical traffic arrival conditions)</w:t>
      </w:r>
    </w:p>
    <w:tbl>
      <w:tblPr>
        <w:tblStyle w:val="TableGrid"/>
        <w:tblW w:w="0" w:type="auto"/>
        <w:tblLook w:val="04A0" w:firstRow="1" w:lastRow="0" w:firstColumn="1" w:lastColumn="0" w:noHBand="0" w:noVBand="1"/>
      </w:tblPr>
      <w:tblGrid>
        <w:gridCol w:w="3005"/>
        <w:gridCol w:w="3005"/>
        <w:gridCol w:w="3006"/>
      </w:tblGrid>
      <w:tr w:rsidR="003B7D66" w:rsidRPr="0021121D" w14:paraId="3A297717" w14:textId="77777777" w:rsidTr="003B7D66">
        <w:tc>
          <w:tcPr>
            <w:tcW w:w="3005" w:type="dxa"/>
            <w:tcBorders>
              <w:top w:val="single" w:sz="4" w:space="0" w:color="auto"/>
              <w:left w:val="single" w:sz="4" w:space="0" w:color="auto"/>
              <w:bottom w:val="single" w:sz="4" w:space="0" w:color="auto"/>
              <w:right w:val="single" w:sz="4" w:space="0" w:color="auto"/>
            </w:tcBorders>
            <w:hideMark/>
          </w:tcPr>
          <w:p w14:paraId="38C002FE" w14:textId="77777777" w:rsidR="003B7D66" w:rsidRPr="0021121D" w:rsidRDefault="003B7D66" w:rsidP="005D22B5">
            <w:pPr>
              <w:keepLines/>
              <w:rPr>
                <w:rFonts w:eastAsiaTheme="majorEastAsia" w:cs="Arial"/>
                <w:b/>
                <w:sz w:val="20"/>
              </w:rPr>
            </w:pPr>
            <w:r w:rsidRPr="0021121D">
              <w:rPr>
                <w:rFonts w:eastAsiaTheme="majorEastAsia" w:cs="Arial"/>
                <w:b/>
                <w:sz w:val="20"/>
              </w:rPr>
              <w:t>Short term</w:t>
            </w:r>
          </w:p>
        </w:tc>
        <w:tc>
          <w:tcPr>
            <w:tcW w:w="3005" w:type="dxa"/>
            <w:tcBorders>
              <w:top w:val="single" w:sz="4" w:space="0" w:color="auto"/>
              <w:left w:val="single" w:sz="4" w:space="0" w:color="auto"/>
              <w:bottom w:val="single" w:sz="4" w:space="0" w:color="auto"/>
              <w:right w:val="single" w:sz="4" w:space="0" w:color="auto"/>
            </w:tcBorders>
            <w:hideMark/>
          </w:tcPr>
          <w:p w14:paraId="393F961A" w14:textId="77777777" w:rsidR="003B7D66" w:rsidRPr="0021121D" w:rsidRDefault="003B7D66" w:rsidP="005D22B5">
            <w:pPr>
              <w:keepLines/>
              <w:rPr>
                <w:rFonts w:eastAsiaTheme="majorEastAsia" w:cs="Arial"/>
                <w:b/>
                <w:sz w:val="20"/>
              </w:rPr>
            </w:pPr>
            <w:r w:rsidRPr="0021121D">
              <w:rPr>
                <w:rFonts w:eastAsiaTheme="majorEastAsia" w:cs="Arial"/>
                <w:b/>
                <w:sz w:val="20"/>
              </w:rPr>
              <w:t>Medium term</w:t>
            </w:r>
          </w:p>
        </w:tc>
        <w:tc>
          <w:tcPr>
            <w:tcW w:w="3006" w:type="dxa"/>
            <w:tcBorders>
              <w:top w:val="single" w:sz="4" w:space="0" w:color="auto"/>
              <w:left w:val="single" w:sz="4" w:space="0" w:color="auto"/>
              <w:bottom w:val="single" w:sz="4" w:space="0" w:color="auto"/>
              <w:right w:val="single" w:sz="4" w:space="0" w:color="auto"/>
            </w:tcBorders>
            <w:hideMark/>
          </w:tcPr>
          <w:p w14:paraId="576E3664" w14:textId="77777777" w:rsidR="003B7D66" w:rsidRPr="0021121D" w:rsidRDefault="003B7D66" w:rsidP="005D22B5">
            <w:pPr>
              <w:keepLines/>
              <w:rPr>
                <w:rFonts w:eastAsiaTheme="majorEastAsia" w:cs="Arial"/>
                <w:b/>
                <w:sz w:val="20"/>
              </w:rPr>
            </w:pPr>
            <w:r w:rsidRPr="0021121D">
              <w:rPr>
                <w:rFonts w:eastAsiaTheme="majorEastAsia" w:cs="Arial"/>
                <w:b/>
                <w:sz w:val="20"/>
              </w:rPr>
              <w:t>Long term</w:t>
            </w:r>
          </w:p>
        </w:tc>
      </w:tr>
      <w:tr w:rsidR="003B7D66" w:rsidRPr="0021121D" w14:paraId="6F4A4244" w14:textId="77777777" w:rsidTr="003B7D66">
        <w:tc>
          <w:tcPr>
            <w:tcW w:w="3005" w:type="dxa"/>
            <w:tcBorders>
              <w:top w:val="single" w:sz="4" w:space="0" w:color="auto"/>
              <w:left w:val="single" w:sz="4" w:space="0" w:color="auto"/>
              <w:bottom w:val="single" w:sz="4" w:space="0" w:color="auto"/>
              <w:right w:val="single" w:sz="4" w:space="0" w:color="auto"/>
            </w:tcBorders>
            <w:hideMark/>
          </w:tcPr>
          <w:p w14:paraId="63CA823F" w14:textId="77777777" w:rsidR="003B7D66" w:rsidRPr="0021121D" w:rsidRDefault="003B7D66" w:rsidP="005D22B5">
            <w:pPr>
              <w:keepLines/>
              <w:rPr>
                <w:rFonts w:eastAsiaTheme="majorEastAsia" w:cs="Arial"/>
                <w:sz w:val="20"/>
              </w:rPr>
            </w:pPr>
            <w:r w:rsidRPr="0021121D">
              <w:rPr>
                <w:rFonts w:eastAsiaTheme="majorEastAsia" w:cs="Arial"/>
                <w:sz w:val="20"/>
              </w:rPr>
              <w:t>2x in single tenant enviroments</w:t>
            </w:r>
          </w:p>
        </w:tc>
        <w:tc>
          <w:tcPr>
            <w:tcW w:w="3005" w:type="dxa"/>
            <w:tcBorders>
              <w:top w:val="single" w:sz="4" w:space="0" w:color="auto"/>
              <w:left w:val="single" w:sz="4" w:space="0" w:color="auto"/>
              <w:bottom w:val="single" w:sz="4" w:space="0" w:color="auto"/>
              <w:right w:val="single" w:sz="4" w:space="0" w:color="auto"/>
            </w:tcBorders>
            <w:hideMark/>
          </w:tcPr>
          <w:p w14:paraId="6AF3A35E" w14:textId="77777777" w:rsidR="003B7D66" w:rsidRPr="0021121D" w:rsidRDefault="003B7D66" w:rsidP="005D22B5">
            <w:pPr>
              <w:keepLines/>
              <w:rPr>
                <w:rFonts w:eastAsiaTheme="majorEastAsia" w:cs="Arial"/>
                <w:sz w:val="20"/>
              </w:rPr>
            </w:pPr>
            <w:r w:rsidRPr="0021121D">
              <w:rPr>
                <w:rFonts w:eastAsiaTheme="majorEastAsia" w:cs="Arial"/>
                <w:sz w:val="20"/>
              </w:rPr>
              <w:t>10x in single tenant</w:t>
            </w:r>
          </w:p>
        </w:tc>
        <w:tc>
          <w:tcPr>
            <w:tcW w:w="3006" w:type="dxa"/>
            <w:tcBorders>
              <w:top w:val="single" w:sz="4" w:space="0" w:color="auto"/>
              <w:left w:val="single" w:sz="4" w:space="0" w:color="auto"/>
              <w:bottom w:val="single" w:sz="4" w:space="0" w:color="auto"/>
              <w:right w:val="single" w:sz="4" w:space="0" w:color="auto"/>
            </w:tcBorders>
            <w:hideMark/>
          </w:tcPr>
          <w:p w14:paraId="1FCF505A" w14:textId="77777777" w:rsidR="003B7D66" w:rsidRPr="0021121D" w:rsidRDefault="003B7D66" w:rsidP="005D22B5">
            <w:pPr>
              <w:keepLines/>
              <w:rPr>
                <w:rFonts w:eastAsiaTheme="majorEastAsia" w:cs="Arial"/>
                <w:sz w:val="20"/>
              </w:rPr>
            </w:pPr>
            <w:r w:rsidRPr="0021121D">
              <w:rPr>
                <w:rFonts w:eastAsiaTheme="majorEastAsia" w:cs="Arial"/>
                <w:sz w:val="20"/>
              </w:rPr>
              <w:t>At least 10x in multitenant environments</w:t>
            </w:r>
          </w:p>
        </w:tc>
      </w:tr>
    </w:tbl>
    <w:p w14:paraId="0EDD260A" w14:textId="2EB86338" w:rsidR="003B7D66" w:rsidRDefault="003B7D66" w:rsidP="003B7D66">
      <w:pPr>
        <w:rPr>
          <w:rFonts w:ascii="Arial" w:eastAsiaTheme="majorEastAsia" w:hAnsi="Arial" w:cs="Arial"/>
        </w:rPr>
      </w:pPr>
      <w:r w:rsidRPr="003B7D66">
        <w:rPr>
          <w:rFonts w:ascii="Arial" w:eastAsiaTheme="majorEastAsia" w:hAnsi="Arial" w:cs="Arial"/>
        </w:rPr>
        <w:t>This includes aspects as path stretch ((ratio between the average control plane path and the average physical node distance) and resource overhead (services being provided by the network resources versus maxiu capacity of those resources)</w:t>
      </w:r>
      <w:r w:rsidR="005D22B5">
        <w:rPr>
          <w:rFonts w:ascii="Arial" w:eastAsiaTheme="majorEastAsia" w:hAnsi="Arial" w:cs="Arial"/>
        </w:rPr>
        <w:t>.</w:t>
      </w:r>
    </w:p>
    <w:p w14:paraId="28702653" w14:textId="77777777" w:rsidR="005D22B5" w:rsidRPr="003B7D66" w:rsidRDefault="005D22B5" w:rsidP="003B7D66">
      <w:pPr>
        <w:rPr>
          <w:rFonts w:ascii="Arial" w:eastAsiaTheme="majorEastAsia" w:hAnsi="Arial" w:cs="Arial"/>
        </w:rPr>
      </w:pPr>
    </w:p>
    <w:p w14:paraId="270C912E" w14:textId="0CF8477E" w:rsidR="003B7D66" w:rsidRPr="00353F91" w:rsidRDefault="00936795" w:rsidP="00353F91">
      <w:pPr>
        <w:pStyle w:val="ListParagraph"/>
        <w:numPr>
          <w:ilvl w:val="0"/>
          <w:numId w:val="90"/>
        </w:numPr>
        <w:rPr>
          <w:rFonts w:ascii="Arial" w:hAnsi="Arial" w:cs="Arial"/>
        </w:rPr>
      </w:pPr>
      <w:r w:rsidRPr="00353F91">
        <w:rPr>
          <w:rFonts w:ascii="Arial" w:hAnsi="Arial" w:cs="Arial"/>
        </w:rPr>
        <w:t>Time required for r</w:t>
      </w:r>
      <w:r w:rsidR="003B7D66" w:rsidRPr="00353F91">
        <w:rPr>
          <w:rFonts w:ascii="Arial" w:hAnsi="Arial" w:cs="Arial"/>
        </w:rPr>
        <w:t xml:space="preserve">untime conflict resolution </w:t>
      </w:r>
      <w:r w:rsidRPr="00353F91">
        <w:rPr>
          <w:rFonts w:ascii="Arial" w:hAnsi="Arial" w:cs="Arial"/>
        </w:rPr>
        <w:t>when applying r</w:t>
      </w:r>
      <w:r w:rsidR="003B7D66" w:rsidRPr="00353F91">
        <w:rPr>
          <w:rFonts w:ascii="Arial" w:hAnsi="Arial" w:cs="Arial"/>
        </w:rPr>
        <w:t xml:space="preserve">esource </w:t>
      </w:r>
      <w:r w:rsidRPr="00353F91">
        <w:rPr>
          <w:rFonts w:ascii="Arial" w:hAnsi="Arial" w:cs="Arial"/>
        </w:rPr>
        <w:t>e</w:t>
      </w:r>
      <w:r w:rsidR="003B7D66" w:rsidRPr="00353F91">
        <w:rPr>
          <w:rFonts w:ascii="Arial" w:hAnsi="Arial" w:cs="Arial"/>
        </w:rPr>
        <w:t>fficiency</w:t>
      </w:r>
      <w:r w:rsidRPr="00353F91">
        <w:rPr>
          <w:rFonts w:ascii="Arial" w:hAnsi="Arial" w:cs="Arial"/>
        </w:rPr>
        <w:t xml:space="preserve"> methods</w:t>
      </w:r>
      <w:r w:rsidR="003B7D66" w:rsidRPr="00353F91">
        <w:rPr>
          <w:rFonts w:ascii="Arial" w:hAnsi="Arial" w:cs="Arial"/>
        </w:rPr>
        <w:t>,</w:t>
      </w:r>
      <w:r w:rsidRPr="00353F91">
        <w:rPr>
          <w:rFonts w:ascii="Arial" w:hAnsi="Arial" w:cs="Arial"/>
        </w:rPr>
        <w:t xml:space="preserve"> that is the increase in multiplexing desired when compared to independent exclusive allocations and the time that is required to settle all the conflicts that may exist.</w:t>
      </w:r>
    </w:p>
    <w:p w14:paraId="2BDB5576" w14:textId="77777777" w:rsidR="00936795" w:rsidRPr="00353F91" w:rsidRDefault="00936795" w:rsidP="00353F91">
      <w:pPr>
        <w:pStyle w:val="ListParagraph"/>
        <w:rPr>
          <w:rFonts w:ascii="Arial" w:hAnsi="Arial" w:cs="Arial"/>
        </w:rPr>
      </w:pPr>
    </w:p>
    <w:tbl>
      <w:tblPr>
        <w:tblStyle w:val="TableGrid"/>
        <w:tblW w:w="0" w:type="auto"/>
        <w:tblLook w:val="04A0" w:firstRow="1" w:lastRow="0" w:firstColumn="1" w:lastColumn="0" w:noHBand="0" w:noVBand="1"/>
      </w:tblPr>
      <w:tblGrid>
        <w:gridCol w:w="3005"/>
        <w:gridCol w:w="3005"/>
        <w:gridCol w:w="3006"/>
      </w:tblGrid>
      <w:tr w:rsidR="003B7D66" w:rsidRPr="0021121D" w14:paraId="0675968F" w14:textId="77777777" w:rsidTr="003B7D66">
        <w:tc>
          <w:tcPr>
            <w:tcW w:w="3005" w:type="dxa"/>
            <w:tcBorders>
              <w:top w:val="single" w:sz="4" w:space="0" w:color="auto"/>
              <w:left w:val="single" w:sz="4" w:space="0" w:color="auto"/>
              <w:bottom w:val="single" w:sz="4" w:space="0" w:color="auto"/>
              <w:right w:val="single" w:sz="4" w:space="0" w:color="auto"/>
            </w:tcBorders>
            <w:hideMark/>
          </w:tcPr>
          <w:p w14:paraId="282A573F" w14:textId="77777777" w:rsidR="003B7D66" w:rsidRPr="0021121D" w:rsidRDefault="003B7D66" w:rsidP="005D22B5">
            <w:pPr>
              <w:keepNext/>
              <w:keepLines/>
              <w:rPr>
                <w:rFonts w:eastAsiaTheme="majorEastAsia" w:cs="Arial"/>
                <w:b/>
                <w:sz w:val="20"/>
              </w:rPr>
            </w:pPr>
            <w:r w:rsidRPr="0021121D">
              <w:rPr>
                <w:rFonts w:eastAsiaTheme="majorEastAsia" w:cs="Arial"/>
                <w:b/>
                <w:sz w:val="20"/>
              </w:rPr>
              <w:lastRenderedPageBreak/>
              <w:t>Short term</w:t>
            </w:r>
          </w:p>
        </w:tc>
        <w:tc>
          <w:tcPr>
            <w:tcW w:w="3005" w:type="dxa"/>
            <w:tcBorders>
              <w:top w:val="single" w:sz="4" w:space="0" w:color="auto"/>
              <w:left w:val="single" w:sz="4" w:space="0" w:color="auto"/>
              <w:bottom w:val="single" w:sz="4" w:space="0" w:color="auto"/>
              <w:right w:val="single" w:sz="4" w:space="0" w:color="auto"/>
            </w:tcBorders>
            <w:hideMark/>
          </w:tcPr>
          <w:p w14:paraId="7B61D4F0" w14:textId="77777777" w:rsidR="003B7D66" w:rsidRPr="0021121D" w:rsidRDefault="003B7D66" w:rsidP="005D22B5">
            <w:pPr>
              <w:keepNext/>
              <w:keepLines/>
              <w:rPr>
                <w:rFonts w:eastAsiaTheme="majorEastAsia" w:cs="Arial"/>
                <w:b/>
                <w:sz w:val="20"/>
              </w:rPr>
            </w:pPr>
            <w:r w:rsidRPr="0021121D">
              <w:rPr>
                <w:rFonts w:eastAsiaTheme="majorEastAsia" w:cs="Arial"/>
                <w:b/>
                <w:sz w:val="20"/>
              </w:rPr>
              <w:t>Medium term</w:t>
            </w:r>
          </w:p>
        </w:tc>
        <w:tc>
          <w:tcPr>
            <w:tcW w:w="3006" w:type="dxa"/>
            <w:tcBorders>
              <w:top w:val="single" w:sz="4" w:space="0" w:color="auto"/>
              <w:left w:val="single" w:sz="4" w:space="0" w:color="auto"/>
              <w:bottom w:val="single" w:sz="4" w:space="0" w:color="auto"/>
              <w:right w:val="single" w:sz="4" w:space="0" w:color="auto"/>
            </w:tcBorders>
            <w:hideMark/>
          </w:tcPr>
          <w:p w14:paraId="7332FF35" w14:textId="77777777" w:rsidR="003B7D66" w:rsidRPr="0021121D" w:rsidRDefault="003B7D66" w:rsidP="005D22B5">
            <w:pPr>
              <w:keepNext/>
              <w:keepLines/>
              <w:rPr>
                <w:rFonts w:eastAsiaTheme="majorEastAsia" w:cs="Arial"/>
                <w:b/>
                <w:sz w:val="20"/>
              </w:rPr>
            </w:pPr>
            <w:r w:rsidRPr="0021121D">
              <w:rPr>
                <w:rFonts w:eastAsiaTheme="majorEastAsia" w:cs="Arial"/>
                <w:b/>
                <w:sz w:val="20"/>
              </w:rPr>
              <w:t>Long term</w:t>
            </w:r>
          </w:p>
        </w:tc>
      </w:tr>
      <w:tr w:rsidR="003B7D66" w:rsidRPr="0021121D" w14:paraId="331173C1" w14:textId="77777777" w:rsidTr="003B7D66">
        <w:tc>
          <w:tcPr>
            <w:tcW w:w="3005" w:type="dxa"/>
            <w:tcBorders>
              <w:top w:val="single" w:sz="4" w:space="0" w:color="auto"/>
              <w:left w:val="single" w:sz="4" w:space="0" w:color="auto"/>
              <w:bottom w:val="single" w:sz="4" w:space="0" w:color="auto"/>
              <w:right w:val="single" w:sz="4" w:space="0" w:color="auto"/>
            </w:tcBorders>
            <w:hideMark/>
          </w:tcPr>
          <w:p w14:paraId="681D9AA1" w14:textId="77777777" w:rsidR="003B7D66" w:rsidRPr="0021121D" w:rsidRDefault="003B7D66" w:rsidP="005D22B5">
            <w:pPr>
              <w:keepLines/>
              <w:rPr>
                <w:rFonts w:eastAsiaTheme="majorEastAsia" w:cs="Arial"/>
                <w:sz w:val="20"/>
              </w:rPr>
            </w:pPr>
            <w:r w:rsidRPr="0021121D">
              <w:rPr>
                <w:rFonts w:eastAsiaTheme="majorEastAsia" w:cs="Arial"/>
                <w:sz w:val="20"/>
              </w:rPr>
              <w:t>2x for multiple concurrent, overlapping allocations</w:t>
            </w:r>
          </w:p>
        </w:tc>
        <w:tc>
          <w:tcPr>
            <w:tcW w:w="3005" w:type="dxa"/>
            <w:tcBorders>
              <w:top w:val="single" w:sz="4" w:space="0" w:color="auto"/>
              <w:left w:val="single" w:sz="4" w:space="0" w:color="auto"/>
              <w:bottom w:val="single" w:sz="4" w:space="0" w:color="auto"/>
              <w:right w:val="single" w:sz="4" w:space="0" w:color="auto"/>
            </w:tcBorders>
            <w:hideMark/>
          </w:tcPr>
          <w:p w14:paraId="52C1F28C" w14:textId="77777777" w:rsidR="003B7D66" w:rsidRPr="0021121D" w:rsidRDefault="003B7D66" w:rsidP="005D22B5">
            <w:pPr>
              <w:keepLines/>
              <w:rPr>
                <w:rFonts w:eastAsiaTheme="majorEastAsia" w:cs="Arial"/>
                <w:sz w:val="20"/>
              </w:rPr>
            </w:pPr>
            <w:r w:rsidRPr="0021121D">
              <w:rPr>
                <w:rFonts w:eastAsiaTheme="majorEastAsia" w:cs="Arial"/>
                <w:sz w:val="20"/>
              </w:rPr>
              <w:t>10x for multiple concurrent, overlapping allocations</w:t>
            </w:r>
          </w:p>
        </w:tc>
        <w:tc>
          <w:tcPr>
            <w:tcW w:w="3006" w:type="dxa"/>
            <w:tcBorders>
              <w:top w:val="single" w:sz="4" w:space="0" w:color="auto"/>
              <w:left w:val="single" w:sz="4" w:space="0" w:color="auto"/>
              <w:bottom w:val="single" w:sz="4" w:space="0" w:color="auto"/>
              <w:right w:val="single" w:sz="4" w:space="0" w:color="auto"/>
            </w:tcBorders>
            <w:hideMark/>
          </w:tcPr>
          <w:p w14:paraId="7582B973" w14:textId="77777777" w:rsidR="003B7D66" w:rsidRPr="0021121D" w:rsidRDefault="003B7D66" w:rsidP="005D22B5">
            <w:pPr>
              <w:keepLines/>
              <w:rPr>
                <w:rFonts w:eastAsiaTheme="majorEastAsia" w:cs="Arial"/>
                <w:sz w:val="20"/>
              </w:rPr>
            </w:pPr>
            <w:r w:rsidRPr="0021121D">
              <w:rPr>
                <w:rFonts w:eastAsiaTheme="majorEastAsia" w:cs="Arial"/>
                <w:sz w:val="20"/>
              </w:rPr>
              <w:t>At least 10x with critical guarantees</w:t>
            </w:r>
          </w:p>
        </w:tc>
      </w:tr>
    </w:tbl>
    <w:p w14:paraId="5068D6DE" w14:textId="7A5A1212" w:rsidR="003B7D66" w:rsidRDefault="003B7D66" w:rsidP="000C44A6">
      <w:pPr>
        <w:jc w:val="both"/>
        <w:rPr>
          <w:rFonts w:ascii="Arial" w:hAnsi="Arial" w:cs="Arial"/>
        </w:rPr>
      </w:pPr>
    </w:p>
    <w:p w14:paraId="7950C36B" w14:textId="20C50B6F" w:rsidR="00936795" w:rsidRPr="00353F91" w:rsidRDefault="00936795" w:rsidP="00353F91">
      <w:pPr>
        <w:pStyle w:val="ListParagraph"/>
        <w:numPr>
          <w:ilvl w:val="0"/>
          <w:numId w:val="90"/>
        </w:numPr>
        <w:rPr>
          <w:rFonts w:ascii="Arial" w:hAnsi="Arial" w:cs="Arial"/>
        </w:rPr>
      </w:pPr>
      <w:r w:rsidRPr="00353F91">
        <w:rPr>
          <w:rFonts w:ascii="Arial" w:hAnsi="Arial" w:cs="Arial"/>
        </w:rPr>
        <w:t xml:space="preserve">In terms of network-resources collection (network garbage collection), in the sense </w:t>
      </w:r>
      <w:r w:rsidR="005D22B5" w:rsidRPr="00353F91">
        <w:rPr>
          <w:rFonts w:ascii="Arial" w:hAnsi="Arial" w:cs="Arial"/>
        </w:rPr>
        <w:t>of recovering resources that are not being used anymore, we expect:</w:t>
      </w:r>
    </w:p>
    <w:tbl>
      <w:tblPr>
        <w:tblStyle w:val="TableGrid"/>
        <w:tblW w:w="0" w:type="auto"/>
        <w:tblLook w:val="04A0" w:firstRow="1" w:lastRow="0" w:firstColumn="1" w:lastColumn="0" w:noHBand="0" w:noVBand="1"/>
      </w:tblPr>
      <w:tblGrid>
        <w:gridCol w:w="3005"/>
        <w:gridCol w:w="3005"/>
        <w:gridCol w:w="3006"/>
      </w:tblGrid>
      <w:tr w:rsidR="00936795" w:rsidRPr="0021121D" w14:paraId="51F0FFD1" w14:textId="77777777" w:rsidTr="00726918">
        <w:tc>
          <w:tcPr>
            <w:tcW w:w="3005" w:type="dxa"/>
            <w:tcBorders>
              <w:top w:val="single" w:sz="4" w:space="0" w:color="auto"/>
              <w:left w:val="single" w:sz="4" w:space="0" w:color="auto"/>
              <w:bottom w:val="single" w:sz="4" w:space="0" w:color="auto"/>
              <w:right w:val="single" w:sz="4" w:space="0" w:color="auto"/>
            </w:tcBorders>
            <w:hideMark/>
          </w:tcPr>
          <w:p w14:paraId="2A65C926" w14:textId="77777777" w:rsidR="00936795" w:rsidRPr="0021121D" w:rsidRDefault="00936795" w:rsidP="005D22B5">
            <w:pPr>
              <w:keepNext/>
              <w:keepLines/>
              <w:rPr>
                <w:rFonts w:eastAsiaTheme="majorEastAsia" w:cs="Arial"/>
                <w:b/>
                <w:sz w:val="20"/>
              </w:rPr>
            </w:pPr>
            <w:r w:rsidRPr="0021121D">
              <w:rPr>
                <w:rFonts w:eastAsiaTheme="majorEastAsia" w:cs="Arial"/>
                <w:b/>
                <w:sz w:val="20"/>
              </w:rPr>
              <w:t>.Short term ~2025</w:t>
            </w:r>
          </w:p>
        </w:tc>
        <w:tc>
          <w:tcPr>
            <w:tcW w:w="3005" w:type="dxa"/>
            <w:tcBorders>
              <w:top w:val="single" w:sz="4" w:space="0" w:color="auto"/>
              <w:left w:val="single" w:sz="4" w:space="0" w:color="auto"/>
              <w:bottom w:val="single" w:sz="4" w:space="0" w:color="auto"/>
              <w:right w:val="single" w:sz="4" w:space="0" w:color="auto"/>
            </w:tcBorders>
            <w:hideMark/>
          </w:tcPr>
          <w:p w14:paraId="1DE2723A" w14:textId="77777777" w:rsidR="00936795" w:rsidRPr="0021121D" w:rsidRDefault="00936795" w:rsidP="005D22B5">
            <w:pPr>
              <w:keepNext/>
              <w:keepLines/>
              <w:rPr>
                <w:rFonts w:eastAsiaTheme="majorEastAsia" w:cs="Arial"/>
                <w:b/>
                <w:sz w:val="20"/>
              </w:rPr>
            </w:pPr>
            <w:r w:rsidRPr="0021121D">
              <w:rPr>
                <w:rFonts w:eastAsiaTheme="majorEastAsia" w:cs="Arial"/>
                <w:b/>
                <w:sz w:val="20"/>
              </w:rPr>
              <w:t>Medium term ~2028</w:t>
            </w:r>
          </w:p>
        </w:tc>
        <w:tc>
          <w:tcPr>
            <w:tcW w:w="3006" w:type="dxa"/>
            <w:tcBorders>
              <w:top w:val="single" w:sz="4" w:space="0" w:color="auto"/>
              <w:left w:val="single" w:sz="4" w:space="0" w:color="auto"/>
              <w:bottom w:val="single" w:sz="4" w:space="0" w:color="auto"/>
              <w:right w:val="single" w:sz="4" w:space="0" w:color="auto"/>
            </w:tcBorders>
            <w:hideMark/>
          </w:tcPr>
          <w:p w14:paraId="1344D01F" w14:textId="77777777" w:rsidR="00936795" w:rsidRPr="0021121D" w:rsidRDefault="00936795" w:rsidP="005D22B5">
            <w:pPr>
              <w:keepNext/>
              <w:keepLines/>
              <w:rPr>
                <w:rFonts w:eastAsiaTheme="majorEastAsia" w:cs="Arial"/>
                <w:b/>
                <w:sz w:val="20"/>
              </w:rPr>
            </w:pPr>
            <w:r w:rsidRPr="0021121D">
              <w:rPr>
                <w:rFonts w:eastAsiaTheme="majorEastAsia" w:cs="Arial"/>
                <w:b/>
                <w:sz w:val="20"/>
              </w:rPr>
              <w:t>Long term ~2030</w:t>
            </w:r>
          </w:p>
        </w:tc>
      </w:tr>
      <w:tr w:rsidR="00936795" w:rsidRPr="0021121D" w14:paraId="1B4979A7" w14:textId="77777777" w:rsidTr="00726918">
        <w:tc>
          <w:tcPr>
            <w:tcW w:w="3005" w:type="dxa"/>
            <w:tcBorders>
              <w:top w:val="single" w:sz="4" w:space="0" w:color="auto"/>
              <w:left w:val="single" w:sz="4" w:space="0" w:color="auto"/>
              <w:bottom w:val="single" w:sz="4" w:space="0" w:color="auto"/>
              <w:right w:val="single" w:sz="4" w:space="0" w:color="auto"/>
            </w:tcBorders>
            <w:hideMark/>
          </w:tcPr>
          <w:p w14:paraId="2592C480" w14:textId="612D2582" w:rsidR="00936795" w:rsidRPr="0021121D" w:rsidRDefault="005D22B5" w:rsidP="00726918">
            <w:pPr>
              <w:rPr>
                <w:rFonts w:eastAsiaTheme="majorEastAsia" w:cs="Arial"/>
                <w:sz w:val="20"/>
              </w:rPr>
            </w:pPr>
            <w:r>
              <w:rPr>
                <w:rFonts w:eastAsiaTheme="majorEastAsia" w:cs="Arial"/>
                <w:sz w:val="20"/>
              </w:rPr>
              <w:t>Feasible, additional recovery process off-line</w:t>
            </w:r>
          </w:p>
        </w:tc>
        <w:tc>
          <w:tcPr>
            <w:tcW w:w="3005" w:type="dxa"/>
            <w:tcBorders>
              <w:top w:val="single" w:sz="4" w:space="0" w:color="auto"/>
              <w:left w:val="single" w:sz="4" w:space="0" w:color="auto"/>
              <w:bottom w:val="single" w:sz="4" w:space="0" w:color="auto"/>
              <w:right w:val="single" w:sz="4" w:space="0" w:color="auto"/>
            </w:tcBorders>
            <w:hideMark/>
          </w:tcPr>
          <w:p w14:paraId="0A893899" w14:textId="5742A728" w:rsidR="00936795" w:rsidRPr="0021121D" w:rsidRDefault="005D22B5" w:rsidP="00726918">
            <w:pPr>
              <w:rPr>
                <w:rFonts w:eastAsiaTheme="majorEastAsia" w:cs="Arial"/>
                <w:sz w:val="20"/>
              </w:rPr>
            </w:pPr>
            <w:r>
              <w:rPr>
                <w:rFonts w:eastAsiaTheme="majorEastAsia" w:cs="Arial"/>
                <w:sz w:val="20"/>
              </w:rPr>
              <w:t>Feasible, running with the resource allocation</w:t>
            </w:r>
          </w:p>
        </w:tc>
        <w:tc>
          <w:tcPr>
            <w:tcW w:w="3006" w:type="dxa"/>
            <w:tcBorders>
              <w:top w:val="single" w:sz="4" w:space="0" w:color="auto"/>
              <w:left w:val="single" w:sz="4" w:space="0" w:color="auto"/>
              <w:bottom w:val="single" w:sz="4" w:space="0" w:color="auto"/>
              <w:right w:val="single" w:sz="4" w:space="0" w:color="auto"/>
            </w:tcBorders>
            <w:hideMark/>
          </w:tcPr>
          <w:p w14:paraId="4D4CEDBE" w14:textId="05EF3761" w:rsidR="00936795" w:rsidRPr="0021121D" w:rsidRDefault="005D22B5" w:rsidP="00726918">
            <w:pPr>
              <w:rPr>
                <w:rFonts w:eastAsiaTheme="majorEastAsia" w:cs="Arial"/>
                <w:sz w:val="20"/>
              </w:rPr>
            </w:pPr>
            <w:r>
              <w:rPr>
                <w:rFonts w:eastAsiaTheme="majorEastAsia" w:cs="Arial"/>
                <w:sz w:val="20"/>
              </w:rPr>
              <w:t>Optimal, on resource allocation actions</w:t>
            </w:r>
          </w:p>
        </w:tc>
      </w:tr>
    </w:tbl>
    <w:p w14:paraId="390E457C" w14:textId="77777777" w:rsidR="005D22B5" w:rsidRDefault="005D22B5" w:rsidP="005D22B5">
      <w:pPr>
        <w:pStyle w:val="Heading2"/>
        <w:numPr>
          <w:ilvl w:val="0"/>
          <w:numId w:val="0"/>
        </w:numPr>
        <w:spacing w:before="0"/>
        <w:rPr>
          <w:rFonts w:cs="Arial"/>
          <w:b w:val="0"/>
          <w:sz w:val="22"/>
          <w:szCs w:val="22"/>
        </w:rPr>
      </w:pPr>
    </w:p>
    <w:p w14:paraId="146A5D31" w14:textId="241447AC" w:rsidR="0021121D" w:rsidRPr="00353F91" w:rsidRDefault="0021121D" w:rsidP="00353F91">
      <w:pPr>
        <w:pStyle w:val="ListParagraph"/>
        <w:numPr>
          <w:ilvl w:val="0"/>
          <w:numId w:val="90"/>
        </w:numPr>
        <w:rPr>
          <w:rFonts w:ascii="Arial" w:hAnsi="Arial" w:cs="Arial"/>
        </w:rPr>
      </w:pPr>
      <w:r w:rsidRPr="00353F91">
        <w:rPr>
          <w:rFonts w:ascii="Arial" w:hAnsi="Arial" w:cs="Arial"/>
        </w:rPr>
        <w:t>Features of the pervasive resource control, in terms of autonomic functions.</w:t>
      </w:r>
    </w:p>
    <w:tbl>
      <w:tblPr>
        <w:tblStyle w:val="TableGrid"/>
        <w:tblW w:w="0" w:type="auto"/>
        <w:tblLook w:val="04A0" w:firstRow="1" w:lastRow="0" w:firstColumn="1" w:lastColumn="0" w:noHBand="0" w:noVBand="1"/>
      </w:tblPr>
      <w:tblGrid>
        <w:gridCol w:w="1870"/>
        <w:gridCol w:w="2382"/>
        <w:gridCol w:w="2382"/>
        <w:gridCol w:w="2382"/>
      </w:tblGrid>
      <w:tr w:rsidR="0021121D" w:rsidRPr="0021121D" w14:paraId="1A350DBA" w14:textId="77777777" w:rsidTr="0021121D">
        <w:tc>
          <w:tcPr>
            <w:tcW w:w="1870" w:type="dxa"/>
            <w:tcBorders>
              <w:top w:val="single" w:sz="4" w:space="0" w:color="auto"/>
              <w:left w:val="single" w:sz="4" w:space="0" w:color="auto"/>
              <w:bottom w:val="single" w:sz="4" w:space="0" w:color="auto"/>
              <w:right w:val="single" w:sz="4" w:space="0" w:color="auto"/>
            </w:tcBorders>
          </w:tcPr>
          <w:p w14:paraId="7976731E" w14:textId="77777777" w:rsidR="0021121D" w:rsidRPr="0021121D" w:rsidRDefault="0021121D" w:rsidP="005D22B5">
            <w:pPr>
              <w:keepNext/>
              <w:keepLines/>
              <w:rPr>
                <w:rFonts w:eastAsiaTheme="majorEastAsia" w:cs="Arial"/>
                <w:b/>
                <w:sz w:val="20"/>
              </w:rPr>
            </w:pPr>
          </w:p>
        </w:tc>
        <w:tc>
          <w:tcPr>
            <w:tcW w:w="2382" w:type="dxa"/>
            <w:tcBorders>
              <w:top w:val="single" w:sz="4" w:space="0" w:color="auto"/>
              <w:left w:val="single" w:sz="4" w:space="0" w:color="auto"/>
              <w:bottom w:val="single" w:sz="4" w:space="0" w:color="auto"/>
              <w:right w:val="single" w:sz="4" w:space="0" w:color="auto"/>
            </w:tcBorders>
            <w:hideMark/>
          </w:tcPr>
          <w:p w14:paraId="4F85EDAD" w14:textId="2B2D071B" w:rsidR="0021121D" w:rsidRPr="0021121D" w:rsidRDefault="0021121D" w:rsidP="005D22B5">
            <w:pPr>
              <w:keepNext/>
              <w:keepLines/>
              <w:rPr>
                <w:rFonts w:eastAsiaTheme="majorEastAsia" w:cs="Arial"/>
                <w:b/>
                <w:sz w:val="20"/>
              </w:rPr>
            </w:pPr>
            <w:r w:rsidRPr="0021121D">
              <w:rPr>
                <w:rFonts w:eastAsiaTheme="majorEastAsia" w:cs="Arial"/>
                <w:b/>
                <w:sz w:val="20"/>
              </w:rPr>
              <w:t>.Short term ~2025</w:t>
            </w:r>
          </w:p>
        </w:tc>
        <w:tc>
          <w:tcPr>
            <w:tcW w:w="2382" w:type="dxa"/>
            <w:tcBorders>
              <w:top w:val="single" w:sz="4" w:space="0" w:color="auto"/>
              <w:left w:val="single" w:sz="4" w:space="0" w:color="auto"/>
              <w:bottom w:val="single" w:sz="4" w:space="0" w:color="auto"/>
              <w:right w:val="single" w:sz="4" w:space="0" w:color="auto"/>
            </w:tcBorders>
            <w:hideMark/>
          </w:tcPr>
          <w:p w14:paraId="5FFBED9F" w14:textId="5499DC67" w:rsidR="0021121D" w:rsidRPr="0021121D" w:rsidRDefault="0021121D" w:rsidP="005D22B5">
            <w:pPr>
              <w:keepNext/>
              <w:keepLines/>
              <w:rPr>
                <w:rFonts w:eastAsiaTheme="majorEastAsia" w:cs="Arial"/>
                <w:b/>
                <w:sz w:val="20"/>
              </w:rPr>
            </w:pPr>
            <w:r w:rsidRPr="0021121D">
              <w:rPr>
                <w:rFonts w:eastAsiaTheme="majorEastAsia" w:cs="Arial"/>
                <w:b/>
                <w:sz w:val="20"/>
              </w:rPr>
              <w:t>Medium term ~2028</w:t>
            </w:r>
          </w:p>
        </w:tc>
        <w:tc>
          <w:tcPr>
            <w:tcW w:w="2382" w:type="dxa"/>
            <w:tcBorders>
              <w:top w:val="single" w:sz="4" w:space="0" w:color="auto"/>
              <w:left w:val="single" w:sz="4" w:space="0" w:color="auto"/>
              <w:bottom w:val="single" w:sz="4" w:space="0" w:color="auto"/>
              <w:right w:val="single" w:sz="4" w:space="0" w:color="auto"/>
            </w:tcBorders>
            <w:hideMark/>
          </w:tcPr>
          <w:p w14:paraId="5ED7DC8E" w14:textId="5078F7DD" w:rsidR="0021121D" w:rsidRPr="0021121D" w:rsidRDefault="0021121D" w:rsidP="005D22B5">
            <w:pPr>
              <w:keepNext/>
              <w:keepLines/>
              <w:rPr>
                <w:rFonts w:eastAsiaTheme="majorEastAsia" w:cs="Arial"/>
                <w:b/>
                <w:sz w:val="20"/>
              </w:rPr>
            </w:pPr>
            <w:r w:rsidRPr="0021121D">
              <w:rPr>
                <w:rFonts w:eastAsiaTheme="majorEastAsia" w:cs="Arial"/>
                <w:b/>
                <w:sz w:val="20"/>
              </w:rPr>
              <w:t>Long term ~2030</w:t>
            </w:r>
          </w:p>
        </w:tc>
      </w:tr>
      <w:tr w:rsidR="0021121D" w:rsidRPr="0021121D" w14:paraId="14AE8B8D" w14:textId="77777777" w:rsidTr="0021121D">
        <w:tc>
          <w:tcPr>
            <w:tcW w:w="1870" w:type="dxa"/>
            <w:tcBorders>
              <w:top w:val="single" w:sz="4" w:space="0" w:color="auto"/>
              <w:left w:val="single" w:sz="4" w:space="0" w:color="auto"/>
              <w:bottom w:val="single" w:sz="4" w:space="0" w:color="auto"/>
              <w:right w:val="single" w:sz="4" w:space="0" w:color="auto"/>
            </w:tcBorders>
          </w:tcPr>
          <w:p w14:paraId="25EB33AE" w14:textId="64385AE3" w:rsidR="0021121D" w:rsidRPr="0021121D" w:rsidRDefault="0021121D" w:rsidP="005D22B5">
            <w:pPr>
              <w:keepNext/>
              <w:keepLines/>
              <w:rPr>
                <w:rFonts w:eastAsiaTheme="majorEastAsia" w:cs="Arial"/>
                <w:sz w:val="20"/>
              </w:rPr>
            </w:pPr>
            <w:r>
              <w:rPr>
                <w:rFonts w:eastAsiaTheme="majorEastAsia" w:cs="Arial"/>
                <w:sz w:val="20"/>
              </w:rPr>
              <w:t>Configuration</w:t>
            </w:r>
          </w:p>
        </w:tc>
        <w:tc>
          <w:tcPr>
            <w:tcW w:w="2382" w:type="dxa"/>
            <w:tcBorders>
              <w:top w:val="single" w:sz="4" w:space="0" w:color="auto"/>
              <w:left w:val="single" w:sz="4" w:space="0" w:color="auto"/>
              <w:bottom w:val="single" w:sz="4" w:space="0" w:color="auto"/>
              <w:right w:val="single" w:sz="4" w:space="0" w:color="auto"/>
            </w:tcBorders>
            <w:hideMark/>
          </w:tcPr>
          <w:p w14:paraId="005C5FC2" w14:textId="502B3DB5" w:rsidR="0021121D" w:rsidRPr="0021121D" w:rsidRDefault="0021121D" w:rsidP="005D22B5">
            <w:pPr>
              <w:keepNext/>
              <w:keepLines/>
              <w:rPr>
                <w:rFonts w:eastAsiaTheme="majorEastAsia" w:cs="Arial"/>
                <w:sz w:val="20"/>
              </w:rPr>
            </w:pPr>
            <w:r w:rsidRPr="0021121D">
              <w:rPr>
                <w:rFonts w:eastAsiaTheme="majorEastAsia" w:cs="Arial"/>
                <w:sz w:val="20"/>
              </w:rPr>
              <w:t>Only a minimal initial pre-configuration (only domain name + security association data, e.g. private/public key)</w:t>
            </w:r>
          </w:p>
        </w:tc>
        <w:tc>
          <w:tcPr>
            <w:tcW w:w="2382" w:type="dxa"/>
            <w:tcBorders>
              <w:top w:val="single" w:sz="4" w:space="0" w:color="auto"/>
              <w:left w:val="single" w:sz="4" w:space="0" w:color="auto"/>
              <w:bottom w:val="single" w:sz="4" w:space="0" w:color="auto"/>
              <w:right w:val="single" w:sz="4" w:space="0" w:color="auto"/>
            </w:tcBorders>
            <w:hideMark/>
          </w:tcPr>
          <w:p w14:paraId="72D23804" w14:textId="77777777" w:rsidR="0021121D" w:rsidRPr="0021121D" w:rsidRDefault="0021121D" w:rsidP="005D22B5">
            <w:pPr>
              <w:keepNext/>
              <w:keepLines/>
              <w:rPr>
                <w:rFonts w:eastAsiaTheme="majorEastAsia" w:cs="Arial"/>
                <w:sz w:val="20"/>
              </w:rPr>
            </w:pPr>
            <w:r w:rsidRPr="0021121D">
              <w:rPr>
                <w:rFonts w:eastAsiaTheme="majorEastAsia" w:cs="Arial"/>
                <w:sz w:val="20"/>
              </w:rPr>
              <w:t>No human intervention</w:t>
            </w:r>
          </w:p>
        </w:tc>
        <w:tc>
          <w:tcPr>
            <w:tcW w:w="2382" w:type="dxa"/>
            <w:tcBorders>
              <w:top w:val="single" w:sz="4" w:space="0" w:color="auto"/>
              <w:left w:val="single" w:sz="4" w:space="0" w:color="auto"/>
              <w:bottom w:val="single" w:sz="4" w:space="0" w:color="auto"/>
              <w:right w:val="single" w:sz="4" w:space="0" w:color="auto"/>
            </w:tcBorders>
            <w:hideMark/>
          </w:tcPr>
          <w:p w14:paraId="05BBE78C" w14:textId="77777777" w:rsidR="0021121D" w:rsidRPr="0021121D" w:rsidRDefault="0021121D" w:rsidP="005D22B5">
            <w:pPr>
              <w:keepNext/>
              <w:keepLines/>
              <w:rPr>
                <w:rFonts w:eastAsiaTheme="majorEastAsia" w:cs="Arial"/>
                <w:sz w:val="20"/>
              </w:rPr>
            </w:pPr>
            <w:r w:rsidRPr="0021121D">
              <w:rPr>
                <w:rFonts w:eastAsiaTheme="majorEastAsia" w:cs="Arial"/>
                <w:sz w:val="20"/>
              </w:rPr>
              <w:t>No human intervention across different domains</w:t>
            </w:r>
          </w:p>
        </w:tc>
      </w:tr>
      <w:tr w:rsidR="0021121D" w:rsidRPr="0021121D" w14:paraId="64B64C03" w14:textId="77777777" w:rsidTr="0021121D">
        <w:tc>
          <w:tcPr>
            <w:tcW w:w="1870" w:type="dxa"/>
            <w:tcBorders>
              <w:top w:val="single" w:sz="4" w:space="0" w:color="auto"/>
              <w:left w:val="single" w:sz="4" w:space="0" w:color="auto"/>
              <w:bottom w:val="single" w:sz="4" w:space="0" w:color="auto"/>
              <w:right w:val="single" w:sz="4" w:space="0" w:color="auto"/>
            </w:tcBorders>
          </w:tcPr>
          <w:p w14:paraId="321B3D4A" w14:textId="1D3D7E92" w:rsidR="0021121D" w:rsidRPr="0021121D" w:rsidRDefault="0021121D" w:rsidP="005D22B5">
            <w:pPr>
              <w:keepNext/>
              <w:keepLines/>
              <w:rPr>
                <w:rFonts w:eastAsiaTheme="majorEastAsia" w:cs="Arial"/>
                <w:sz w:val="20"/>
              </w:rPr>
            </w:pPr>
            <w:r>
              <w:rPr>
                <w:rFonts w:eastAsiaTheme="majorEastAsia" w:cs="Arial"/>
                <w:sz w:val="20"/>
              </w:rPr>
              <w:t>Scalability</w:t>
            </w:r>
          </w:p>
        </w:tc>
        <w:tc>
          <w:tcPr>
            <w:tcW w:w="2382" w:type="dxa"/>
            <w:tcBorders>
              <w:top w:val="single" w:sz="4" w:space="0" w:color="auto"/>
              <w:left w:val="single" w:sz="4" w:space="0" w:color="auto"/>
              <w:bottom w:val="single" w:sz="4" w:space="0" w:color="auto"/>
              <w:right w:val="single" w:sz="4" w:space="0" w:color="auto"/>
            </w:tcBorders>
            <w:hideMark/>
          </w:tcPr>
          <w:p w14:paraId="072C61B7" w14:textId="56CF4EB6" w:rsidR="0021121D" w:rsidRPr="0021121D" w:rsidRDefault="0021121D" w:rsidP="005D22B5">
            <w:pPr>
              <w:keepNext/>
              <w:keepLines/>
              <w:rPr>
                <w:rFonts w:eastAsiaTheme="majorEastAsia" w:cs="Arial"/>
                <w:sz w:val="20"/>
              </w:rPr>
            </w:pPr>
            <w:r w:rsidRPr="0021121D">
              <w:rPr>
                <w:rFonts w:eastAsiaTheme="majorEastAsia" w:cs="Arial"/>
                <w:sz w:val="20"/>
              </w:rPr>
              <w:t>High, large number of nodes</w:t>
            </w:r>
          </w:p>
        </w:tc>
        <w:tc>
          <w:tcPr>
            <w:tcW w:w="2382" w:type="dxa"/>
            <w:tcBorders>
              <w:top w:val="single" w:sz="4" w:space="0" w:color="auto"/>
              <w:left w:val="single" w:sz="4" w:space="0" w:color="auto"/>
              <w:bottom w:val="single" w:sz="4" w:space="0" w:color="auto"/>
              <w:right w:val="single" w:sz="4" w:space="0" w:color="auto"/>
            </w:tcBorders>
            <w:hideMark/>
          </w:tcPr>
          <w:p w14:paraId="4CAD5384" w14:textId="711CD141" w:rsidR="0021121D" w:rsidRPr="0021121D" w:rsidRDefault="0021121D" w:rsidP="005D22B5">
            <w:pPr>
              <w:keepNext/>
              <w:keepLines/>
              <w:rPr>
                <w:rFonts w:eastAsiaTheme="majorEastAsia" w:cs="Arial"/>
                <w:sz w:val="20"/>
              </w:rPr>
            </w:pPr>
            <w:r w:rsidRPr="0021121D">
              <w:rPr>
                <w:rFonts w:eastAsiaTheme="majorEastAsia" w:cs="Arial"/>
                <w:sz w:val="20"/>
              </w:rPr>
              <w:t>Very High, any number of nodes, densities</w:t>
            </w:r>
          </w:p>
        </w:tc>
        <w:tc>
          <w:tcPr>
            <w:tcW w:w="2382" w:type="dxa"/>
            <w:tcBorders>
              <w:top w:val="single" w:sz="4" w:space="0" w:color="auto"/>
              <w:left w:val="single" w:sz="4" w:space="0" w:color="auto"/>
              <w:bottom w:val="single" w:sz="4" w:space="0" w:color="auto"/>
              <w:right w:val="single" w:sz="4" w:space="0" w:color="auto"/>
            </w:tcBorders>
            <w:hideMark/>
          </w:tcPr>
          <w:p w14:paraId="3069C4F9" w14:textId="3926E6A6" w:rsidR="0021121D" w:rsidRPr="0021121D" w:rsidRDefault="0021121D" w:rsidP="005D22B5">
            <w:pPr>
              <w:keepNext/>
              <w:keepLines/>
              <w:rPr>
                <w:rFonts w:eastAsiaTheme="majorEastAsia" w:cs="Arial"/>
                <w:sz w:val="20"/>
              </w:rPr>
            </w:pPr>
            <w:r w:rsidRPr="0021121D">
              <w:rPr>
                <w:rFonts w:eastAsiaTheme="majorEastAsia" w:cs="Arial"/>
                <w:sz w:val="20"/>
              </w:rPr>
              <w:t>Very High, any number of nodes, densities and complexity</w:t>
            </w:r>
          </w:p>
        </w:tc>
      </w:tr>
      <w:tr w:rsidR="0021121D" w:rsidRPr="0021121D" w14:paraId="775A98B5" w14:textId="77777777" w:rsidTr="0021121D">
        <w:tc>
          <w:tcPr>
            <w:tcW w:w="1870" w:type="dxa"/>
            <w:tcBorders>
              <w:top w:val="single" w:sz="4" w:space="0" w:color="auto"/>
              <w:left w:val="single" w:sz="4" w:space="0" w:color="auto"/>
              <w:bottom w:val="single" w:sz="4" w:space="0" w:color="auto"/>
              <w:right w:val="single" w:sz="4" w:space="0" w:color="auto"/>
            </w:tcBorders>
          </w:tcPr>
          <w:p w14:paraId="767684EB" w14:textId="59BD725E" w:rsidR="0021121D" w:rsidRPr="0021121D" w:rsidRDefault="0021121D" w:rsidP="005D22B5">
            <w:pPr>
              <w:keepNext/>
              <w:keepLines/>
              <w:rPr>
                <w:rFonts w:eastAsiaTheme="majorEastAsia" w:cs="Arial"/>
                <w:sz w:val="20"/>
              </w:rPr>
            </w:pPr>
            <w:r>
              <w:rPr>
                <w:rFonts w:eastAsiaTheme="majorEastAsia" w:cs="Arial"/>
                <w:sz w:val="20"/>
              </w:rPr>
              <w:t>Bootstrapping</w:t>
            </w:r>
          </w:p>
        </w:tc>
        <w:tc>
          <w:tcPr>
            <w:tcW w:w="2382" w:type="dxa"/>
            <w:tcBorders>
              <w:top w:val="single" w:sz="4" w:space="0" w:color="auto"/>
              <w:left w:val="single" w:sz="4" w:space="0" w:color="auto"/>
              <w:bottom w:val="single" w:sz="4" w:space="0" w:color="auto"/>
              <w:right w:val="single" w:sz="4" w:space="0" w:color="auto"/>
            </w:tcBorders>
            <w:hideMark/>
          </w:tcPr>
          <w:p w14:paraId="408EFAD6" w14:textId="2FAFD88C" w:rsidR="0021121D" w:rsidRPr="0021121D" w:rsidRDefault="0021121D" w:rsidP="005D22B5">
            <w:pPr>
              <w:keepNext/>
              <w:keepLines/>
              <w:rPr>
                <w:rFonts w:eastAsiaTheme="majorEastAsia" w:cs="Arial"/>
                <w:sz w:val="20"/>
              </w:rPr>
            </w:pPr>
            <w:r w:rsidRPr="0021121D">
              <w:rPr>
                <w:rFonts w:eastAsiaTheme="majorEastAsia" w:cs="Arial"/>
                <w:sz w:val="20"/>
              </w:rPr>
              <w:t>Reduced time to 70%</w:t>
            </w:r>
          </w:p>
        </w:tc>
        <w:tc>
          <w:tcPr>
            <w:tcW w:w="2382" w:type="dxa"/>
            <w:tcBorders>
              <w:top w:val="single" w:sz="4" w:space="0" w:color="auto"/>
              <w:left w:val="single" w:sz="4" w:space="0" w:color="auto"/>
              <w:bottom w:val="single" w:sz="4" w:space="0" w:color="auto"/>
              <w:right w:val="single" w:sz="4" w:space="0" w:color="auto"/>
            </w:tcBorders>
            <w:hideMark/>
          </w:tcPr>
          <w:p w14:paraId="4839C539" w14:textId="05A4C67B" w:rsidR="0021121D" w:rsidRPr="0021121D" w:rsidRDefault="0021121D" w:rsidP="005D22B5">
            <w:pPr>
              <w:keepNext/>
              <w:keepLines/>
              <w:rPr>
                <w:rFonts w:eastAsiaTheme="majorEastAsia" w:cs="Arial"/>
                <w:sz w:val="20"/>
              </w:rPr>
            </w:pPr>
            <w:r w:rsidRPr="0021121D">
              <w:rPr>
                <w:rFonts w:eastAsiaTheme="majorEastAsia" w:cs="Arial"/>
                <w:sz w:val="20"/>
              </w:rPr>
              <w:t>Reduced time to 40%</w:t>
            </w:r>
          </w:p>
        </w:tc>
        <w:tc>
          <w:tcPr>
            <w:tcW w:w="2382" w:type="dxa"/>
            <w:tcBorders>
              <w:top w:val="single" w:sz="4" w:space="0" w:color="auto"/>
              <w:left w:val="single" w:sz="4" w:space="0" w:color="auto"/>
              <w:bottom w:val="single" w:sz="4" w:space="0" w:color="auto"/>
              <w:right w:val="single" w:sz="4" w:space="0" w:color="auto"/>
            </w:tcBorders>
            <w:hideMark/>
          </w:tcPr>
          <w:p w14:paraId="6B50019B" w14:textId="77BAC722" w:rsidR="0021121D" w:rsidRPr="0021121D" w:rsidRDefault="0021121D" w:rsidP="005D22B5">
            <w:pPr>
              <w:keepNext/>
              <w:keepLines/>
              <w:rPr>
                <w:rFonts w:eastAsiaTheme="majorEastAsia" w:cs="Arial"/>
                <w:sz w:val="20"/>
              </w:rPr>
            </w:pPr>
            <w:r w:rsidRPr="0021121D">
              <w:rPr>
                <w:rFonts w:eastAsiaTheme="majorEastAsia" w:cs="Arial"/>
                <w:sz w:val="20"/>
              </w:rPr>
              <w:t>Reduced time to 10%</w:t>
            </w:r>
          </w:p>
        </w:tc>
      </w:tr>
      <w:tr w:rsidR="0021121D" w:rsidRPr="0021121D" w14:paraId="59BFE5CB" w14:textId="77777777" w:rsidTr="0021121D">
        <w:tc>
          <w:tcPr>
            <w:tcW w:w="1870" w:type="dxa"/>
            <w:tcBorders>
              <w:top w:val="single" w:sz="4" w:space="0" w:color="auto"/>
              <w:left w:val="single" w:sz="4" w:space="0" w:color="auto"/>
              <w:bottom w:val="single" w:sz="4" w:space="0" w:color="auto"/>
              <w:right w:val="single" w:sz="4" w:space="0" w:color="auto"/>
            </w:tcBorders>
          </w:tcPr>
          <w:p w14:paraId="23580C75" w14:textId="458C8524" w:rsidR="0021121D" w:rsidRPr="0021121D" w:rsidRDefault="0021121D" w:rsidP="005D22B5">
            <w:pPr>
              <w:keepNext/>
              <w:keepLines/>
              <w:rPr>
                <w:rFonts w:eastAsiaTheme="majorEastAsia" w:cs="Arial"/>
                <w:sz w:val="20"/>
              </w:rPr>
            </w:pPr>
            <w:r>
              <w:rPr>
                <w:rFonts w:eastAsiaTheme="majorEastAsia" w:cs="Arial"/>
                <w:sz w:val="20"/>
              </w:rPr>
              <w:t>Convergence time of the control plane</w:t>
            </w:r>
          </w:p>
        </w:tc>
        <w:tc>
          <w:tcPr>
            <w:tcW w:w="2382" w:type="dxa"/>
            <w:tcBorders>
              <w:top w:val="single" w:sz="4" w:space="0" w:color="auto"/>
              <w:left w:val="single" w:sz="4" w:space="0" w:color="auto"/>
              <w:bottom w:val="single" w:sz="4" w:space="0" w:color="auto"/>
              <w:right w:val="single" w:sz="4" w:space="0" w:color="auto"/>
            </w:tcBorders>
            <w:hideMark/>
          </w:tcPr>
          <w:p w14:paraId="69A14C44" w14:textId="7D169AB4" w:rsidR="0021121D" w:rsidRPr="0021121D" w:rsidRDefault="0021121D" w:rsidP="005D22B5">
            <w:pPr>
              <w:keepNext/>
              <w:keepLines/>
              <w:rPr>
                <w:rFonts w:eastAsiaTheme="majorEastAsia" w:cs="Arial"/>
                <w:sz w:val="20"/>
              </w:rPr>
            </w:pPr>
            <w:r>
              <w:rPr>
                <w:rFonts w:eastAsiaTheme="majorEastAsia" w:cs="Arial"/>
                <w:sz w:val="20"/>
              </w:rPr>
              <w:t>T</w:t>
            </w:r>
            <w:r w:rsidRPr="0021121D">
              <w:rPr>
                <w:rFonts w:eastAsiaTheme="majorEastAsia" w:cs="Arial"/>
                <w:sz w:val="20"/>
              </w:rPr>
              <w:t>ime reduced to 70%</w:t>
            </w:r>
          </w:p>
        </w:tc>
        <w:tc>
          <w:tcPr>
            <w:tcW w:w="2382" w:type="dxa"/>
            <w:tcBorders>
              <w:top w:val="single" w:sz="4" w:space="0" w:color="auto"/>
              <w:left w:val="single" w:sz="4" w:space="0" w:color="auto"/>
              <w:bottom w:val="single" w:sz="4" w:space="0" w:color="auto"/>
              <w:right w:val="single" w:sz="4" w:space="0" w:color="auto"/>
            </w:tcBorders>
            <w:hideMark/>
          </w:tcPr>
          <w:p w14:paraId="6BF7B7EC" w14:textId="3E6F9E04" w:rsidR="0021121D" w:rsidRPr="0021121D" w:rsidRDefault="0021121D" w:rsidP="005D22B5">
            <w:pPr>
              <w:keepNext/>
              <w:keepLines/>
              <w:rPr>
                <w:rFonts w:eastAsiaTheme="majorEastAsia" w:cs="Arial"/>
                <w:sz w:val="20"/>
              </w:rPr>
            </w:pPr>
            <w:r>
              <w:rPr>
                <w:rFonts w:eastAsiaTheme="majorEastAsia" w:cs="Arial"/>
                <w:sz w:val="20"/>
              </w:rPr>
              <w:t>T</w:t>
            </w:r>
            <w:r w:rsidRPr="0021121D">
              <w:rPr>
                <w:rFonts w:eastAsiaTheme="majorEastAsia" w:cs="Arial"/>
                <w:sz w:val="20"/>
              </w:rPr>
              <w:t>ime reduced to 40%</w:t>
            </w:r>
          </w:p>
        </w:tc>
        <w:tc>
          <w:tcPr>
            <w:tcW w:w="2382" w:type="dxa"/>
            <w:tcBorders>
              <w:top w:val="single" w:sz="4" w:space="0" w:color="auto"/>
              <w:left w:val="single" w:sz="4" w:space="0" w:color="auto"/>
              <w:bottom w:val="single" w:sz="4" w:space="0" w:color="auto"/>
              <w:right w:val="single" w:sz="4" w:space="0" w:color="auto"/>
            </w:tcBorders>
            <w:hideMark/>
          </w:tcPr>
          <w:p w14:paraId="1957D62B" w14:textId="56325705" w:rsidR="0021121D" w:rsidRPr="0021121D" w:rsidRDefault="00936795" w:rsidP="005D22B5">
            <w:pPr>
              <w:keepNext/>
              <w:keepLines/>
              <w:rPr>
                <w:rFonts w:eastAsiaTheme="majorEastAsia" w:cs="Arial"/>
                <w:sz w:val="20"/>
              </w:rPr>
            </w:pPr>
            <w:r>
              <w:rPr>
                <w:rFonts w:eastAsiaTheme="majorEastAsia" w:cs="Arial"/>
                <w:sz w:val="20"/>
              </w:rPr>
              <w:t>T</w:t>
            </w:r>
            <w:r w:rsidR="0021121D" w:rsidRPr="0021121D">
              <w:rPr>
                <w:rFonts w:eastAsiaTheme="majorEastAsia" w:cs="Arial"/>
                <w:sz w:val="20"/>
              </w:rPr>
              <w:t>ime reduced to 10%</w:t>
            </w:r>
          </w:p>
        </w:tc>
      </w:tr>
      <w:tr w:rsidR="0021121D" w:rsidRPr="0021121D" w14:paraId="509A0E64" w14:textId="77777777" w:rsidTr="0021121D">
        <w:tc>
          <w:tcPr>
            <w:tcW w:w="1870" w:type="dxa"/>
            <w:tcBorders>
              <w:top w:val="single" w:sz="4" w:space="0" w:color="auto"/>
              <w:left w:val="single" w:sz="4" w:space="0" w:color="auto"/>
              <w:bottom w:val="single" w:sz="4" w:space="0" w:color="auto"/>
              <w:right w:val="single" w:sz="4" w:space="0" w:color="auto"/>
            </w:tcBorders>
          </w:tcPr>
          <w:p w14:paraId="2A3D43B5" w14:textId="6E29F793" w:rsidR="0021121D" w:rsidRPr="0021121D" w:rsidRDefault="00936795">
            <w:pPr>
              <w:rPr>
                <w:rFonts w:eastAsiaTheme="majorEastAsia" w:cs="Arial"/>
                <w:sz w:val="20"/>
              </w:rPr>
            </w:pPr>
            <w:r>
              <w:rPr>
                <w:rFonts w:eastAsiaTheme="majorEastAsia" w:cs="Arial"/>
                <w:sz w:val="20"/>
              </w:rPr>
              <w:t>Signalling overhead in reconfiguration</w:t>
            </w:r>
          </w:p>
        </w:tc>
        <w:tc>
          <w:tcPr>
            <w:tcW w:w="2382" w:type="dxa"/>
            <w:tcBorders>
              <w:top w:val="single" w:sz="4" w:space="0" w:color="auto"/>
              <w:left w:val="single" w:sz="4" w:space="0" w:color="auto"/>
              <w:bottom w:val="single" w:sz="4" w:space="0" w:color="auto"/>
              <w:right w:val="single" w:sz="4" w:space="0" w:color="auto"/>
            </w:tcBorders>
            <w:hideMark/>
          </w:tcPr>
          <w:p w14:paraId="31DF8319" w14:textId="6830ED89" w:rsidR="0021121D" w:rsidRPr="0021121D" w:rsidRDefault="00936795">
            <w:pPr>
              <w:rPr>
                <w:rFonts w:eastAsiaTheme="majorEastAsia" w:cs="Arial"/>
                <w:sz w:val="20"/>
              </w:rPr>
            </w:pPr>
            <w:r>
              <w:rPr>
                <w:rFonts w:eastAsiaTheme="majorEastAsia" w:cs="Arial"/>
                <w:sz w:val="20"/>
              </w:rPr>
              <w:t>R</w:t>
            </w:r>
            <w:r w:rsidR="0021121D" w:rsidRPr="0021121D">
              <w:rPr>
                <w:rFonts w:eastAsiaTheme="majorEastAsia" w:cs="Arial"/>
                <w:sz w:val="20"/>
              </w:rPr>
              <w:t>educed to 90%</w:t>
            </w:r>
          </w:p>
        </w:tc>
        <w:tc>
          <w:tcPr>
            <w:tcW w:w="2382" w:type="dxa"/>
            <w:tcBorders>
              <w:top w:val="single" w:sz="4" w:space="0" w:color="auto"/>
              <w:left w:val="single" w:sz="4" w:space="0" w:color="auto"/>
              <w:bottom w:val="single" w:sz="4" w:space="0" w:color="auto"/>
              <w:right w:val="single" w:sz="4" w:space="0" w:color="auto"/>
            </w:tcBorders>
            <w:hideMark/>
          </w:tcPr>
          <w:p w14:paraId="66B53491" w14:textId="48508292" w:rsidR="0021121D" w:rsidRPr="0021121D" w:rsidRDefault="00936795">
            <w:pPr>
              <w:rPr>
                <w:rFonts w:eastAsiaTheme="majorEastAsia" w:cs="Arial"/>
                <w:sz w:val="20"/>
              </w:rPr>
            </w:pPr>
            <w:r>
              <w:rPr>
                <w:rFonts w:eastAsiaTheme="majorEastAsia" w:cs="Arial"/>
                <w:sz w:val="20"/>
              </w:rPr>
              <w:t>R</w:t>
            </w:r>
            <w:r w:rsidR="0021121D" w:rsidRPr="0021121D">
              <w:rPr>
                <w:rFonts w:eastAsiaTheme="majorEastAsia" w:cs="Arial"/>
                <w:sz w:val="20"/>
              </w:rPr>
              <w:t>educed to 75%</w:t>
            </w:r>
          </w:p>
        </w:tc>
        <w:tc>
          <w:tcPr>
            <w:tcW w:w="2382" w:type="dxa"/>
            <w:tcBorders>
              <w:top w:val="single" w:sz="4" w:space="0" w:color="auto"/>
              <w:left w:val="single" w:sz="4" w:space="0" w:color="auto"/>
              <w:bottom w:val="single" w:sz="4" w:space="0" w:color="auto"/>
              <w:right w:val="single" w:sz="4" w:space="0" w:color="auto"/>
            </w:tcBorders>
            <w:hideMark/>
          </w:tcPr>
          <w:p w14:paraId="50AE7A63" w14:textId="697E91EC" w:rsidR="0021121D" w:rsidRPr="0021121D" w:rsidRDefault="00936795">
            <w:pPr>
              <w:rPr>
                <w:rFonts w:eastAsiaTheme="majorEastAsia" w:cs="Arial"/>
                <w:sz w:val="20"/>
              </w:rPr>
            </w:pPr>
            <w:r>
              <w:rPr>
                <w:rFonts w:eastAsiaTheme="majorEastAsia" w:cs="Arial"/>
                <w:sz w:val="20"/>
              </w:rPr>
              <w:t>R</w:t>
            </w:r>
            <w:r w:rsidR="0021121D" w:rsidRPr="0021121D">
              <w:rPr>
                <w:rFonts w:eastAsiaTheme="majorEastAsia" w:cs="Arial"/>
                <w:sz w:val="20"/>
              </w:rPr>
              <w:t>educed to 75% in multitenant environments</w:t>
            </w:r>
          </w:p>
        </w:tc>
      </w:tr>
    </w:tbl>
    <w:p w14:paraId="6C742FB4" w14:textId="38E57CD4" w:rsidR="0021121D" w:rsidRDefault="0021121D" w:rsidP="000C44A6">
      <w:pPr>
        <w:jc w:val="both"/>
        <w:rPr>
          <w:rFonts w:ascii="Arial" w:hAnsi="Arial" w:cs="Arial"/>
        </w:rPr>
      </w:pPr>
    </w:p>
    <w:p w14:paraId="0A64DB41" w14:textId="725F255E" w:rsidR="0021121D" w:rsidRPr="00353F91" w:rsidRDefault="0021121D" w:rsidP="00353F91">
      <w:pPr>
        <w:pStyle w:val="ListParagraph"/>
        <w:numPr>
          <w:ilvl w:val="0"/>
          <w:numId w:val="90"/>
        </w:numPr>
        <w:rPr>
          <w:rFonts w:ascii="Arial" w:hAnsi="Arial" w:cs="Arial"/>
        </w:rPr>
      </w:pPr>
      <w:r w:rsidRPr="00353F91">
        <w:rPr>
          <w:rFonts w:ascii="Arial" w:hAnsi="Arial" w:cs="Arial"/>
        </w:rPr>
        <w:t>In terms of network-suitable AI, we expect</w:t>
      </w:r>
    </w:p>
    <w:tbl>
      <w:tblPr>
        <w:tblStyle w:val="TableGrid"/>
        <w:tblW w:w="0" w:type="auto"/>
        <w:tblLook w:val="04A0" w:firstRow="1" w:lastRow="0" w:firstColumn="1" w:lastColumn="0" w:noHBand="0" w:noVBand="1"/>
      </w:tblPr>
      <w:tblGrid>
        <w:gridCol w:w="3005"/>
        <w:gridCol w:w="3005"/>
        <w:gridCol w:w="3006"/>
      </w:tblGrid>
      <w:tr w:rsidR="0021121D" w:rsidRPr="0021121D" w14:paraId="34330A29" w14:textId="77777777" w:rsidTr="00726918">
        <w:tc>
          <w:tcPr>
            <w:tcW w:w="3005" w:type="dxa"/>
            <w:tcBorders>
              <w:top w:val="single" w:sz="4" w:space="0" w:color="auto"/>
              <w:left w:val="single" w:sz="4" w:space="0" w:color="auto"/>
              <w:bottom w:val="single" w:sz="4" w:space="0" w:color="auto"/>
              <w:right w:val="single" w:sz="4" w:space="0" w:color="auto"/>
            </w:tcBorders>
            <w:hideMark/>
          </w:tcPr>
          <w:p w14:paraId="79F065F4" w14:textId="77777777" w:rsidR="0021121D" w:rsidRPr="0021121D" w:rsidRDefault="0021121D" w:rsidP="005D22B5">
            <w:pPr>
              <w:keepNext/>
              <w:rPr>
                <w:rFonts w:eastAsiaTheme="majorEastAsia" w:cs="Arial"/>
                <w:b/>
                <w:sz w:val="20"/>
              </w:rPr>
            </w:pPr>
            <w:r w:rsidRPr="0021121D">
              <w:rPr>
                <w:rFonts w:eastAsiaTheme="majorEastAsia" w:cs="Arial"/>
                <w:b/>
                <w:sz w:val="20"/>
              </w:rPr>
              <w:t>.Short term ~2025</w:t>
            </w:r>
          </w:p>
        </w:tc>
        <w:tc>
          <w:tcPr>
            <w:tcW w:w="3005" w:type="dxa"/>
            <w:tcBorders>
              <w:top w:val="single" w:sz="4" w:space="0" w:color="auto"/>
              <w:left w:val="single" w:sz="4" w:space="0" w:color="auto"/>
              <w:bottom w:val="single" w:sz="4" w:space="0" w:color="auto"/>
              <w:right w:val="single" w:sz="4" w:space="0" w:color="auto"/>
            </w:tcBorders>
            <w:hideMark/>
          </w:tcPr>
          <w:p w14:paraId="16842B71" w14:textId="77777777" w:rsidR="0021121D" w:rsidRPr="0021121D" w:rsidRDefault="0021121D" w:rsidP="005D22B5">
            <w:pPr>
              <w:keepNext/>
              <w:rPr>
                <w:rFonts w:eastAsiaTheme="majorEastAsia" w:cs="Arial"/>
                <w:b/>
                <w:sz w:val="20"/>
              </w:rPr>
            </w:pPr>
            <w:r w:rsidRPr="0021121D">
              <w:rPr>
                <w:rFonts w:eastAsiaTheme="majorEastAsia" w:cs="Arial"/>
                <w:b/>
                <w:sz w:val="20"/>
              </w:rPr>
              <w:t>Medium term ~2028</w:t>
            </w:r>
          </w:p>
        </w:tc>
        <w:tc>
          <w:tcPr>
            <w:tcW w:w="3006" w:type="dxa"/>
            <w:tcBorders>
              <w:top w:val="single" w:sz="4" w:space="0" w:color="auto"/>
              <w:left w:val="single" w:sz="4" w:space="0" w:color="auto"/>
              <w:bottom w:val="single" w:sz="4" w:space="0" w:color="auto"/>
              <w:right w:val="single" w:sz="4" w:space="0" w:color="auto"/>
            </w:tcBorders>
            <w:hideMark/>
          </w:tcPr>
          <w:p w14:paraId="678353CF" w14:textId="77777777" w:rsidR="0021121D" w:rsidRPr="0021121D" w:rsidRDefault="0021121D" w:rsidP="005D22B5">
            <w:pPr>
              <w:keepNext/>
              <w:rPr>
                <w:rFonts w:eastAsiaTheme="majorEastAsia" w:cs="Arial"/>
                <w:b/>
                <w:sz w:val="20"/>
              </w:rPr>
            </w:pPr>
            <w:r w:rsidRPr="0021121D">
              <w:rPr>
                <w:rFonts w:eastAsiaTheme="majorEastAsia" w:cs="Arial"/>
                <w:b/>
                <w:sz w:val="20"/>
              </w:rPr>
              <w:t>Long term ~2030</w:t>
            </w:r>
          </w:p>
        </w:tc>
      </w:tr>
      <w:tr w:rsidR="0021121D" w:rsidRPr="0021121D" w14:paraId="4B41FF30" w14:textId="77777777" w:rsidTr="0021121D">
        <w:tc>
          <w:tcPr>
            <w:tcW w:w="3005" w:type="dxa"/>
            <w:tcBorders>
              <w:top w:val="single" w:sz="4" w:space="0" w:color="auto"/>
              <w:left w:val="single" w:sz="4" w:space="0" w:color="auto"/>
              <w:bottom w:val="single" w:sz="4" w:space="0" w:color="auto"/>
              <w:right w:val="single" w:sz="4" w:space="0" w:color="auto"/>
            </w:tcBorders>
            <w:hideMark/>
          </w:tcPr>
          <w:p w14:paraId="541F860F" w14:textId="77777777" w:rsidR="0021121D" w:rsidRPr="0021121D" w:rsidRDefault="0021121D">
            <w:pPr>
              <w:rPr>
                <w:rFonts w:eastAsiaTheme="majorEastAsia" w:cs="Arial"/>
                <w:sz w:val="20"/>
              </w:rPr>
            </w:pPr>
            <w:r w:rsidRPr="0021121D">
              <w:rPr>
                <w:rFonts w:eastAsiaTheme="majorEastAsia" w:cs="Arial"/>
                <w:sz w:val="20"/>
              </w:rPr>
              <w:t>Adaptation of current AI models</w:t>
            </w:r>
          </w:p>
        </w:tc>
        <w:tc>
          <w:tcPr>
            <w:tcW w:w="3005" w:type="dxa"/>
            <w:tcBorders>
              <w:top w:val="single" w:sz="4" w:space="0" w:color="auto"/>
              <w:left w:val="single" w:sz="4" w:space="0" w:color="auto"/>
              <w:bottom w:val="single" w:sz="4" w:space="0" w:color="auto"/>
              <w:right w:val="single" w:sz="4" w:space="0" w:color="auto"/>
            </w:tcBorders>
            <w:hideMark/>
          </w:tcPr>
          <w:p w14:paraId="5866D9A5" w14:textId="77777777" w:rsidR="0021121D" w:rsidRPr="0021121D" w:rsidRDefault="0021121D">
            <w:pPr>
              <w:rPr>
                <w:rFonts w:eastAsiaTheme="majorEastAsia" w:cs="Arial"/>
                <w:sz w:val="20"/>
              </w:rPr>
            </w:pPr>
            <w:r w:rsidRPr="0021121D">
              <w:rPr>
                <w:rFonts w:eastAsiaTheme="majorEastAsia" w:cs="Arial"/>
                <w:sz w:val="20"/>
              </w:rPr>
              <w:t>Fully distributed AI algorithms at the network</w:t>
            </w:r>
          </w:p>
        </w:tc>
        <w:tc>
          <w:tcPr>
            <w:tcW w:w="3006" w:type="dxa"/>
            <w:tcBorders>
              <w:top w:val="single" w:sz="4" w:space="0" w:color="auto"/>
              <w:left w:val="single" w:sz="4" w:space="0" w:color="auto"/>
              <w:bottom w:val="single" w:sz="4" w:space="0" w:color="auto"/>
              <w:right w:val="single" w:sz="4" w:space="0" w:color="auto"/>
            </w:tcBorders>
            <w:hideMark/>
          </w:tcPr>
          <w:p w14:paraId="7CB873DE" w14:textId="77777777" w:rsidR="0021121D" w:rsidRPr="0021121D" w:rsidRDefault="0021121D">
            <w:pPr>
              <w:rPr>
                <w:rFonts w:eastAsiaTheme="majorEastAsia" w:cs="Arial"/>
                <w:sz w:val="20"/>
              </w:rPr>
            </w:pPr>
            <w:r w:rsidRPr="0021121D">
              <w:rPr>
                <w:rFonts w:eastAsiaTheme="majorEastAsia" w:cs="Arial"/>
                <w:sz w:val="20"/>
              </w:rPr>
              <w:t>distributed AI supporting and serving several models at the same time</w:t>
            </w:r>
          </w:p>
        </w:tc>
      </w:tr>
    </w:tbl>
    <w:p w14:paraId="56F296D9" w14:textId="77777777" w:rsidR="0021121D" w:rsidRDefault="0021121D" w:rsidP="000C44A6">
      <w:pPr>
        <w:jc w:val="both"/>
        <w:rPr>
          <w:rFonts w:ascii="Arial" w:hAnsi="Arial" w:cs="Arial"/>
        </w:rPr>
      </w:pPr>
    </w:p>
    <w:p w14:paraId="0FE7527F" w14:textId="1D9C3B43" w:rsidR="000C44A6" w:rsidRPr="00766813" w:rsidRDefault="000C44A6" w:rsidP="000C44A6">
      <w:pPr>
        <w:jc w:val="both"/>
        <w:rPr>
          <w:rFonts w:ascii="Arial" w:hAnsi="Arial" w:cs="Arial"/>
        </w:rPr>
      </w:pPr>
      <w:r>
        <w:rPr>
          <w:rFonts w:ascii="Arial" w:hAnsi="Arial" w:cs="Arial"/>
        </w:rPr>
        <w:t xml:space="preserve">In </w:t>
      </w:r>
      <w:r w:rsidRPr="00766813">
        <w:rPr>
          <w:rFonts w:ascii="Arial" w:hAnsi="Arial" w:cs="Arial"/>
          <w:b/>
        </w:rPr>
        <w:t>security domain</w:t>
      </w:r>
      <w:r>
        <w:rPr>
          <w:rFonts w:ascii="Arial" w:hAnsi="Arial" w:cs="Arial"/>
        </w:rPr>
        <w:t>,</w:t>
      </w:r>
      <w:r w:rsidR="001E7AB1">
        <w:rPr>
          <w:rFonts w:ascii="Arial" w:hAnsi="Arial" w:cs="Arial"/>
        </w:rPr>
        <w:t xml:space="preserve"> </w:t>
      </w:r>
      <w:r>
        <w:rPr>
          <w:rFonts w:ascii="Arial" w:hAnsi="Arial" w:cs="Arial"/>
        </w:rPr>
        <w:t>b</w:t>
      </w:r>
      <w:r w:rsidRPr="00766813">
        <w:rPr>
          <w:rFonts w:ascii="Arial" w:hAnsi="Arial" w:cs="Arial"/>
        </w:rPr>
        <w:t>eing a mandatory condition for numerous objectives, security is de facto a pre-requisite for the ongoing Digitalization of our societies. Building trust is combination of awareness, understanding and obviously provision of the right solutions with the right level of security. The ambitious objectives listed below aims at being representative of this combination:</w:t>
      </w:r>
    </w:p>
    <w:p w14:paraId="38548876" w14:textId="77777777" w:rsidR="000C44A6" w:rsidRPr="00766813" w:rsidRDefault="000C44A6" w:rsidP="00353F91">
      <w:pPr>
        <w:pStyle w:val="ListParagraph"/>
        <w:numPr>
          <w:ilvl w:val="0"/>
          <w:numId w:val="90"/>
        </w:numPr>
        <w:rPr>
          <w:rFonts w:ascii="Arial" w:hAnsi="Arial" w:cs="Arial"/>
        </w:rPr>
      </w:pPr>
      <w:r>
        <w:rPr>
          <w:rFonts w:ascii="Arial" w:hAnsi="Arial" w:cs="Arial"/>
        </w:rPr>
        <w:t>Towards a</w:t>
      </w:r>
      <w:r w:rsidRPr="00766813">
        <w:rPr>
          <w:rFonts w:ascii="Arial" w:hAnsi="Arial" w:cs="Arial"/>
        </w:rPr>
        <w:t>ccess to real time Cyber Threat Intelligence information (attacks/threats and vulnerabilities), risk Analysis tools and Services</w:t>
      </w:r>
      <w:r>
        <w:rPr>
          <w:rFonts w:ascii="Arial" w:hAnsi="Arial" w:cs="Arial"/>
        </w:rPr>
        <w:t xml:space="preserve"> </w:t>
      </w:r>
      <w:r w:rsidRPr="00766813">
        <w:rPr>
          <w:rFonts w:ascii="Arial" w:hAnsi="Arial" w:cs="Arial"/>
        </w:rPr>
        <w:t>enabling 100% of awareness and level-based appropriate protection counter-measure deployment.</w:t>
      </w:r>
    </w:p>
    <w:tbl>
      <w:tblPr>
        <w:tblStyle w:val="TableGrid"/>
        <w:tblW w:w="8930" w:type="dxa"/>
        <w:tblInd w:w="137" w:type="dxa"/>
        <w:tblLook w:val="04A0" w:firstRow="1" w:lastRow="0" w:firstColumn="1" w:lastColumn="0" w:noHBand="0" w:noVBand="1"/>
      </w:tblPr>
      <w:tblGrid>
        <w:gridCol w:w="3119"/>
        <w:gridCol w:w="2693"/>
        <w:gridCol w:w="3118"/>
      </w:tblGrid>
      <w:tr w:rsidR="000C44A6" w:rsidRPr="005D22B5" w14:paraId="551786E5" w14:textId="77777777" w:rsidTr="005D22B5">
        <w:tc>
          <w:tcPr>
            <w:tcW w:w="3119" w:type="dxa"/>
          </w:tcPr>
          <w:p w14:paraId="1E03E4CC"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Short-term Evo.</w:t>
            </w:r>
            <w:r w:rsidRPr="005D22B5">
              <w:rPr>
                <w:rFonts w:eastAsia="Times New Roman" w:cs="Arial"/>
                <w:sz w:val="20"/>
                <w:szCs w:val="20"/>
                <w:lang w:val="en-US"/>
              </w:rPr>
              <w:t> ~2025</w:t>
            </w:r>
          </w:p>
        </w:tc>
        <w:tc>
          <w:tcPr>
            <w:tcW w:w="2693" w:type="dxa"/>
          </w:tcPr>
          <w:p w14:paraId="166D15FE" w14:textId="77777777" w:rsidR="000C44A6" w:rsidRPr="005D22B5" w:rsidRDefault="000C44A6" w:rsidP="005D22B5">
            <w:pPr>
              <w:keepNext/>
              <w:spacing w:before="100" w:beforeAutospacing="1" w:after="100" w:afterAutospacing="1"/>
              <w:jc w:val="center"/>
              <w:textAlignment w:val="baseline"/>
              <w:rPr>
                <w:rFonts w:eastAsia="Times New Roman" w:cs="Arial"/>
                <w:b/>
                <w:bCs/>
                <w:sz w:val="20"/>
                <w:szCs w:val="20"/>
              </w:rPr>
            </w:pPr>
            <w:r w:rsidRPr="005D22B5">
              <w:rPr>
                <w:rFonts w:eastAsia="Times New Roman" w:cs="Arial"/>
                <w:b/>
                <w:bCs/>
                <w:sz w:val="20"/>
                <w:szCs w:val="20"/>
              </w:rPr>
              <w:t xml:space="preserve">Medium-term Evo </w:t>
            </w:r>
            <w:r w:rsidRPr="005D22B5">
              <w:rPr>
                <w:rFonts w:eastAsia="Times New Roman" w:cs="Arial"/>
                <w:bCs/>
                <w:sz w:val="20"/>
                <w:szCs w:val="20"/>
              </w:rPr>
              <w:t>~2028</w:t>
            </w:r>
            <w:r w:rsidRPr="005D22B5">
              <w:rPr>
                <w:rFonts w:eastAsia="Times New Roman" w:cs="Arial"/>
                <w:sz w:val="20"/>
                <w:szCs w:val="20"/>
                <w:lang w:val="en-US"/>
              </w:rPr>
              <w:t> </w:t>
            </w:r>
          </w:p>
        </w:tc>
        <w:tc>
          <w:tcPr>
            <w:tcW w:w="3118" w:type="dxa"/>
          </w:tcPr>
          <w:p w14:paraId="71F1675E"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Long-term Evo.</w:t>
            </w:r>
            <w:r w:rsidRPr="005D22B5">
              <w:rPr>
                <w:rFonts w:eastAsia="Times New Roman" w:cs="Arial"/>
                <w:sz w:val="20"/>
                <w:szCs w:val="20"/>
                <w:lang w:val="en-US"/>
              </w:rPr>
              <w:t> ~2030</w:t>
            </w:r>
          </w:p>
        </w:tc>
      </w:tr>
      <w:tr w:rsidR="000C44A6" w:rsidRPr="005D22B5" w14:paraId="439AC7B0" w14:textId="77777777" w:rsidTr="005D22B5">
        <w:tc>
          <w:tcPr>
            <w:tcW w:w="3119" w:type="dxa"/>
          </w:tcPr>
          <w:p w14:paraId="029EE1E0"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Federated, consolidated, common basis across CERTs (CSIRT network, NIS directive application)</w:t>
            </w:r>
          </w:p>
        </w:tc>
        <w:tc>
          <w:tcPr>
            <w:tcW w:w="2693" w:type="dxa"/>
          </w:tcPr>
          <w:p w14:paraId="244C0A52"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CTI platforms( including openCTI) and tools for State-of-The-Art sanitization</w:t>
            </w:r>
          </w:p>
        </w:tc>
        <w:tc>
          <w:tcPr>
            <w:tcW w:w="3118" w:type="dxa"/>
          </w:tcPr>
          <w:p w14:paraId="1434AB42"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100% of qualified threats knowledge and appropriate counter measures made accessible</w:t>
            </w:r>
          </w:p>
        </w:tc>
      </w:tr>
    </w:tbl>
    <w:p w14:paraId="23EB7412" w14:textId="77777777" w:rsidR="000C44A6" w:rsidRPr="00766813" w:rsidRDefault="000C44A6" w:rsidP="000C44A6">
      <w:pPr>
        <w:pStyle w:val="ListParagraph"/>
        <w:rPr>
          <w:rFonts w:ascii="Arial" w:hAnsi="Arial" w:cs="Arial"/>
        </w:rPr>
      </w:pPr>
    </w:p>
    <w:p w14:paraId="1AD094CF" w14:textId="77777777" w:rsidR="000C44A6" w:rsidRDefault="000C44A6" w:rsidP="00124439">
      <w:pPr>
        <w:pStyle w:val="ListParagraph"/>
        <w:keepNext/>
        <w:numPr>
          <w:ilvl w:val="0"/>
          <w:numId w:val="65"/>
        </w:numPr>
        <w:rPr>
          <w:rFonts w:ascii="Arial" w:hAnsi="Arial" w:cs="Arial"/>
        </w:rPr>
      </w:pPr>
      <w:r w:rsidRPr="00766813">
        <w:rPr>
          <w:rFonts w:ascii="Arial" w:hAnsi="Arial" w:cs="Arial"/>
        </w:rPr>
        <w:lastRenderedPageBreak/>
        <w:t>Trust in ICT infrastructure through systematic Exposure of cybersecurity levels 100% compliant with European-legal basis (certification, Security Service Level attributes, GDPR/EU strategy for Data,...)</w:t>
      </w:r>
    </w:p>
    <w:tbl>
      <w:tblPr>
        <w:tblStyle w:val="TableGrid"/>
        <w:tblW w:w="0" w:type="auto"/>
        <w:tblInd w:w="-5" w:type="dxa"/>
        <w:tblLook w:val="04A0" w:firstRow="1" w:lastRow="0" w:firstColumn="1" w:lastColumn="0" w:noHBand="0" w:noVBand="1"/>
      </w:tblPr>
      <w:tblGrid>
        <w:gridCol w:w="3576"/>
        <w:gridCol w:w="2945"/>
        <w:gridCol w:w="2500"/>
      </w:tblGrid>
      <w:tr w:rsidR="000C44A6" w:rsidRPr="002F2B7B" w14:paraId="4915BD19" w14:textId="77777777" w:rsidTr="005D22B5">
        <w:tc>
          <w:tcPr>
            <w:tcW w:w="3576" w:type="dxa"/>
          </w:tcPr>
          <w:p w14:paraId="4EE97A80"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Short-term Evo.</w:t>
            </w:r>
            <w:r w:rsidRPr="005D22B5">
              <w:rPr>
                <w:rFonts w:eastAsia="Times New Roman" w:cs="Arial"/>
                <w:sz w:val="20"/>
                <w:szCs w:val="20"/>
                <w:lang w:val="en-US"/>
              </w:rPr>
              <w:t> ~2025</w:t>
            </w:r>
          </w:p>
        </w:tc>
        <w:tc>
          <w:tcPr>
            <w:tcW w:w="2945" w:type="dxa"/>
          </w:tcPr>
          <w:p w14:paraId="6E0D6E44" w14:textId="77777777" w:rsidR="000C44A6" w:rsidRPr="005D22B5" w:rsidRDefault="000C44A6" w:rsidP="005D22B5">
            <w:pPr>
              <w:keepNext/>
              <w:spacing w:before="100" w:beforeAutospacing="1" w:after="100" w:afterAutospacing="1"/>
              <w:jc w:val="center"/>
              <w:textAlignment w:val="baseline"/>
              <w:rPr>
                <w:rFonts w:eastAsia="Times New Roman" w:cs="Arial"/>
                <w:b/>
                <w:bCs/>
                <w:sz w:val="20"/>
                <w:szCs w:val="20"/>
              </w:rPr>
            </w:pPr>
            <w:r w:rsidRPr="005D22B5">
              <w:rPr>
                <w:rFonts w:eastAsia="Times New Roman" w:cs="Arial"/>
                <w:b/>
                <w:bCs/>
                <w:sz w:val="20"/>
                <w:szCs w:val="20"/>
              </w:rPr>
              <w:t xml:space="preserve">Medium-term Evo </w:t>
            </w:r>
            <w:r w:rsidRPr="005D22B5">
              <w:rPr>
                <w:rFonts w:eastAsia="Times New Roman" w:cs="Arial"/>
                <w:bCs/>
                <w:sz w:val="20"/>
                <w:szCs w:val="20"/>
              </w:rPr>
              <w:t>~2028</w:t>
            </w:r>
            <w:r w:rsidRPr="005D22B5">
              <w:rPr>
                <w:rFonts w:eastAsia="Times New Roman" w:cs="Arial"/>
                <w:sz w:val="20"/>
                <w:szCs w:val="20"/>
                <w:lang w:val="en-US"/>
              </w:rPr>
              <w:t> </w:t>
            </w:r>
          </w:p>
        </w:tc>
        <w:tc>
          <w:tcPr>
            <w:tcW w:w="2500" w:type="dxa"/>
          </w:tcPr>
          <w:p w14:paraId="144C2AE1"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Long-term Evo.</w:t>
            </w:r>
            <w:r w:rsidRPr="005D22B5">
              <w:rPr>
                <w:rFonts w:eastAsia="Times New Roman" w:cs="Arial"/>
                <w:sz w:val="20"/>
                <w:szCs w:val="20"/>
                <w:lang w:val="en-US"/>
              </w:rPr>
              <w:t> ~2030</w:t>
            </w:r>
          </w:p>
        </w:tc>
      </w:tr>
      <w:tr w:rsidR="000C44A6" w:rsidRPr="002D32F2" w14:paraId="18B31D17" w14:textId="77777777" w:rsidTr="005D22B5">
        <w:tc>
          <w:tcPr>
            <w:tcW w:w="3576" w:type="dxa"/>
          </w:tcPr>
          <w:p w14:paraId="62044D3C"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5G systems &amp; services certification frameworks, Basic security level exposure with generic security attributes defined</w:t>
            </w:r>
          </w:p>
        </w:tc>
        <w:tc>
          <w:tcPr>
            <w:tcW w:w="2945" w:type="dxa"/>
          </w:tcPr>
          <w:p w14:paraId="5A13D8E0"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Methodologies and tools for composition and time evolution of certified perimeters</w:t>
            </w:r>
          </w:p>
          <w:p w14:paraId="467400A9"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(systems &amp; services)</w:t>
            </w:r>
          </w:p>
        </w:tc>
        <w:tc>
          <w:tcPr>
            <w:tcW w:w="2500" w:type="dxa"/>
          </w:tcPr>
          <w:p w14:paraId="6B4A33D3"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 xml:space="preserve">Evolutive approach for data and disruptive technologies </w:t>
            </w:r>
          </w:p>
        </w:tc>
      </w:tr>
    </w:tbl>
    <w:p w14:paraId="2A6FC383" w14:textId="77777777" w:rsidR="000C44A6" w:rsidRPr="00766813" w:rsidRDefault="000C44A6" w:rsidP="000C44A6">
      <w:pPr>
        <w:pStyle w:val="ListParagraph"/>
        <w:rPr>
          <w:rFonts w:ascii="Arial" w:hAnsi="Arial" w:cs="Arial"/>
        </w:rPr>
      </w:pPr>
    </w:p>
    <w:p w14:paraId="1CAC4F5C" w14:textId="77777777" w:rsidR="000C44A6" w:rsidRDefault="000C44A6" w:rsidP="00124439">
      <w:pPr>
        <w:pStyle w:val="ListParagraph"/>
        <w:keepNext/>
        <w:numPr>
          <w:ilvl w:val="0"/>
          <w:numId w:val="65"/>
        </w:numPr>
        <w:rPr>
          <w:rFonts w:ascii="Arial" w:hAnsi="Arial" w:cs="Arial"/>
        </w:rPr>
      </w:pPr>
      <w:r w:rsidRPr="00766813">
        <w:rPr>
          <w:rFonts w:ascii="Arial" w:hAnsi="Arial" w:cs="Arial"/>
        </w:rPr>
        <w:t>Compliance with highly critical applications and essential services requirements leading to sovereign solutions able to provide 100% availability of services for verticals</w:t>
      </w:r>
    </w:p>
    <w:tbl>
      <w:tblPr>
        <w:tblStyle w:val="TableGrid"/>
        <w:tblW w:w="0" w:type="auto"/>
        <w:tblInd w:w="-5" w:type="dxa"/>
        <w:tblLook w:val="04A0" w:firstRow="1" w:lastRow="0" w:firstColumn="1" w:lastColumn="0" w:noHBand="0" w:noVBand="1"/>
      </w:tblPr>
      <w:tblGrid>
        <w:gridCol w:w="3576"/>
        <w:gridCol w:w="2722"/>
        <w:gridCol w:w="2723"/>
      </w:tblGrid>
      <w:tr w:rsidR="000C44A6" w:rsidRPr="005D22B5" w14:paraId="232B5E60" w14:textId="77777777" w:rsidTr="005D22B5">
        <w:tc>
          <w:tcPr>
            <w:tcW w:w="3576" w:type="dxa"/>
          </w:tcPr>
          <w:p w14:paraId="196D3CF0"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Short-term Evo.</w:t>
            </w:r>
            <w:r w:rsidRPr="005D22B5">
              <w:rPr>
                <w:rFonts w:eastAsia="Times New Roman" w:cs="Arial"/>
                <w:sz w:val="20"/>
                <w:szCs w:val="20"/>
                <w:lang w:val="en-US"/>
              </w:rPr>
              <w:t> ~2025</w:t>
            </w:r>
          </w:p>
        </w:tc>
        <w:tc>
          <w:tcPr>
            <w:tcW w:w="2722" w:type="dxa"/>
          </w:tcPr>
          <w:p w14:paraId="0EC785BA" w14:textId="77777777" w:rsidR="000C44A6" w:rsidRPr="005D22B5" w:rsidRDefault="000C44A6" w:rsidP="005D22B5">
            <w:pPr>
              <w:keepNext/>
              <w:spacing w:before="100" w:beforeAutospacing="1" w:after="100" w:afterAutospacing="1"/>
              <w:jc w:val="center"/>
              <w:textAlignment w:val="baseline"/>
              <w:rPr>
                <w:rFonts w:eastAsia="Times New Roman" w:cs="Arial"/>
                <w:b/>
                <w:bCs/>
                <w:sz w:val="20"/>
                <w:szCs w:val="20"/>
              </w:rPr>
            </w:pPr>
            <w:r w:rsidRPr="005D22B5">
              <w:rPr>
                <w:rFonts w:eastAsia="Times New Roman" w:cs="Arial"/>
                <w:b/>
                <w:bCs/>
                <w:sz w:val="20"/>
                <w:szCs w:val="20"/>
              </w:rPr>
              <w:t xml:space="preserve">Medium-term Evo </w:t>
            </w:r>
            <w:r w:rsidRPr="005D22B5">
              <w:rPr>
                <w:rFonts w:eastAsia="Times New Roman" w:cs="Arial"/>
                <w:bCs/>
                <w:sz w:val="20"/>
                <w:szCs w:val="20"/>
              </w:rPr>
              <w:t>~2028</w:t>
            </w:r>
            <w:r w:rsidRPr="005D22B5">
              <w:rPr>
                <w:rFonts w:eastAsia="Times New Roman" w:cs="Arial"/>
                <w:sz w:val="20"/>
                <w:szCs w:val="20"/>
                <w:lang w:val="en-US"/>
              </w:rPr>
              <w:t> </w:t>
            </w:r>
          </w:p>
        </w:tc>
        <w:tc>
          <w:tcPr>
            <w:tcW w:w="2723" w:type="dxa"/>
          </w:tcPr>
          <w:p w14:paraId="1761EF70"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Long-term Evo.</w:t>
            </w:r>
            <w:r w:rsidRPr="005D22B5">
              <w:rPr>
                <w:rFonts w:eastAsia="Times New Roman" w:cs="Arial"/>
                <w:sz w:val="20"/>
                <w:szCs w:val="20"/>
                <w:lang w:val="en-US"/>
              </w:rPr>
              <w:t> ~2030</w:t>
            </w:r>
          </w:p>
        </w:tc>
      </w:tr>
      <w:tr w:rsidR="000C44A6" w:rsidRPr="005D22B5" w14:paraId="6F549DE4" w14:textId="77777777" w:rsidTr="005D22B5">
        <w:tc>
          <w:tcPr>
            <w:tcW w:w="3576" w:type="dxa"/>
          </w:tcPr>
          <w:p w14:paraId="51D055AD"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Local, private implementation for limited set of verticals</w:t>
            </w:r>
          </w:p>
        </w:tc>
        <w:tc>
          <w:tcPr>
            <w:tcW w:w="2722" w:type="dxa"/>
          </w:tcPr>
          <w:p w14:paraId="4073AEA8"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End-to-End hybrid implementation for most of verticals</w:t>
            </w:r>
          </w:p>
        </w:tc>
        <w:tc>
          <w:tcPr>
            <w:tcW w:w="2723" w:type="dxa"/>
          </w:tcPr>
          <w:p w14:paraId="31003095"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High grade support with technology, system and solution independence</w:t>
            </w:r>
          </w:p>
        </w:tc>
      </w:tr>
    </w:tbl>
    <w:p w14:paraId="1C3A24E6" w14:textId="77777777" w:rsidR="000C44A6" w:rsidRPr="00766813" w:rsidRDefault="000C44A6" w:rsidP="000C44A6">
      <w:pPr>
        <w:pStyle w:val="ListParagraph"/>
        <w:rPr>
          <w:rFonts w:ascii="Arial" w:hAnsi="Arial" w:cs="Arial"/>
        </w:rPr>
      </w:pPr>
    </w:p>
    <w:p w14:paraId="6718B226" w14:textId="4C53B20F" w:rsidR="00C42C17" w:rsidRPr="00210FCA" w:rsidRDefault="000C44A6" w:rsidP="00124439">
      <w:pPr>
        <w:pStyle w:val="ListParagraph"/>
        <w:keepNext/>
        <w:numPr>
          <w:ilvl w:val="0"/>
          <w:numId w:val="65"/>
        </w:numPr>
        <w:rPr>
          <w:rFonts w:ascii="Arial" w:hAnsi="Arial" w:cs="Arial"/>
        </w:rPr>
      </w:pPr>
      <w:r w:rsidRPr="00766813">
        <w:rPr>
          <w:rFonts w:ascii="Arial" w:hAnsi="Arial" w:cs="Arial"/>
        </w:rPr>
        <w:t>Improve attack detection &amp; response mean time of Cybersecurity incidents including zero % unprotected data leakage</w:t>
      </w:r>
    </w:p>
    <w:tbl>
      <w:tblPr>
        <w:tblStyle w:val="TableGrid"/>
        <w:tblW w:w="0" w:type="auto"/>
        <w:tblInd w:w="-5" w:type="dxa"/>
        <w:tblLook w:val="04A0" w:firstRow="1" w:lastRow="0" w:firstColumn="1" w:lastColumn="0" w:noHBand="0" w:noVBand="1"/>
      </w:tblPr>
      <w:tblGrid>
        <w:gridCol w:w="2977"/>
        <w:gridCol w:w="2552"/>
        <w:gridCol w:w="3492"/>
      </w:tblGrid>
      <w:tr w:rsidR="000C44A6" w:rsidRPr="005D22B5" w14:paraId="08D6ECA1" w14:textId="77777777" w:rsidTr="005D22B5">
        <w:tc>
          <w:tcPr>
            <w:tcW w:w="2977" w:type="dxa"/>
          </w:tcPr>
          <w:p w14:paraId="6E5CA11C"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Short-term Evo.</w:t>
            </w:r>
            <w:r w:rsidRPr="005D22B5">
              <w:rPr>
                <w:rFonts w:eastAsia="Times New Roman" w:cs="Arial"/>
                <w:sz w:val="20"/>
                <w:szCs w:val="20"/>
                <w:lang w:val="en-US"/>
              </w:rPr>
              <w:t> ~2025</w:t>
            </w:r>
          </w:p>
        </w:tc>
        <w:tc>
          <w:tcPr>
            <w:tcW w:w="2552" w:type="dxa"/>
          </w:tcPr>
          <w:p w14:paraId="729DA0AF" w14:textId="77777777" w:rsidR="000C44A6" w:rsidRPr="005D22B5" w:rsidRDefault="000C44A6" w:rsidP="005D22B5">
            <w:pPr>
              <w:keepNext/>
              <w:spacing w:before="100" w:beforeAutospacing="1" w:after="100" w:afterAutospacing="1"/>
              <w:jc w:val="center"/>
              <w:textAlignment w:val="baseline"/>
              <w:rPr>
                <w:rFonts w:eastAsia="Times New Roman" w:cs="Arial"/>
                <w:b/>
                <w:bCs/>
                <w:sz w:val="20"/>
                <w:szCs w:val="20"/>
              </w:rPr>
            </w:pPr>
            <w:r w:rsidRPr="005D22B5">
              <w:rPr>
                <w:rFonts w:eastAsia="Times New Roman" w:cs="Arial"/>
                <w:b/>
                <w:bCs/>
                <w:sz w:val="20"/>
                <w:szCs w:val="20"/>
              </w:rPr>
              <w:t xml:space="preserve">Medium-term Evo </w:t>
            </w:r>
            <w:r w:rsidRPr="005D22B5">
              <w:rPr>
                <w:rFonts w:eastAsia="Times New Roman" w:cs="Arial"/>
                <w:bCs/>
                <w:sz w:val="20"/>
                <w:szCs w:val="20"/>
              </w:rPr>
              <w:t>~2028</w:t>
            </w:r>
            <w:r w:rsidRPr="005D22B5">
              <w:rPr>
                <w:rFonts w:eastAsia="Times New Roman" w:cs="Arial"/>
                <w:sz w:val="20"/>
                <w:szCs w:val="20"/>
                <w:lang w:val="en-US"/>
              </w:rPr>
              <w:t> </w:t>
            </w:r>
          </w:p>
        </w:tc>
        <w:tc>
          <w:tcPr>
            <w:tcW w:w="3492" w:type="dxa"/>
          </w:tcPr>
          <w:p w14:paraId="242A60F9" w14:textId="77777777" w:rsidR="000C44A6" w:rsidRPr="005D22B5" w:rsidRDefault="000C44A6" w:rsidP="005D22B5">
            <w:pPr>
              <w:keepNext/>
              <w:spacing w:before="100" w:beforeAutospacing="1" w:after="100" w:afterAutospacing="1"/>
              <w:jc w:val="center"/>
              <w:textAlignment w:val="baseline"/>
              <w:rPr>
                <w:rFonts w:eastAsia="Times New Roman" w:cs="Arial"/>
                <w:sz w:val="20"/>
                <w:szCs w:val="20"/>
                <w:lang w:val="en-US"/>
              </w:rPr>
            </w:pPr>
            <w:r w:rsidRPr="005D22B5">
              <w:rPr>
                <w:rFonts w:eastAsia="Times New Roman" w:cs="Arial"/>
                <w:b/>
                <w:bCs/>
                <w:sz w:val="20"/>
                <w:szCs w:val="20"/>
              </w:rPr>
              <w:t>Long-term Evo.</w:t>
            </w:r>
            <w:r w:rsidRPr="005D22B5">
              <w:rPr>
                <w:rFonts w:eastAsia="Times New Roman" w:cs="Arial"/>
                <w:sz w:val="20"/>
                <w:szCs w:val="20"/>
                <w:lang w:val="en-US"/>
              </w:rPr>
              <w:t> ~2030</w:t>
            </w:r>
          </w:p>
        </w:tc>
      </w:tr>
      <w:tr w:rsidR="000C44A6" w:rsidRPr="005D22B5" w14:paraId="2BBB24A0" w14:textId="77777777" w:rsidTr="005D22B5">
        <w:tc>
          <w:tcPr>
            <w:tcW w:w="2977" w:type="dxa"/>
          </w:tcPr>
          <w:p w14:paraId="38408A7F"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Benchmark strategy including data set and models</w:t>
            </w:r>
          </w:p>
        </w:tc>
        <w:tc>
          <w:tcPr>
            <w:tcW w:w="2552" w:type="dxa"/>
          </w:tcPr>
          <w:p w14:paraId="1F0DF1D8"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Monitoring and attack detection EU-wide strategy</w:t>
            </w:r>
          </w:p>
        </w:tc>
        <w:tc>
          <w:tcPr>
            <w:tcW w:w="3492" w:type="dxa"/>
          </w:tcPr>
          <w:p w14:paraId="7503BEC9" w14:textId="77777777" w:rsidR="000C44A6" w:rsidRPr="005D22B5" w:rsidRDefault="000C44A6" w:rsidP="002A7D20">
            <w:pPr>
              <w:spacing w:before="100" w:beforeAutospacing="1" w:after="100" w:afterAutospacing="1"/>
              <w:jc w:val="center"/>
              <w:textAlignment w:val="baseline"/>
              <w:rPr>
                <w:rFonts w:eastAsia="Times New Roman" w:cs="Arial"/>
                <w:sz w:val="20"/>
                <w:szCs w:val="20"/>
              </w:rPr>
            </w:pPr>
            <w:r w:rsidRPr="005D22B5">
              <w:rPr>
                <w:rFonts w:eastAsia="Times New Roman" w:cs="Arial"/>
                <w:sz w:val="20"/>
                <w:szCs w:val="20"/>
              </w:rPr>
              <w:t>Data protection strategy with response time and robustness outperforming attackers capabilities</w:t>
            </w:r>
          </w:p>
        </w:tc>
      </w:tr>
    </w:tbl>
    <w:p w14:paraId="77E89CDA" w14:textId="77777777" w:rsidR="005D64FB" w:rsidRPr="000C44A6" w:rsidRDefault="005D64FB" w:rsidP="005D64FB">
      <w:pPr>
        <w:pStyle w:val="Maintext"/>
      </w:pPr>
    </w:p>
    <w:p w14:paraId="31D654DA" w14:textId="024ADF5A" w:rsidR="005D64FB" w:rsidRDefault="005D64FB" w:rsidP="005D64FB">
      <w:pPr>
        <w:pStyle w:val="Heading2"/>
        <w:rPr>
          <w:rFonts w:cs="Arial"/>
        </w:rPr>
      </w:pPr>
      <w:bookmarkStart w:id="39" w:name="_Toc8289599"/>
      <w:bookmarkStart w:id="40" w:name="_Toc12788340"/>
      <w:bookmarkStart w:id="41" w:name="_Toc42177228"/>
      <w:r w:rsidRPr="006524F5">
        <w:rPr>
          <w:rFonts w:cs="Arial"/>
        </w:rPr>
        <w:t xml:space="preserve">Technical Standard </w:t>
      </w:r>
      <w:bookmarkEnd w:id="39"/>
      <w:bookmarkEnd w:id="40"/>
      <w:r w:rsidRPr="006524F5">
        <w:rPr>
          <w:rFonts w:cs="Arial"/>
        </w:rPr>
        <w:t>Areas</w:t>
      </w:r>
      <w:bookmarkEnd w:id="41"/>
    </w:p>
    <w:p w14:paraId="0D673B44" w14:textId="77777777" w:rsidR="00C42C17" w:rsidRPr="00C42C17" w:rsidRDefault="00C42C17" w:rsidP="00C42C17"/>
    <w:p w14:paraId="0681FA34" w14:textId="77777777" w:rsidR="005D64FB" w:rsidRPr="006524F5" w:rsidRDefault="005D64FB" w:rsidP="005D64FB">
      <w:pPr>
        <w:spacing w:before="100" w:after="100"/>
        <w:jc w:val="both"/>
        <w:rPr>
          <w:rFonts w:ascii="Arial" w:hAnsi="Arial" w:cs="Arial"/>
          <w:lang w:val="en-US"/>
        </w:rPr>
      </w:pPr>
      <w:r w:rsidRPr="006524F5">
        <w:rPr>
          <w:rFonts w:ascii="Arial" w:hAnsi="Arial" w:cs="Arial"/>
          <w:lang w:val="en-US"/>
        </w:rPr>
        <w:t>Since architecture, standardization and interoperability will play a critical role in establishing a successful ecosystem based on smart networks, this section provides an overview of important topics and challenges in key standards areas.</w:t>
      </w:r>
    </w:p>
    <w:p w14:paraId="4368498C" w14:textId="77777777" w:rsidR="005D64FB" w:rsidRPr="006524F5" w:rsidRDefault="005D64FB" w:rsidP="005D64FB">
      <w:pPr>
        <w:rPr>
          <w:rFonts w:ascii="Arial" w:hAnsi="Arial" w:cs="Arial"/>
          <w:lang w:val="en-US"/>
        </w:rPr>
      </w:pPr>
    </w:p>
    <w:p w14:paraId="12DA6398" w14:textId="7822F0B5" w:rsidR="005D64FB" w:rsidRDefault="005D64FB" w:rsidP="005D64FB">
      <w:pPr>
        <w:jc w:val="both"/>
        <w:rPr>
          <w:rFonts w:ascii="Arial" w:hAnsi="Arial" w:cs="Arial"/>
          <w:lang w:val="en-US"/>
        </w:rPr>
      </w:pPr>
      <w:r>
        <w:rPr>
          <w:rFonts w:ascii="Arial" w:hAnsi="Arial" w:cs="Arial"/>
          <w:b/>
          <w:bCs/>
          <w:lang w:val="en-US"/>
        </w:rPr>
        <w:t xml:space="preserve">Standardization activities for B5G Systems: </w:t>
      </w:r>
      <w:r>
        <w:rPr>
          <w:rFonts w:ascii="Arial" w:hAnsi="Arial" w:cs="Arial"/>
          <w:lang w:val="en-US"/>
        </w:rPr>
        <w:t xml:space="preserve">5G networks will </w:t>
      </w:r>
      <w:r w:rsidRPr="00AB4169">
        <w:rPr>
          <w:rFonts w:ascii="Arial" w:hAnsi="Arial" w:cs="Arial"/>
          <w:lang w:val="en-US"/>
        </w:rPr>
        <w:t xml:space="preserve">evolve to meet the requirements from the full digitization </w:t>
      </w:r>
      <w:r w:rsidRPr="00C75AB7">
        <w:rPr>
          <w:rFonts w:ascii="Arial" w:hAnsi="Arial" w:cs="Arial"/>
          <w:lang w:val="en-US"/>
        </w:rPr>
        <w:t>and from the need to support highly demanding emergin</w:t>
      </w:r>
      <w:r w:rsidRPr="00B658AE">
        <w:rPr>
          <w:rFonts w:ascii="Arial" w:hAnsi="Arial" w:cs="Arial"/>
          <w:lang w:val="en-US"/>
        </w:rPr>
        <w:t xml:space="preserve">g applications. This evolution will </w:t>
      </w:r>
      <w:r w:rsidRPr="000703B2">
        <w:rPr>
          <w:rFonts w:ascii="Arial" w:hAnsi="Arial" w:cs="Arial"/>
          <w:lang w:val="en-US"/>
        </w:rPr>
        <w:t>require modification in all network domains (radio access network, backhaul, core network) and very likely in the wireless technologies to be used over the air interface. For this evolution to have g</w:t>
      </w:r>
      <w:r w:rsidRPr="00387E08">
        <w:rPr>
          <w:rFonts w:ascii="Arial" w:hAnsi="Arial" w:cs="Arial"/>
          <w:lang w:val="en-US"/>
        </w:rPr>
        <w:t>lob</w:t>
      </w:r>
      <w:r w:rsidRPr="00E95278">
        <w:rPr>
          <w:rFonts w:ascii="Arial" w:hAnsi="Arial" w:cs="Arial"/>
          <w:lang w:val="en-US"/>
        </w:rPr>
        <w:t>al impact input to the dominant standardization bodies is required.</w:t>
      </w:r>
    </w:p>
    <w:p w14:paraId="5F2B68A0" w14:textId="77777777" w:rsidR="005D64FB" w:rsidRPr="00CA1236" w:rsidRDefault="005D64FB" w:rsidP="005D64FB">
      <w:pPr>
        <w:jc w:val="both"/>
        <w:rPr>
          <w:rFonts w:ascii="Arial" w:hAnsi="Arial" w:cs="Arial"/>
          <w:lang w:val="en-US"/>
        </w:rPr>
      </w:pPr>
      <w:r w:rsidRPr="00CA1236">
        <w:rPr>
          <w:rFonts w:ascii="Arial" w:hAnsi="Arial" w:cs="Arial"/>
          <w:b/>
          <w:bCs/>
          <w:lang w:val="en-US"/>
        </w:rPr>
        <w:t>Enhancing Networks with key enabling technologies:</w:t>
      </w:r>
      <w:r>
        <w:rPr>
          <w:rFonts w:ascii="Arial" w:hAnsi="Arial" w:cs="Arial"/>
          <w:lang w:val="en-US"/>
        </w:rPr>
        <w:t xml:space="preserve"> B5G networks will require to improve considerably their performance as well as their ability to handle complexity. For this reason, it is necessary to adopt advanced solutions that will be based in AI/ML and that will be able run in distributed high-performance computing environments. Moreover, the support of all vertical technologies will require the adoption of end-to-end sophisticated cybersecurity solutions.</w:t>
      </w:r>
    </w:p>
    <w:p w14:paraId="1F59BAFD" w14:textId="77777777" w:rsidR="005D64FB" w:rsidRPr="00B658AE" w:rsidRDefault="005D64FB" w:rsidP="005D64FB">
      <w:pPr>
        <w:jc w:val="both"/>
        <w:rPr>
          <w:rFonts w:ascii="Arial" w:hAnsi="Arial" w:cs="Arial"/>
          <w:color w:val="000000"/>
          <w:lang w:val="en-US"/>
        </w:rPr>
      </w:pPr>
      <w:r w:rsidRPr="00AB4169">
        <w:rPr>
          <w:rFonts w:ascii="Arial" w:hAnsi="Arial" w:cs="Arial"/>
          <w:b/>
          <w:bCs/>
          <w:lang w:val="en-US"/>
        </w:rPr>
        <w:t>Artificial Intelligence and Edge Computing:</w:t>
      </w:r>
      <w:r w:rsidRPr="00AB4169">
        <w:rPr>
          <w:rFonts w:ascii="Arial" w:hAnsi="Arial" w:cs="Arial"/>
          <w:lang w:val="en-US"/>
        </w:rPr>
        <w:t xml:space="preserve"> Standardization support is needed in the areas where applications and services are enabled by IoT, 5G and AI at the edge, along with edge </w:t>
      </w:r>
      <w:r w:rsidRPr="00AB4169">
        <w:rPr>
          <w:rFonts w:ascii="Arial" w:hAnsi="Arial" w:cs="Arial"/>
          <w:lang w:val="en-US"/>
        </w:rPr>
        <w:lastRenderedPageBreak/>
        <w:t xml:space="preserve">computing, and when considering that information </w:t>
      </w:r>
      <w:r w:rsidRPr="00C75AB7">
        <w:rPr>
          <w:rFonts w:ascii="Arial" w:hAnsi="Arial" w:cs="Arial"/>
          <w:color w:val="000000"/>
          <w:lang w:val="en-US"/>
        </w:rPr>
        <w:t>and knowledge need to be exchanged between edge and data cen</w:t>
      </w:r>
      <w:r w:rsidRPr="00B658AE">
        <w:rPr>
          <w:rFonts w:ascii="Arial" w:hAnsi="Arial" w:cs="Arial"/>
          <w:color w:val="000000"/>
          <w:lang w:val="en-US"/>
        </w:rPr>
        <w:t>tre.</w:t>
      </w:r>
    </w:p>
    <w:p w14:paraId="50672EDC" w14:textId="77777777" w:rsidR="005D64FB" w:rsidRPr="00E95278" w:rsidRDefault="005D64FB" w:rsidP="005D64FB">
      <w:pPr>
        <w:spacing w:after="80"/>
        <w:jc w:val="both"/>
        <w:rPr>
          <w:rFonts w:ascii="Arial" w:hAnsi="Arial" w:cs="Arial"/>
          <w:lang w:val="en-US"/>
        </w:rPr>
      </w:pPr>
      <w:bookmarkStart w:id="42" w:name="_Toc4619498"/>
      <w:bookmarkStart w:id="43" w:name="_Toc8289606"/>
      <w:bookmarkStart w:id="44" w:name="_Toc12788347"/>
      <w:r w:rsidRPr="00B658AE">
        <w:rPr>
          <w:rFonts w:ascii="Arial" w:hAnsi="Arial" w:cs="Arial"/>
          <w:b/>
          <w:bCs/>
          <w:lang w:val="en-US"/>
        </w:rPr>
        <w:t>Semantic and Syntactic Inter</w:t>
      </w:r>
      <w:r w:rsidRPr="000703B2">
        <w:rPr>
          <w:rFonts w:ascii="Arial" w:hAnsi="Arial" w:cs="Arial"/>
          <w:b/>
          <w:bCs/>
          <w:lang w:val="en-US"/>
        </w:rPr>
        <w:t>operability</w:t>
      </w:r>
      <w:bookmarkEnd w:id="42"/>
      <w:bookmarkEnd w:id="43"/>
      <w:bookmarkEnd w:id="44"/>
      <w:r w:rsidRPr="000703B2">
        <w:rPr>
          <w:rFonts w:ascii="Arial" w:hAnsi="Arial" w:cs="Arial"/>
          <w:b/>
          <w:bCs/>
          <w:lang w:val="en-US"/>
        </w:rPr>
        <w:t>:</w:t>
      </w:r>
      <w:r w:rsidRPr="000703B2">
        <w:rPr>
          <w:rFonts w:ascii="Arial" w:hAnsi="Arial" w:cs="Arial"/>
          <w:lang w:val="en-US"/>
        </w:rPr>
        <w:t xml:space="preserve"> Semantic interoperability is achieved when interacting systems attribute the same meaning to an exchanged piece of data, ensuring consistency of the data across systems regardless of individual data format. Semantic interoperability must be supported in order to exchange not only data but also information and features related to the source of the information (e.g. location, status, technology associated) - thereby facilitating the disappearance of the vertical information silos of the heterogeneous platforms that current IoT data lakes represent.</w:t>
      </w:r>
      <w:r w:rsidRPr="00387E08">
        <w:rPr>
          <w:rFonts w:ascii="Arial" w:hAnsi="Arial" w:cs="Arial"/>
          <w:lang w:val="en-US"/>
        </w:rPr>
        <w:t xml:space="preserve"> </w:t>
      </w:r>
    </w:p>
    <w:p w14:paraId="217D9B8B" w14:textId="77777777" w:rsidR="005D64FB" w:rsidRPr="00E95278" w:rsidRDefault="005D64FB" w:rsidP="005D64FB">
      <w:pPr>
        <w:spacing w:after="80"/>
        <w:jc w:val="both"/>
        <w:rPr>
          <w:rFonts w:ascii="Arial" w:hAnsi="Arial" w:cs="Arial"/>
          <w:b/>
          <w:bCs/>
          <w:lang w:val="en-US"/>
        </w:rPr>
      </w:pPr>
      <w:bookmarkStart w:id="45" w:name="_Toc4619499"/>
      <w:bookmarkStart w:id="46" w:name="_Toc8289607"/>
      <w:bookmarkStart w:id="47" w:name="_Toc12788348"/>
      <w:r w:rsidRPr="00E95278">
        <w:rPr>
          <w:rFonts w:ascii="Arial" w:hAnsi="Arial" w:cs="Arial"/>
          <w:b/>
          <w:bCs/>
          <w:lang w:val="en-US"/>
        </w:rPr>
        <w:t>IoT Relation and Impact on 5G</w:t>
      </w:r>
      <w:bookmarkEnd w:id="45"/>
      <w:bookmarkEnd w:id="46"/>
      <w:bookmarkEnd w:id="47"/>
      <w:r w:rsidRPr="00E95278">
        <w:rPr>
          <w:rFonts w:ascii="Arial" w:hAnsi="Arial" w:cs="Arial"/>
          <w:b/>
          <w:bCs/>
          <w:lang w:val="en-US"/>
        </w:rPr>
        <w:t>:</w:t>
      </w:r>
      <w:r w:rsidRPr="00E95278">
        <w:rPr>
          <w:rFonts w:ascii="Arial" w:hAnsi="Arial" w:cs="Arial"/>
          <w:lang w:val="en-US"/>
        </w:rPr>
        <w:t xml:space="preserve"> With the introduction of 5G, vertical industries will embrace digital transformation, to move beyond traditional service approaches, on an unprecedented scale. This will be a new engine for economic growth and social development. A core element of 5G IA/AIOTI cooperation will be identifying the key requirements imposed by vertical industry sectors to anticipate relevant trends in IoT use cases and apply the knowledge gained to define their impact on the 5G architecture and features.</w:t>
      </w:r>
    </w:p>
    <w:p w14:paraId="21C3BA54" w14:textId="0AB7776D" w:rsidR="001E3DA2" w:rsidRDefault="005D64FB" w:rsidP="00BB5DF9">
      <w:pPr>
        <w:jc w:val="both"/>
        <w:rPr>
          <w:rFonts w:ascii="Arial" w:hAnsi="Arial" w:cs="Arial"/>
          <w:lang w:val="en-US"/>
        </w:rPr>
      </w:pPr>
      <w:r w:rsidRPr="00C3330E">
        <w:rPr>
          <w:rFonts w:ascii="Arial" w:hAnsi="Arial" w:cs="Arial"/>
          <w:b/>
          <w:bCs/>
          <w:lang w:val="en-US"/>
        </w:rPr>
        <w:t>Standardization of Combined/Integrated ICT and Operational Technology (OT):</w:t>
      </w:r>
      <w:r w:rsidRPr="00C3330E">
        <w:rPr>
          <w:rFonts w:ascii="Arial" w:hAnsi="Arial" w:cs="Arial"/>
          <w:lang w:val="en-US"/>
        </w:rPr>
        <w:t xml:space="preserve"> Enabling technologies like 5G and IoT, edge computing and artificial intelligence are needed to support vertical indus</w:t>
      </w:r>
      <w:r w:rsidRPr="00AB4169">
        <w:rPr>
          <w:rFonts w:ascii="Arial" w:hAnsi="Arial" w:cs="Arial"/>
          <w:lang w:val="en-US"/>
        </w:rPr>
        <w:t>try</w:t>
      </w:r>
      <w:r w:rsidRPr="006524F5">
        <w:rPr>
          <w:rFonts w:ascii="Arial" w:hAnsi="Arial" w:cs="Arial"/>
          <w:lang w:val="en-US"/>
        </w:rPr>
        <w:t xml:space="preserve"> enabled smart networks. Currently, there is a strict division on standardization focusing on ICT (Information and Communication Technologies) and that focusing on OT. Maintaining this separation makes it challenging to provide integrated standards for the ICT/OT needed to support vertical industry enabled smart networks. The 5G IA/AIOTI cooperation should therefore investigate and promote combined/integrated standards for ICT and OT.</w:t>
      </w:r>
    </w:p>
    <w:p w14:paraId="6B5D69F8" w14:textId="27CB758B" w:rsidR="009B5A87" w:rsidRPr="00386A46" w:rsidRDefault="009B5A87" w:rsidP="00BB5DF9">
      <w:pPr>
        <w:jc w:val="both"/>
        <w:rPr>
          <w:rFonts w:ascii="Arial" w:hAnsi="Arial" w:cs="Arial"/>
          <w:sz w:val="28"/>
          <w:szCs w:val="28"/>
          <w:lang w:val="en-US"/>
        </w:rPr>
      </w:pPr>
    </w:p>
    <w:p w14:paraId="6CCFEBB9" w14:textId="503C5B55" w:rsidR="001E3DA2" w:rsidRPr="005D64FB" w:rsidRDefault="001E3DA2" w:rsidP="005D64FB">
      <w:pPr>
        <w:pStyle w:val="Heading2"/>
      </w:pPr>
      <w:bookmarkStart w:id="48" w:name="_Toc37227210"/>
      <w:bookmarkStart w:id="49" w:name="_Toc37227356"/>
      <w:bookmarkStart w:id="50" w:name="_Toc42177229"/>
      <w:r w:rsidRPr="005D64FB">
        <w:t>K</w:t>
      </w:r>
      <w:bookmarkEnd w:id="48"/>
      <w:bookmarkEnd w:id="49"/>
      <w:r w:rsidR="005D64FB">
        <w:t>ey Value Indicators</w:t>
      </w:r>
      <w:bookmarkEnd w:id="50"/>
    </w:p>
    <w:p w14:paraId="7E190E97" w14:textId="1D34AC4D" w:rsidR="00BB5DF9" w:rsidRDefault="00BB5DF9" w:rsidP="001E3DA2">
      <w:pPr>
        <w:rPr>
          <w:rFonts w:ascii="Arial" w:hAnsi="Arial" w:cs="Arial"/>
          <w:sz w:val="28"/>
          <w:szCs w:val="28"/>
        </w:rPr>
      </w:pPr>
    </w:p>
    <w:p w14:paraId="1E48F5F6" w14:textId="6DE714AD" w:rsidR="00BB5DF9" w:rsidRPr="00BB5DF9" w:rsidRDefault="00BB5DF9" w:rsidP="00BB5DF9">
      <w:pPr>
        <w:jc w:val="both"/>
        <w:rPr>
          <w:rFonts w:ascii="Arial" w:hAnsi="Arial" w:cs="Arial"/>
          <w:lang w:val="en-US"/>
        </w:rPr>
      </w:pPr>
      <w:r w:rsidRPr="00BB5DF9">
        <w:rPr>
          <w:rFonts w:ascii="Arial" w:hAnsi="Arial" w:cs="Arial"/>
          <w:lang w:val="en-US"/>
        </w:rPr>
        <w:t xml:space="preserve">In addition to the KPIs discussed in Section </w:t>
      </w:r>
      <w:r w:rsidR="008B2A55">
        <w:rPr>
          <w:rFonts w:ascii="Arial" w:hAnsi="Arial" w:cs="Arial"/>
          <w:lang w:val="en-US"/>
        </w:rPr>
        <w:t>2.4</w:t>
      </w:r>
      <w:r w:rsidRPr="00BB5DF9">
        <w:rPr>
          <w:rFonts w:ascii="Arial" w:hAnsi="Arial" w:cs="Arial"/>
          <w:lang w:val="en-US"/>
        </w:rPr>
        <w:t>, the success of the future smart networks will increasingly be measured with indicators that assess how well the networks contribute to solving of the major societal challenges discussed in Section</w:t>
      </w:r>
      <w:r w:rsidR="00AA3EAB">
        <w:rPr>
          <w:rFonts w:ascii="Arial" w:hAnsi="Arial" w:cs="Arial"/>
          <w:lang w:val="en-US"/>
        </w:rPr>
        <w:t>s</w:t>
      </w:r>
      <w:r w:rsidRPr="00BB5DF9">
        <w:rPr>
          <w:rFonts w:ascii="Arial" w:hAnsi="Arial" w:cs="Arial"/>
          <w:lang w:val="en-US"/>
        </w:rPr>
        <w:t xml:space="preserve"> </w:t>
      </w:r>
      <w:r w:rsidR="00AA3EAB">
        <w:rPr>
          <w:rFonts w:ascii="Arial" w:hAnsi="Arial" w:cs="Arial"/>
          <w:lang w:val="en-US"/>
        </w:rPr>
        <w:t>1.1 and 2.2</w:t>
      </w:r>
      <w:r w:rsidRPr="00BB5DF9">
        <w:rPr>
          <w:rFonts w:ascii="Arial" w:hAnsi="Arial" w:cs="Arial"/>
          <w:lang w:val="en-US"/>
        </w:rPr>
        <w:t>. These indicators are more related to value provided by the use of the networks than to the performance of the networks themselves. A number of value dimensions need to be addressed including societal and sustainability related challenges, business aspect</w:t>
      </w:r>
      <w:r>
        <w:rPr>
          <w:rFonts w:ascii="Arial" w:hAnsi="Arial" w:cs="Arial"/>
          <w:lang w:val="en-US"/>
        </w:rPr>
        <w:t>s</w:t>
      </w:r>
      <w:r w:rsidRPr="00BB5DF9">
        <w:rPr>
          <w:rFonts w:ascii="Arial" w:hAnsi="Arial" w:cs="Arial"/>
          <w:lang w:val="en-US"/>
        </w:rPr>
        <w:t xml:space="preserve">, ethics, trust, privacy and security, EMF awareness, and efficiency, among others. Proper indicators need to be defined for the value dimensions resulting in value related indicators for the future smart networks.  </w:t>
      </w:r>
    </w:p>
    <w:p w14:paraId="49E83869" w14:textId="63B2E35B" w:rsidR="00BB5DF9" w:rsidRDefault="00BB5DF9" w:rsidP="00BB5DF9">
      <w:pPr>
        <w:jc w:val="both"/>
        <w:rPr>
          <w:rFonts w:ascii="Arial" w:hAnsi="Arial" w:cs="Arial"/>
          <w:lang w:val="en-US"/>
        </w:rPr>
      </w:pPr>
      <w:r w:rsidRPr="00BB5DF9">
        <w:rPr>
          <w:rFonts w:ascii="Arial" w:hAnsi="Arial" w:cs="Arial"/>
          <w:lang w:val="en-US"/>
        </w:rPr>
        <w:t xml:space="preserve">Societal Challenges will encompass broad and complex missions for technology-oriented research and innovation. They are characterized by open-endedness and undefined final outcome. Progress towards solving Societal Challenges with conventional metrics and indicators can turn to be a difficult task. It will be necessary to reflect on a new impact assessment paradigm, focused on value creation and sustained long-term benefits and effects, around identified domains.  </w:t>
      </w:r>
    </w:p>
    <w:p w14:paraId="4A8D79FE" w14:textId="60C9055B" w:rsidR="009B5A87" w:rsidRDefault="00766813" w:rsidP="00BB5DF9">
      <w:pPr>
        <w:jc w:val="both"/>
        <w:rPr>
          <w:rFonts w:ascii="Arial" w:hAnsi="Arial" w:cs="Arial"/>
          <w:lang w:val="en-US"/>
        </w:rPr>
      </w:pPr>
      <w:r>
        <w:rPr>
          <w:rFonts w:ascii="Arial" w:hAnsi="Arial" w:cs="Arial"/>
          <w:noProof/>
          <w:lang w:eastAsia="en-GB"/>
        </w:rPr>
        <w:lastRenderedPageBreak/>
        <w:drawing>
          <wp:anchor distT="0" distB="0" distL="114300" distR="114300" simplePos="0" relativeHeight="251675648" behindDoc="0" locked="0" layoutInCell="1" allowOverlap="1" wp14:anchorId="7165C016" wp14:editId="6F08210D">
            <wp:simplePos x="0" y="0"/>
            <wp:positionH relativeFrom="column">
              <wp:posOffset>-533400</wp:posOffset>
            </wp:positionH>
            <wp:positionV relativeFrom="paragraph">
              <wp:posOffset>427990</wp:posOffset>
            </wp:positionV>
            <wp:extent cx="1943100" cy="1211580"/>
            <wp:effectExtent l="0" t="0" r="0" b="0"/>
            <wp:wrapSquare wrapText="bothSides"/>
            <wp:docPr id="27" name="Picture 27" descr="C:\Users\apouttu\AppData\Local\Microsoft\Windows\INetCache\Content.MSO\F96881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pouttu\AppData\Local\Microsoft\Windows\INetCache\Content.MSO\F96881A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211580"/>
                    </a:xfrm>
                    <a:prstGeom prst="rect">
                      <a:avLst/>
                    </a:prstGeom>
                    <a:noFill/>
                    <a:ln>
                      <a:noFill/>
                    </a:ln>
                  </pic:spPr>
                </pic:pic>
              </a:graphicData>
            </a:graphic>
          </wp:anchor>
        </w:drawing>
      </w:r>
      <w:r w:rsidR="009B5A87">
        <w:rPr>
          <w:rFonts w:ascii="Arial" w:hAnsi="Arial" w:cs="Arial"/>
          <w:noProof/>
          <w:lang w:eastAsia="en-GB"/>
        </w:rPr>
        <w:drawing>
          <wp:anchor distT="0" distB="0" distL="114300" distR="114300" simplePos="0" relativeHeight="251674624" behindDoc="0" locked="0" layoutInCell="1" allowOverlap="1" wp14:anchorId="432A6DF0" wp14:editId="4B7A961A">
            <wp:simplePos x="0" y="0"/>
            <wp:positionH relativeFrom="column">
              <wp:posOffset>0</wp:posOffset>
            </wp:positionH>
            <wp:positionV relativeFrom="paragraph">
              <wp:posOffset>-1270</wp:posOffset>
            </wp:positionV>
            <wp:extent cx="5486400" cy="3238500"/>
            <wp:effectExtent l="0" t="0" r="0" b="0"/>
            <wp:wrapSquare wrapText="bothSides"/>
            <wp:docPr id="26" name="Picture 26" descr="C:\Users\apouttu\AppData\Local\Microsoft\Windows\INetCache\Content.MSO\B708E2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pouttu\AppData\Local\Microsoft\Windows\INetCache\Content.MSO\B708E2A0.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anchor>
        </w:drawing>
      </w:r>
    </w:p>
    <w:p w14:paraId="60A14F8F" w14:textId="513ABE5A" w:rsidR="009B5A87" w:rsidRPr="008B2A55" w:rsidRDefault="009B5A87" w:rsidP="009B5A87">
      <w:pPr>
        <w:pStyle w:val="paragraph"/>
        <w:textAlignment w:val="baseline"/>
        <w:rPr>
          <w:rFonts w:ascii="Segoe UI" w:hAnsi="Segoe UI" w:cs="Segoe UI"/>
          <w:b/>
          <w:sz w:val="22"/>
          <w:szCs w:val="22"/>
        </w:rPr>
      </w:pPr>
      <w:r w:rsidRPr="008B2A55">
        <w:rPr>
          <w:rFonts w:ascii="Arial" w:hAnsi="Arial" w:cs="Arial"/>
          <w:b/>
          <w:sz w:val="22"/>
          <w:szCs w:val="22"/>
        </w:rPr>
        <w:t xml:space="preserve">Figure </w:t>
      </w:r>
      <w:r w:rsidR="008B2A55" w:rsidRPr="008B2A55">
        <w:rPr>
          <w:rFonts w:ascii="Arial" w:hAnsi="Arial" w:cs="Arial"/>
          <w:b/>
          <w:sz w:val="22"/>
          <w:szCs w:val="22"/>
        </w:rPr>
        <w:t>2-9</w:t>
      </w:r>
      <w:r w:rsidRPr="008B2A55">
        <w:rPr>
          <w:rFonts w:ascii="Arial" w:hAnsi="Arial" w:cs="Arial"/>
          <w:b/>
          <w:sz w:val="22"/>
          <w:szCs w:val="22"/>
        </w:rPr>
        <w:t xml:space="preserve">. </w:t>
      </w:r>
      <w:r w:rsidR="008B2A55" w:rsidRPr="008B2A55">
        <w:rPr>
          <w:rFonts w:ascii="Arial" w:hAnsi="Arial" w:cs="Arial"/>
          <w:b/>
          <w:sz w:val="22"/>
          <w:szCs w:val="22"/>
        </w:rPr>
        <w:t>Value dimensioning of Smart Networks and Systems</w:t>
      </w:r>
    </w:p>
    <w:p w14:paraId="39408FF9" w14:textId="491898CC" w:rsidR="009B5A87" w:rsidRPr="00BB5DF9" w:rsidRDefault="009B5A87" w:rsidP="00BB5DF9">
      <w:pPr>
        <w:jc w:val="both"/>
        <w:rPr>
          <w:rFonts w:ascii="Arial" w:hAnsi="Arial" w:cs="Arial"/>
          <w:lang w:val="en-US"/>
        </w:rPr>
      </w:pPr>
    </w:p>
    <w:p w14:paraId="6DFF5498" w14:textId="6ED78647" w:rsidR="00BB5DF9" w:rsidRPr="00BB5DF9" w:rsidRDefault="00BB5DF9" w:rsidP="00BB5DF9">
      <w:pPr>
        <w:jc w:val="both"/>
        <w:rPr>
          <w:rFonts w:ascii="Arial" w:hAnsi="Arial" w:cs="Arial"/>
          <w:lang w:val="en-US"/>
        </w:rPr>
      </w:pPr>
      <w:r w:rsidRPr="00BB5DF9">
        <w:rPr>
          <w:rFonts w:ascii="Arial" w:hAnsi="Arial" w:cs="Arial"/>
          <w:lang w:val="en-US"/>
        </w:rPr>
        <w:t>It will be important to reflect on the values brought by technology research in achieving the societal goals. There should be possibilities for experimentation to better understand and assess the long-lasting impact of new technological solutions of society, environment and economy prior to their commercializ</w:t>
      </w:r>
      <w:r>
        <w:rPr>
          <w:rFonts w:ascii="Arial" w:hAnsi="Arial" w:cs="Arial"/>
          <w:lang w:val="en-US"/>
        </w:rPr>
        <w:t xml:space="preserve">ation.  </w:t>
      </w:r>
    </w:p>
    <w:p w14:paraId="4D632B2D" w14:textId="2B3DD214" w:rsidR="00BB5DF9" w:rsidRPr="00BB5DF9" w:rsidRDefault="00BB5DF9" w:rsidP="00236895">
      <w:pPr>
        <w:spacing w:after="0"/>
        <w:jc w:val="both"/>
        <w:rPr>
          <w:rFonts w:ascii="Arial" w:hAnsi="Arial" w:cs="Arial"/>
          <w:lang w:val="en-US"/>
        </w:rPr>
      </w:pPr>
      <w:r w:rsidRPr="00BB5DF9">
        <w:rPr>
          <w:rFonts w:ascii="Arial" w:hAnsi="Arial" w:cs="Arial"/>
          <w:lang w:val="en-US"/>
        </w:rPr>
        <w:t xml:space="preserve">Responsible Research and Innovation is a promising approach for tackling grand societal challenges. The European Commission defines RRI as an  approach  that  anticipates  and  assesses  potential implications and societal expectations with regard to research and innovation, with the aim to foster the design of inclusive and sustainable research and innovation3 It promotes fundamental conditions and ingredients for technology research to achieve </w:t>
      </w:r>
      <w:r>
        <w:rPr>
          <w:rFonts w:ascii="Arial" w:hAnsi="Arial" w:cs="Arial"/>
          <w:lang w:val="en-US"/>
        </w:rPr>
        <w:t xml:space="preserve">the desired societal impact4.  </w:t>
      </w:r>
    </w:p>
    <w:p w14:paraId="68A8BABF" w14:textId="0D3F77E3" w:rsidR="00BB5DF9" w:rsidRPr="00BB5DF9" w:rsidRDefault="00BB5DF9" w:rsidP="00236895">
      <w:pPr>
        <w:spacing w:after="0"/>
        <w:jc w:val="both"/>
        <w:rPr>
          <w:rFonts w:ascii="Arial" w:hAnsi="Arial" w:cs="Arial"/>
          <w:lang w:val="en-US"/>
        </w:rPr>
      </w:pPr>
      <w:r w:rsidRPr="00BB5DF9">
        <w:rPr>
          <w:rFonts w:ascii="Arial" w:hAnsi="Arial" w:cs="Arial"/>
          <w:lang w:val="en-US"/>
        </w:rPr>
        <w:t>The four conditions for responsible research are anticipation, reflexivity, inclusion and responsiveness. Anticipation is about carefully examining both the intended and possible unintended consequences arising from research and innovation  activities, including environmental, health-related, economic and social impacts. Reflexivity is about reflecting on and questioning underlying motivations and assumptions driving research and innovation. Inclusion is about involving relevant societal actors in research and innovation activities from early-on. Responsiveness is about aligning research and innovation activities with the new perspectives, insights and values emerging through anticipatory, reflexive and i</w:t>
      </w:r>
      <w:r>
        <w:rPr>
          <w:rFonts w:ascii="Arial" w:hAnsi="Arial" w:cs="Arial"/>
          <w:lang w:val="en-US"/>
        </w:rPr>
        <w:t xml:space="preserve">nclusion-based RRI processes.  </w:t>
      </w:r>
    </w:p>
    <w:p w14:paraId="2607F4D0" w14:textId="54C31408" w:rsidR="00BB5DF9" w:rsidRPr="00BB5DF9" w:rsidRDefault="00BB5DF9" w:rsidP="00236895">
      <w:pPr>
        <w:spacing w:after="0"/>
        <w:jc w:val="both"/>
        <w:rPr>
          <w:rFonts w:ascii="Arial" w:hAnsi="Arial" w:cs="Arial"/>
          <w:lang w:val="en-US"/>
        </w:rPr>
      </w:pPr>
      <w:r w:rsidRPr="00BB5DF9">
        <w:rPr>
          <w:rFonts w:ascii="Arial" w:hAnsi="Arial" w:cs="Arial"/>
          <w:lang w:val="en-US"/>
        </w:rPr>
        <w:t xml:space="preserve">The RRI ingredients comprise six keys - public engagement, open access, science education, gender, ethics and governance. Public engagement is about engaging a broad range of societal actors in the research and innovation process, including researchers, industry, policy-makers and civil society actors. Open access is about making research and innovation activities more transparent and easily accessible to the public, e.g. through open data and free access to publications. Science education is about increasing society’s general science literacy, and equipping civil society actors with the necessary skills to more actively take part </w:t>
      </w:r>
      <w:r w:rsidRPr="00BB5DF9">
        <w:rPr>
          <w:rFonts w:ascii="Arial" w:hAnsi="Arial" w:cs="Arial"/>
          <w:lang w:val="en-US"/>
        </w:rPr>
        <w:lastRenderedPageBreak/>
        <w:t>in the research and innovation process. Gender is about promoting women’s participation as researchers and integrating a gender dimension into research and innovation content. Ethics is about fostering research and innovation activities of high societal relevance, that comply to the highest ethical standards. Governance is about the legal and policy frameworks in place to support responsible research and innovation. In addition to these aspects of responsible research, trust-by-design, privacy-by-design, security-by-design and energy-savvy-by-design principles should become a benchmark for future smart network technolo</w:t>
      </w:r>
      <w:r>
        <w:rPr>
          <w:rFonts w:ascii="Arial" w:hAnsi="Arial" w:cs="Arial"/>
          <w:lang w:val="en-US"/>
        </w:rPr>
        <w:t xml:space="preserve">gy research and development.   </w:t>
      </w:r>
    </w:p>
    <w:p w14:paraId="72EC96EF" w14:textId="7B073CD0" w:rsidR="00BB5DF9" w:rsidRPr="00BB5DF9" w:rsidRDefault="00BB5DF9" w:rsidP="00236895">
      <w:pPr>
        <w:spacing w:after="0"/>
        <w:jc w:val="both"/>
        <w:rPr>
          <w:rFonts w:ascii="Arial" w:hAnsi="Arial" w:cs="Arial"/>
          <w:lang w:val="en-US"/>
        </w:rPr>
      </w:pPr>
      <w:r w:rsidRPr="00BB5DF9">
        <w:rPr>
          <w:rFonts w:ascii="Arial" w:hAnsi="Arial" w:cs="Arial"/>
          <w:lang w:val="en-US"/>
        </w:rPr>
        <w:t xml:space="preserve">Sustainability is well captured in the UN SDGs (see Section </w:t>
      </w:r>
      <w:r w:rsidR="00AA3EAB">
        <w:rPr>
          <w:rFonts w:ascii="Arial" w:hAnsi="Arial" w:cs="Arial"/>
          <w:lang w:val="en-US"/>
        </w:rPr>
        <w:t>2.3</w:t>
      </w:r>
      <w:r w:rsidRPr="00BB5DF9">
        <w:rPr>
          <w:rFonts w:ascii="Arial" w:hAnsi="Arial" w:cs="Arial"/>
          <w:lang w:val="en-US"/>
        </w:rPr>
        <w:t xml:space="preserve">) that represent 169 detailed targets to be met by 2030 and are measured through 231 unique indicators. Although not explicitly mentioned in the goal setting, the achievement of the SDGs and their targets is heavily dependent on ICT and especially future smart networks. From the 231 indicators only seven are classified as to be related to ICT including proportion of schools with access to the Internet for pedagogical purposes, proportion of schools with access to computers for pedagogical purposes, proportion of youth/adults with ICT skills, proportion of individuals who own a mobile telephone, percentage of the population covered by a mobile network, fixed Internet broadband subscriptions, and proportion of individuals using the Internet. They are specific to a subset of the SDGs and do not capture the role of ICT in achievement of the goals. This calls for defining a new set of value related indicators to assess the impact of future networks in contributing to the SDGs and targets. Especially, measuring the benefits through the use of future networks in different verticals is critical in defining their value. The use of future networks as a smart measurement tool for collecting data on the impact is a new design criteria for the development of the future networks. Also the development of future smart networks fully in line with SDGs requires that the additional burden they create is accurately measured and minimized in terms </w:t>
      </w:r>
      <w:r>
        <w:rPr>
          <w:rFonts w:ascii="Arial" w:hAnsi="Arial" w:cs="Arial"/>
          <w:lang w:val="en-US"/>
        </w:rPr>
        <w:t xml:space="preserve">of e.g. energy and materials.  </w:t>
      </w:r>
    </w:p>
    <w:p w14:paraId="29AA35E2" w14:textId="14C4A094" w:rsidR="00BB5DF9" w:rsidRPr="00BB5DF9" w:rsidRDefault="00BB5DF9" w:rsidP="00BB5DF9">
      <w:pPr>
        <w:jc w:val="both"/>
        <w:rPr>
          <w:rFonts w:ascii="Arial" w:hAnsi="Arial" w:cs="Arial"/>
          <w:lang w:val="en-US"/>
        </w:rPr>
      </w:pPr>
      <w:r w:rsidRPr="00BB5DF9">
        <w:rPr>
          <w:rFonts w:ascii="Arial" w:hAnsi="Arial" w:cs="Arial"/>
          <w:lang w:val="en-US"/>
        </w:rPr>
        <w:t>Concerns from the effect of electro-magnetic radiation on humans have increased among the general public which must be addressed</w:t>
      </w:r>
      <w:r>
        <w:rPr>
          <w:rFonts w:ascii="Arial" w:hAnsi="Arial" w:cs="Arial"/>
          <w:lang w:val="en-US"/>
        </w:rPr>
        <w:t xml:space="preserve"> by defining value indicators.</w:t>
      </w:r>
    </w:p>
    <w:p w14:paraId="5AB76C9A" w14:textId="002DFDE9" w:rsidR="003E7291" w:rsidRPr="00236895" w:rsidRDefault="00BB5DF9" w:rsidP="009E5BA6">
      <w:pPr>
        <w:jc w:val="both"/>
        <w:rPr>
          <w:rFonts w:ascii="Arial" w:hAnsi="Arial" w:cs="Arial"/>
          <w:lang w:val="en-US"/>
        </w:rPr>
      </w:pPr>
      <w:r w:rsidRPr="00BB5DF9">
        <w:rPr>
          <w:rFonts w:ascii="Arial" w:hAnsi="Arial" w:cs="Arial"/>
          <w:lang w:val="en-US"/>
        </w:rPr>
        <w:t xml:space="preserve">To conclude, at this stage it is too early to define the key value indicators but it requires future work.  </w:t>
      </w:r>
    </w:p>
    <w:p w14:paraId="473E1662" w14:textId="77777777" w:rsidR="00C42C17" w:rsidRDefault="00C42C17">
      <w:pPr>
        <w:rPr>
          <w:rFonts w:ascii="Arial" w:eastAsiaTheme="majorEastAsia" w:hAnsi="Arial" w:cstheme="majorBidi"/>
          <w:b/>
          <w:sz w:val="36"/>
          <w:szCs w:val="32"/>
        </w:rPr>
      </w:pPr>
      <w:bookmarkStart w:id="51" w:name="_Toc39743054"/>
      <w:r>
        <w:br w:type="page"/>
      </w:r>
    </w:p>
    <w:p w14:paraId="13570923" w14:textId="65878DCE" w:rsidR="00B301DB" w:rsidRDefault="00B301DB" w:rsidP="00124439">
      <w:pPr>
        <w:pStyle w:val="Heading1"/>
        <w:numPr>
          <w:ilvl w:val="0"/>
          <w:numId w:val="9"/>
        </w:numPr>
      </w:pPr>
      <w:bookmarkStart w:id="52" w:name="_Toc42177230"/>
      <w:r w:rsidRPr="00CE51ED">
        <w:lastRenderedPageBreak/>
        <w:t>Human Centric and Vertical Services</w:t>
      </w:r>
      <w:bookmarkEnd w:id="51"/>
      <w:bookmarkEnd w:id="52"/>
    </w:p>
    <w:p w14:paraId="1C58095B" w14:textId="77777777" w:rsidR="00C42C17" w:rsidRPr="00C42C17" w:rsidRDefault="00C42C17" w:rsidP="00C42C17"/>
    <w:p w14:paraId="0FE6B5FC" w14:textId="446D917E" w:rsidR="00380F9F" w:rsidRDefault="00380F9F" w:rsidP="00CE51ED">
      <w:pPr>
        <w:pStyle w:val="Heading2"/>
        <w:rPr>
          <w:lang w:eastAsia="de-DE"/>
        </w:rPr>
      </w:pPr>
      <w:bookmarkStart w:id="53" w:name="_Toc40701653"/>
      <w:bookmarkStart w:id="54" w:name="_Toc42177231"/>
      <w:r w:rsidRPr="00380F9F">
        <w:rPr>
          <w:lang w:eastAsia="de-DE"/>
        </w:rPr>
        <w:t>Emerging applications and use cases</w:t>
      </w:r>
      <w:bookmarkEnd w:id="53"/>
      <w:bookmarkEnd w:id="54"/>
    </w:p>
    <w:p w14:paraId="3A7375BA" w14:textId="77777777" w:rsidR="00C42C17" w:rsidRPr="00C42C17" w:rsidRDefault="00C42C17" w:rsidP="00C42C17">
      <w:pPr>
        <w:rPr>
          <w:lang w:eastAsia="de-DE"/>
        </w:rPr>
      </w:pPr>
    </w:p>
    <w:p w14:paraId="20E0340E" w14:textId="77777777" w:rsidR="00380F9F" w:rsidRPr="00380F9F" w:rsidRDefault="00380F9F" w:rsidP="00380F9F">
      <w:pPr>
        <w:jc w:val="both"/>
        <w:rPr>
          <w:rFonts w:ascii="Arial" w:eastAsiaTheme="minorEastAsia" w:hAnsi="Arial" w:cs="Arial"/>
          <w:color w:val="000000" w:themeColor="text1"/>
          <w:szCs w:val="24"/>
        </w:rPr>
      </w:pPr>
      <w:r w:rsidRPr="00380F9F">
        <w:rPr>
          <w:rFonts w:ascii="Arial" w:eastAsiaTheme="minorEastAsia" w:hAnsi="Arial" w:cs="Arial"/>
          <w:lang w:eastAsia="de-DE"/>
        </w:rPr>
        <w:t xml:space="preserve">Every industry sector is undergoing profound changes in terms of digitalisation, which in turn will have positive socio-economic impact in the industries and the society. This digital transformation is acting as a strong driver for current and future developments in the area of Smart Networks and Services (SN&amp;S). Networks become the key connectivity technology and infrastructure solution for enabling the Next Generation Internet (NGI) vision and adopting its Human Centric approach. Although Human Centric means empowering the individuals and facilitate the interaction with digital services (B2C) these principles also needs to be applied to the digital transformation of vertical industries (B2B). </w:t>
      </w:r>
      <w:r w:rsidRPr="00380F9F">
        <w:rPr>
          <w:rFonts w:ascii="Arial" w:eastAsiaTheme="minorEastAsia" w:hAnsi="Arial" w:cs="Arial"/>
          <w:color w:val="000000" w:themeColor="text1"/>
          <w:szCs w:val="24"/>
        </w:rPr>
        <w:t>The Internet evolution must incorporate the EU values that represent our Society and respect the rights of EU citizens. Therefore, any technical solution must attain the necessary levels of trustworthiness, resilience, openness, transparency and dependability while inclusive and respectful with diversity [C3-41]. Telecommunication Networks are also critical and strategic infrastructures that need to be cybersecured with suitable tools [C3-43]</w:t>
      </w:r>
      <w:r w:rsidRPr="00380F9F">
        <w:rPr>
          <w:rFonts w:ascii="Arial" w:eastAsiaTheme="minorEastAsia" w:hAnsi="Arial" w:cs="Arial"/>
          <w:color w:val="000000" w:themeColor="text1"/>
        </w:rPr>
        <w:t xml:space="preserve">. </w:t>
      </w:r>
      <w:r w:rsidRPr="00380F9F">
        <w:rPr>
          <w:rFonts w:ascii="Arial" w:eastAsiaTheme="minorEastAsia" w:hAnsi="Arial" w:cs="Arial"/>
          <w:color w:val="000000" w:themeColor="text1"/>
          <w:szCs w:val="24"/>
        </w:rPr>
        <w:t xml:space="preserve">These concepts and values must be translated to technical requirements of future networks and services. </w:t>
      </w:r>
      <w:r w:rsidRPr="00380F9F">
        <w:rPr>
          <w:rFonts w:ascii="Arial" w:eastAsiaTheme="minorEastAsia" w:hAnsi="Arial" w:cs="Arial"/>
          <w:lang w:eastAsia="de-DE"/>
        </w:rPr>
        <w:t xml:space="preserve">Just by looking to what is happening across the different vertical sectors, it is easy to identify common digitalisation trends and emerging applications </w:t>
      </w:r>
      <w:r w:rsidRPr="00380F9F">
        <w:rPr>
          <w:rFonts w:ascii="Arial" w:eastAsiaTheme="minorEastAsia" w:hAnsi="Arial" w:cs="Arial"/>
          <w:b/>
          <w:lang w:eastAsia="de-DE"/>
        </w:rPr>
        <w:t>in the short and medium term</w:t>
      </w:r>
      <w:r w:rsidRPr="00380F9F">
        <w:rPr>
          <w:rFonts w:ascii="Arial" w:eastAsiaTheme="minorEastAsia" w:hAnsi="Arial" w:cs="Arial"/>
          <w:lang w:eastAsia="de-DE"/>
        </w:rPr>
        <w:t xml:space="preserve"> that are demanding proper advances in the technological domains where SN&amp;S can impact.  </w:t>
      </w:r>
      <w:r w:rsidRPr="00380F9F">
        <w:rPr>
          <w:rFonts w:ascii="Arial" w:eastAsiaTheme="minorEastAsia" w:hAnsi="Arial" w:cs="Arial"/>
          <w:i/>
          <w:iCs/>
          <w:lang w:eastAsia="de-DE"/>
        </w:rPr>
        <w:t>For illustration purposes</w:t>
      </w:r>
      <w:r w:rsidRPr="00380F9F">
        <w:rPr>
          <w:rFonts w:ascii="Arial" w:eastAsiaTheme="minorEastAsia" w:hAnsi="Arial" w:cs="Arial"/>
          <w:lang w:eastAsia="de-DE"/>
        </w:rPr>
        <w:t>, five big trends and their impact in different industrial sectors and also in the citizens life, in a non-exhaustive manner, are briefly examined below.</w:t>
      </w:r>
    </w:p>
    <w:p w14:paraId="5439B6B4" w14:textId="77777777" w:rsidR="00380F9F" w:rsidRPr="00380F9F" w:rsidRDefault="00380F9F" w:rsidP="00124439">
      <w:pPr>
        <w:numPr>
          <w:ilvl w:val="0"/>
          <w:numId w:val="60"/>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Robotic automation</w:t>
      </w:r>
      <w:r w:rsidRPr="00380F9F">
        <w:rPr>
          <w:rFonts w:ascii="Arial" w:eastAsiaTheme="minorEastAsia" w:hAnsi="Arial" w:cs="Arial"/>
          <w:lang w:eastAsia="de-DE"/>
        </w:rPr>
        <w:t>: advances in robotics and artificial intelligence are accelerating the adoption of interconnected and autonomous machines in numerous sectors.</w:t>
      </w:r>
    </w:p>
    <w:p w14:paraId="45230B61"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In the farming sector, traditional machines like tractors an harvesters are evolving towards autonomous, driverless systems [C3-1]. There is also an increasing trend in smaller autonomous robots [C3-2] [C3-3] (both in the ground and in the air, such as UAVs), to make more efficient and safer all kind of harvesting tasks, analysis of the field parameters, application of phytosanitary products, etc.</w:t>
      </w:r>
    </w:p>
    <w:p w14:paraId="6C7868F8"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 xml:space="preserve">In the manufacturing industry, robots are becoming both more autonomous [C3-4]  thanks to increasing cognitive capabilities, and more cooperative (CoBots) [C3-5] thanks to enhanced human-robot interaction (HRI) capabilities by relying on smart sensing, specialised private networks and advanced AI, fulfilling at the same time strict safety requirements in unfenced environments. </w:t>
      </w:r>
    </w:p>
    <w:p w14:paraId="625FDF0A"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Health and Social care is seeing an increasing interest in assistive robots for disabled and/or elder people [C3-6]. These will be autonomous and cooperative robots designed for assisting persons in their everyday life.</w:t>
      </w:r>
    </w:p>
    <w:p w14:paraId="12FC60AC"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Future smart mobility services will be enabled by autonomous connected vehicles [C3-7] (both public and private) interacting and cooperating with their environment (V2X) by means of smart sensors and powerful AI systems, which will allow optimal decision taking optimizing the whole performance of the mobility system, e.g. reducing traffic congestion.</w:t>
      </w:r>
    </w:p>
    <w:p w14:paraId="77155862"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From automation of inventory tasks [C3-8] to autonomous delivery of goods [C3-9], the adoption of autonomous machines is expected to revolutionise retail and logistics operations in the near future.</w:t>
      </w:r>
    </w:p>
    <w:p w14:paraId="08ECA6C2"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lastRenderedPageBreak/>
        <w:t>Maintenance operations in utilities [C·-10] (e.g. power grids) and critical infrastructures [C3-11] are also moving towards automated means for efficiency and safety reasons.</w:t>
      </w:r>
    </w:p>
    <w:p w14:paraId="79C61D64"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Another category of relevant Industrial scenarios for IIoT concerns connected environments, for instance, warehouses integrating Automated Guided Vehicles (AGVs) or Autonomous Mobile Robots (AMRs) and necessary sidelink communications for operating in cooperative and self-organizing way.</w:t>
      </w:r>
    </w:p>
    <w:p w14:paraId="40627905"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Full deployment of autonomous robots in the sectors and use cases described above require, among others, ultra-reliable and low latency communications, embedded AI at the edge, autonomous decisions, accurate and real-time positioning (both indoor and outdoor), etc.</w:t>
      </w:r>
    </w:p>
    <w:p w14:paraId="1CC979AE" w14:textId="77777777" w:rsidR="00380F9F" w:rsidRPr="00380F9F" w:rsidRDefault="00380F9F" w:rsidP="00124439">
      <w:pPr>
        <w:numPr>
          <w:ilvl w:val="0"/>
          <w:numId w:val="60"/>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Massive monitoring and remote management</w:t>
      </w:r>
      <w:r w:rsidRPr="00380F9F">
        <w:rPr>
          <w:rFonts w:ascii="Arial" w:eastAsiaTheme="minorEastAsia" w:hAnsi="Arial" w:cs="Arial"/>
          <w:lang w:eastAsia="de-DE"/>
        </w:rPr>
        <w:t>: fine-grained, continuous monitoring of processes is becoming the basis for productivity optimisation and higher efficiency.</w:t>
      </w:r>
    </w:p>
    <w:p w14:paraId="784DB8E9"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The future smart grids (energy, water, gas) will need to optimise supply and demand in real time, managing energy flows between millions of nodes, dynamic pricing and transactions, anticipating weather and behaviours of consumers, in a sustainable way with a high level of integrity, security and resilience. This will be only be possible thanks to the capture of high-quality data in real time [C3-12]. In the case of freshwater, it is a vital resource which is becoming scarce, thus it becomes essential to optimise its consumption, detect leaks, and continuously monitor its quality [C3-13].</w:t>
      </w:r>
    </w:p>
    <w:p w14:paraId="58BBC565"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Precision farming demands fine (both in time and space) remote monitoring of crops and animals [C3-14] in order to optimise food production, making a more efficient use of resources and minimising the impact of pests.</w:t>
      </w:r>
    </w:p>
    <w:p w14:paraId="36908C2F"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There is an increasing interest in implementing effective remote healthcare and remote monitoring systems for patients. On one hand, this is motivated by the need monitoring long-term patients and those suffering chronic diseases, thus seeking more cost-effective health and social services, and also higher quality of life for the patients [C3-15]. On the other hand, continuous monitoring of our health, leveraging on wearable devices and AI technologies, makes possible to move towards healthcare prevention systems with early detection and diagnosis which will eventually lead to more effective and convenient healthcare [C3-16].</w:t>
      </w:r>
    </w:p>
    <w:p w14:paraId="625EAE67"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Industrial processes will be finely monitored in real time thanks to Industrial IoT (IIoT), CyberPhysical Systems (CPS) and remote Media-aided Systems, enabling higher optimization levels and predictive maintenance, reducing costs and increasing productivity [C3-17].</w:t>
      </w:r>
    </w:p>
    <w:p w14:paraId="6555A29F"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The main requirements in terms of SNS include autonomous operation (ultra-low power), massive Machine-Type Communication (MTC), and large-scale orchestration of networks.</w:t>
      </w:r>
    </w:p>
    <w:p w14:paraId="214C9B9C" w14:textId="77777777" w:rsidR="00380F9F" w:rsidRPr="00380F9F" w:rsidRDefault="00380F9F" w:rsidP="00124439">
      <w:pPr>
        <w:numPr>
          <w:ilvl w:val="0"/>
          <w:numId w:val="60"/>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Digital twin (DT):</w:t>
      </w:r>
      <w:r w:rsidRPr="00380F9F">
        <w:rPr>
          <w:rFonts w:ascii="Arial" w:eastAsiaTheme="minorEastAsia" w:hAnsi="Arial" w:cs="Arial"/>
          <w:lang w:eastAsia="de-DE"/>
        </w:rPr>
        <w:t xml:space="preserve"> The massive, continuous monitoring opens the door to create virtual models capturing all the details of physical goods and processes, enabling real-time digital representations that allow data-centric management. 3D models and new media technologies (i.e. mixed reality) are also relevant in this ambit to enrich the interactivity. </w:t>
      </w:r>
      <w:r w:rsidRPr="00380F9F">
        <w:rPr>
          <w:rFonts w:ascii="Arial" w:eastAsiaTheme="minorEastAsia" w:hAnsi="Arial" w:cs="Arial"/>
        </w:rPr>
        <w:t xml:space="preserve">DTs can be applied is different scenarios to improve situational awareness, and as well enable better responses for physical asset optimisation and predictive maintenance. </w:t>
      </w:r>
    </w:p>
    <w:p w14:paraId="12FA6E17"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 xml:space="preserve">DTs for physical infrastructures/products allow that closely reflect their whole lifecycle: buildings, cities, vehicles, industrial products (e.g. engines), smart grids, etc. </w:t>
      </w:r>
    </w:p>
    <w:p w14:paraId="2C5E2799"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lastRenderedPageBreak/>
        <w:t xml:space="preserve">Evolving digital twins in energy sector with myriad of functionalities and purposes are paving way for open marketplaces and flexibility markets development, greater observability as well as flexibility of supply and demand. </w:t>
      </w:r>
    </w:p>
    <w:p w14:paraId="3321D7BF"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DTs for processes are especially relevant for manufacturing in factories, food production, logistics, and retail.</w:t>
      </w:r>
    </w:p>
    <w:p w14:paraId="345E98F2" w14:textId="77777777" w:rsidR="00380F9F" w:rsidRPr="00380F9F" w:rsidRDefault="00380F9F" w:rsidP="00380F9F">
      <w:pPr>
        <w:ind w:left="360"/>
        <w:jc w:val="both"/>
        <w:rPr>
          <w:rFonts w:ascii="Arial" w:eastAsiaTheme="minorEastAsia" w:hAnsi="Arial" w:cs="Arial"/>
          <w:lang w:eastAsia="de-DE"/>
        </w:rPr>
      </w:pPr>
      <w:r w:rsidRPr="00380F9F">
        <w:rPr>
          <w:rFonts w:ascii="Arial" w:eastAsiaTheme="minorEastAsia" w:hAnsi="Arial" w:cs="Arial"/>
          <w:lang w:eastAsia="de-DE"/>
        </w:rPr>
        <w:t xml:space="preserve">DTs open the doors to the full </w:t>
      </w:r>
      <w:r w:rsidRPr="00380F9F">
        <w:rPr>
          <w:rFonts w:ascii="Arial" w:hAnsi="Arial" w:cs="Arial"/>
          <w:lang w:eastAsia="de-DE"/>
        </w:rPr>
        <w:t>virtualization of the value chains and the creation of rich marketplaces</w:t>
      </w:r>
      <w:r w:rsidRPr="00380F9F">
        <w:rPr>
          <w:rFonts w:ascii="Arial" w:eastAsiaTheme="minorEastAsia" w:hAnsi="Arial" w:cs="Arial"/>
          <w:lang w:eastAsia="de-DE"/>
        </w:rPr>
        <w:t>. This is particularly relevant to sectors strongly structured around supply chains like manufacturing, food and retail. This dimension has gained importance due to the COVID crisis, where the disruption of the value chains is creating multiple supply problems.</w:t>
      </w:r>
    </w:p>
    <w:p w14:paraId="2C1E5E99" w14:textId="77777777" w:rsidR="00380F9F" w:rsidRPr="00380F9F" w:rsidRDefault="00380F9F" w:rsidP="00124439">
      <w:pPr>
        <w:numPr>
          <w:ilvl w:val="0"/>
          <w:numId w:val="60"/>
        </w:numPr>
        <w:ind w:left="360"/>
        <w:contextualSpacing/>
        <w:jc w:val="both"/>
        <w:rPr>
          <w:rFonts w:ascii="Arial" w:eastAsiaTheme="minorEastAsia" w:hAnsi="Arial" w:cs="Arial"/>
          <w:lang w:eastAsia="de-DE"/>
        </w:rPr>
      </w:pPr>
      <w:r w:rsidRPr="00380F9F">
        <w:rPr>
          <w:rFonts w:ascii="Arial" w:eastAsiaTheme="minorEastAsia" w:hAnsi="Arial" w:cs="Arial"/>
          <w:b/>
          <w:lang w:eastAsia="de-DE"/>
        </w:rPr>
        <w:t xml:space="preserve">Extreme pervasiveness of the smart mobile devices in Cities </w:t>
      </w:r>
      <w:r w:rsidRPr="00380F9F">
        <w:rPr>
          <w:rFonts w:ascii="Arial" w:eastAsiaTheme="minorEastAsia" w:hAnsi="Arial" w:cs="Arial"/>
          <w:lang w:eastAsia="de-DE"/>
        </w:rPr>
        <w:t xml:space="preserve">together with the ubiquitous coverage of the mobile telecommunication systems may be employed to monitor large metropolitan areas. An interesting example is represented by the detection of critical urban anomalies, such as unexpected crowd gathering in metropolitan areas (e.g., concerts, football matches, traffic jam). This can be achieved through the collection of information that the different network elements (e.g., base stations, mobile terminals) are exchanging over time, in a totally anonymous fashion for the connected users [C3-44]. More accurate detection and sophisticated events may be considered when including heterogeneous sources of data, e.g., from sensors in the street furniture. </w:t>
      </w:r>
    </w:p>
    <w:p w14:paraId="241FCF87" w14:textId="77777777" w:rsidR="00380F9F" w:rsidRPr="00380F9F" w:rsidRDefault="00380F9F" w:rsidP="00380F9F">
      <w:pPr>
        <w:ind w:left="360"/>
        <w:jc w:val="both"/>
        <w:rPr>
          <w:rFonts w:ascii="Arial" w:eastAsiaTheme="minorEastAsia" w:hAnsi="Arial" w:cs="Arial"/>
          <w:lang w:eastAsia="de-DE"/>
        </w:rPr>
      </w:pPr>
      <w:r w:rsidRPr="00380F9F">
        <w:rPr>
          <w:rFonts w:ascii="Arial" w:hAnsi="Arial" w:cs="Arial"/>
          <w:lang w:eastAsia="de-DE"/>
        </w:rPr>
        <w:t>Smart</w:t>
      </w:r>
      <w:r w:rsidRPr="00380F9F">
        <w:rPr>
          <w:rFonts w:ascii="Arial" w:eastAsiaTheme="minorEastAsia" w:hAnsi="Arial" w:cs="Arial"/>
          <w:lang w:eastAsia="de-DE"/>
        </w:rPr>
        <w:t xml:space="preserve"> cities typically combine use cases from the Consumer, Enterprise and the Industrial domains. In the future, several smart city applications will mostly be cross-domain, meaning the data generated by a given deployment can be used multiple times by several applications. Advances in public safety also call for connecting public safety ICT infrastructure with smart city IoT infrastructure to automate emergency handling and enhance the safety of the citizens. Examples of use cases include:</w:t>
      </w:r>
    </w:p>
    <w:p w14:paraId="73692D81"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Safety and security using video analytics at the edge: Video analytics will play an important role in several smart city use cases. These include crowd monitoring, intrusion detection, traffic monitoring, surveillance, tracking in urban spaces, etc. With an increasing number of video sources, processing the data in central clouds will not scale meaning the use of high-density edge cloud capabilities will be key to provide near real time video analytics addressing requirements from a multitude of applications.</w:t>
      </w:r>
    </w:p>
    <w:p w14:paraId="2503A84C"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Autonomous driving and cooperative ITS: The Society for Automotive Engineering (SAE) defined several levels leading to fully automated driving. There’s a common consensus that reaching the highest levels of automation will call for connectivity and a high degree of cooperation between vehicles on one side and a highly digitized transportation infrastructure (within smart cities), one that supports high throughput and low latency communications thanks to edge computing. Some advanced autonomous driving use cases may even require highly distributed edge computing capabilities. </w:t>
      </w:r>
    </w:p>
    <w:p w14:paraId="185C3DF5" w14:textId="77777777" w:rsidR="00380F9F" w:rsidRPr="00380F9F" w:rsidRDefault="00380F9F" w:rsidP="00380F9F">
      <w:pPr>
        <w:ind w:left="360"/>
        <w:contextualSpacing/>
        <w:jc w:val="both"/>
        <w:rPr>
          <w:rFonts w:ascii="Arial" w:eastAsiaTheme="minorEastAsia" w:hAnsi="Arial" w:cs="Arial"/>
          <w:b/>
          <w:lang w:eastAsia="de-DE"/>
        </w:rPr>
      </w:pPr>
    </w:p>
    <w:p w14:paraId="25C1AB62" w14:textId="77777777" w:rsidR="00380F9F" w:rsidRPr="00380F9F" w:rsidRDefault="00380F9F" w:rsidP="00124439">
      <w:pPr>
        <w:numPr>
          <w:ilvl w:val="0"/>
          <w:numId w:val="60"/>
        </w:numPr>
        <w:ind w:left="360"/>
        <w:contextualSpacing/>
        <w:jc w:val="both"/>
        <w:rPr>
          <w:rFonts w:ascii="Arial" w:eastAsiaTheme="minorEastAsia" w:hAnsi="Arial" w:cs="Arial"/>
          <w:b/>
          <w:lang w:eastAsia="de-DE"/>
        </w:rPr>
      </w:pPr>
      <w:r w:rsidRPr="00380F9F">
        <w:rPr>
          <w:rFonts w:ascii="Arial" w:eastAsiaTheme="minorEastAsia" w:hAnsi="Arial" w:cs="Arial"/>
          <w:b/>
          <w:lang w:eastAsia="de-DE"/>
        </w:rPr>
        <w:t xml:space="preserve">Autonomous and Hyper-connected On-demand Urban Transportation </w:t>
      </w:r>
      <w:r w:rsidRPr="00380F9F">
        <w:rPr>
          <w:rFonts w:ascii="Arial" w:eastAsiaTheme="minorEastAsia" w:hAnsi="Arial" w:cs="Arial"/>
          <w:bCs/>
          <w:lang w:val="en-US" w:eastAsia="de-DE"/>
        </w:rPr>
        <w:t>Millions of people move every day in big cities which are getting more and more crowded. That is why traffic congestion is becoming a critical problem in many of them, making people waste their time being behind the wheel of a car and being exposed to traffic security risks. Future cities will need to free up space for people and at the same time offer more agile on-demand mobility services in order to combat the traffic congestion and have sustainable cities.</w:t>
      </w:r>
    </w:p>
    <w:p w14:paraId="11D89E1B"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lastRenderedPageBreak/>
        <w:t xml:space="preserve">On-demand smart </w:t>
      </w:r>
      <w:r w:rsidRPr="00380F9F">
        <w:rPr>
          <w:rFonts w:ascii="Arial" w:eastAsiaTheme="minorEastAsia" w:hAnsi="Arial" w:cs="Arial"/>
          <w:lang w:eastAsia="de-DE"/>
        </w:rPr>
        <w:t>mobility</w:t>
      </w:r>
      <w:r w:rsidRPr="00380F9F">
        <w:rPr>
          <w:rFonts w:ascii="Arial" w:eastAsiaTheme="minorEastAsia" w:hAnsi="Arial" w:cs="Arial"/>
          <w:bCs/>
          <w:lang w:val="en-US" w:eastAsia="de-DE"/>
        </w:rPr>
        <w:t xml:space="preserve"> services can be achieved on one hand by providing a single platform for combining all mobility options and presenting them to the customers in a simple and integrated manner, that is, easy access to the most appropriate transport services being included in a bundle of flexible travel options, shifting from the provision of urban transport networks (i.e. buses, trams, trains) to what people require on-demand [C3-45]. That will be translated in door-to-door mobility by highly automated chains of different means of transport.  However, according to TMForum [C3-46] on-demand services have not yet achieved a real-time 360-degree view of the customers. It is not only a matter of having enough data but there is the need to further leverage on intelligence in a way that not only provides actionable insights, but also complies with regulatory governance about security. If CSPs fail to build the necessary intelligence in their OSS/BSS, their networks will be unable to keep up with the speed and volume of changes required. By using AI, it is expected to unravel the complexity of travel patterns and identify how to reduce the social and environmental costs of transport systems.</w:t>
      </w:r>
    </w:p>
    <w:p w14:paraId="3E361A92"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t>On the other hand, traffic management is expected to be highly improved by means of connected vehicles interacting with their environment (V2X), in a higher degree as long as more sensors and intelligence are onboard connected smart public transportation vehicles, so it will be possible to collect more accurate real-time information, to know precisely which parts of the city are becoming congested. Each vehicle, e.g. shuttle service bus, would be acting as a smart object equipped with a powerful multi-sensor platform, computing units, IP-based connectivity, and big amount of data management capabilities [C3-48]. Applications onboard of connected public buses will have to manage real time traffic congestion information received from the numerous sensors in the environment and plan automatically in advance alternative routes, continuously updating information based on predictive data analytics tools. Also novel and scalable cyber-security solutions will be needed to manage millions of connected objects and automotive sensors [C3-49].</w:t>
      </w:r>
    </w:p>
    <w:p w14:paraId="3CA625AF" w14:textId="77777777" w:rsidR="00380F9F" w:rsidRPr="00380F9F" w:rsidRDefault="00380F9F" w:rsidP="00380F9F">
      <w:pPr>
        <w:ind w:left="360"/>
        <w:jc w:val="both"/>
        <w:rPr>
          <w:rFonts w:ascii="Arial" w:eastAsiaTheme="minorEastAsia" w:hAnsi="Arial" w:cs="Arial"/>
          <w:bCs/>
          <w:lang w:val="en-US" w:eastAsia="de-DE"/>
        </w:rPr>
      </w:pPr>
      <w:r w:rsidRPr="00380F9F">
        <w:rPr>
          <w:rFonts w:ascii="Arial" w:eastAsiaTheme="minorEastAsia" w:hAnsi="Arial" w:cs="Arial"/>
          <w:bCs/>
          <w:lang w:val="en-US" w:eastAsia="de-DE"/>
        </w:rPr>
        <w:t>These hyper-connected autonomous vehicles will allow passengers to travel carelessly about the traffic (no need of consultation about traffic status or alternatives routes or their safety), which will have a direct impact in the increasing use of public transportation, and will contribute to the following key current societal challenges:</w:t>
      </w:r>
    </w:p>
    <w:p w14:paraId="4D0091D3"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decrease traffic congestion and passengers idling, which is translated into additional productivity and quality-of-life improvements.</w:t>
      </w:r>
    </w:p>
    <w:p w14:paraId="29E73108"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public vehicles will be transporting more people at a time, increasing road capacity, while providing significant energy savings.</w:t>
      </w:r>
    </w:p>
    <w:p w14:paraId="2550D088" w14:textId="77777777" w:rsidR="00380F9F" w:rsidRPr="00380F9F" w:rsidRDefault="00380F9F" w:rsidP="00124439">
      <w:pPr>
        <w:numPr>
          <w:ilvl w:val="1"/>
          <w:numId w:val="60"/>
        </w:numPr>
        <w:ind w:left="1080"/>
        <w:contextualSpacing/>
        <w:jc w:val="both"/>
        <w:rPr>
          <w:rFonts w:ascii="Arial" w:eastAsiaTheme="minorEastAsia" w:hAnsi="Arial" w:cs="Arial"/>
          <w:lang w:eastAsia="de-DE"/>
        </w:rPr>
      </w:pPr>
      <w:r w:rsidRPr="00380F9F">
        <w:rPr>
          <w:rFonts w:ascii="Arial" w:eastAsiaTheme="minorEastAsia" w:hAnsi="Arial" w:cs="Arial"/>
          <w:lang w:eastAsia="de-DE"/>
        </w:rPr>
        <w:t>reduce time to reach travelers’ destinations fomenting mobility which can turn in boosting social interactions and economic activities.</w:t>
      </w:r>
    </w:p>
    <w:p w14:paraId="285CB5F8"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From the technology standpoint there is a playground that will combine advanced connectivity (beyond 5G/6G) with its capabilities and embedded intelligence, big data and AI mechanisms to enable future applications.</w:t>
      </w:r>
    </w:p>
    <w:p w14:paraId="07BDA64A"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In the </w:t>
      </w:r>
      <w:r w:rsidRPr="00380F9F">
        <w:rPr>
          <w:rFonts w:ascii="Arial" w:eastAsiaTheme="minorEastAsia" w:hAnsi="Arial" w:cs="Arial"/>
          <w:b/>
          <w:bCs/>
        </w:rPr>
        <w:t>longer term</w:t>
      </w:r>
      <w:r w:rsidRPr="00380F9F">
        <w:rPr>
          <w:rFonts w:ascii="Arial" w:eastAsiaTheme="minorEastAsia" w:hAnsi="Arial" w:cs="Arial"/>
        </w:rPr>
        <w:t>, future emerging applications are currently being discussed in several communities. The ones that are described in this subsection are based on [C3-19]. Some examples of such future emerging applications are:</w:t>
      </w:r>
    </w:p>
    <w:p w14:paraId="11A12B65" w14:textId="77777777" w:rsidR="00380F9F" w:rsidRPr="00380F9F" w:rsidRDefault="00380F9F" w:rsidP="00124439">
      <w:pPr>
        <w:numPr>
          <w:ilvl w:val="0"/>
          <w:numId w:val="28"/>
        </w:numPr>
        <w:jc w:val="both"/>
        <w:rPr>
          <w:rFonts w:ascii="Arial" w:eastAsiaTheme="minorEastAsia" w:hAnsi="Arial" w:cs="Arial"/>
        </w:rPr>
      </w:pPr>
      <w:r w:rsidRPr="00380F9F">
        <w:rPr>
          <w:rFonts w:ascii="Arial" w:eastAsiaTheme="minorEastAsia" w:hAnsi="Arial" w:cs="Arial"/>
        </w:rPr>
        <w:t>Holographic media applications: involve not only the local rendering of holograms but networking aspects, specifically the ability to transmit and stream holographic data from remote sites,</w:t>
      </w:r>
    </w:p>
    <w:p w14:paraId="6F0A723E" w14:textId="77777777" w:rsidR="00380F9F" w:rsidRPr="00380F9F" w:rsidRDefault="00380F9F" w:rsidP="00124439">
      <w:pPr>
        <w:numPr>
          <w:ilvl w:val="0"/>
          <w:numId w:val="28"/>
        </w:numPr>
        <w:jc w:val="both"/>
        <w:rPr>
          <w:rFonts w:ascii="Arial" w:eastAsiaTheme="minorEastAsia" w:hAnsi="Arial" w:cs="Arial"/>
        </w:rPr>
      </w:pPr>
      <w:r w:rsidRPr="00380F9F">
        <w:rPr>
          <w:rFonts w:ascii="Arial" w:eastAsiaTheme="minorEastAsia" w:hAnsi="Arial" w:cs="Arial"/>
        </w:rPr>
        <w:t>Multi-Sense Networks: include emerging applications that involve not only optical (video, holograms) and acoustic (audio) senses, but as well smell and taste senses.</w:t>
      </w:r>
    </w:p>
    <w:p w14:paraId="7ECDA955" w14:textId="77777777" w:rsidR="00380F9F" w:rsidRPr="00380F9F" w:rsidRDefault="00380F9F" w:rsidP="00124439">
      <w:pPr>
        <w:numPr>
          <w:ilvl w:val="0"/>
          <w:numId w:val="28"/>
        </w:numPr>
        <w:jc w:val="both"/>
        <w:rPr>
          <w:rFonts w:ascii="Arial" w:eastAsiaTheme="minorEastAsia" w:hAnsi="Arial" w:cs="Arial"/>
        </w:rPr>
      </w:pPr>
      <w:r w:rsidRPr="00380F9F">
        <w:rPr>
          <w:rFonts w:ascii="Arial" w:eastAsiaTheme="minorEastAsia" w:hAnsi="Arial" w:cs="Arial"/>
        </w:rPr>
        <w:lastRenderedPageBreak/>
        <w:t>Time Engineered Applications: use a communication system that can coordinate between different sources of information such that all the parties involved have synchronized view of the application.</w:t>
      </w:r>
    </w:p>
    <w:p w14:paraId="32E628FA" w14:textId="77777777" w:rsidR="00380F9F" w:rsidRPr="00380F9F" w:rsidRDefault="00380F9F" w:rsidP="00124439">
      <w:pPr>
        <w:numPr>
          <w:ilvl w:val="0"/>
          <w:numId w:val="28"/>
        </w:numPr>
        <w:jc w:val="both"/>
        <w:rPr>
          <w:rFonts w:ascii="Arial" w:eastAsiaTheme="minorEastAsia" w:hAnsi="Arial" w:cs="Arial"/>
        </w:rPr>
      </w:pPr>
      <w:r w:rsidRPr="00380F9F">
        <w:rPr>
          <w:rFonts w:ascii="Arial" w:eastAsiaTheme="minorEastAsia" w:hAnsi="Arial" w:cs="Arial"/>
        </w:rPr>
        <w:t>Critical Infrastructure support applications: support of critical infrastructures that refer to those essential assets that are considered vital to the continued smooth functioning of the society as an integrated entity.</w:t>
      </w:r>
    </w:p>
    <w:p w14:paraId="42BEC57A"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In addition to these emerging applications, [C3-18] and [C3-50] summarize seven representative use cases for ITU-T Network 2030: holographic type communications (HTC); tactile Internet for remote operations (TIRO); intelligent operation network (ION); network and computing convergence (NCC); space-terrestrial integrated network (STIN); industrial IoT (IIoT) with cloudification. </w:t>
      </w:r>
    </w:p>
    <w:p w14:paraId="2BAABE2D" w14:textId="77777777" w:rsidR="00380F9F" w:rsidRPr="00380F9F" w:rsidRDefault="00380F9F" w:rsidP="00380F9F">
      <w:pPr>
        <w:jc w:val="both"/>
        <w:rPr>
          <w:rFonts w:ascii="Arial" w:eastAsia="MS Mincho" w:hAnsi="Arial" w:cs="Arial"/>
          <w:b/>
        </w:rPr>
      </w:pPr>
      <w:r w:rsidRPr="00380F9F">
        <w:rPr>
          <w:rFonts w:ascii="Arial" w:eastAsiaTheme="minorEastAsia" w:hAnsi="Arial" w:cs="Arial"/>
          <w:b/>
          <w:lang w:val="fr-CH"/>
        </w:rPr>
        <w:t xml:space="preserve">Holographic type communications (HTC) </w:t>
      </w:r>
    </w:p>
    <w:p w14:paraId="504E8A8E" w14:textId="77777777" w:rsidR="00380F9F" w:rsidRPr="00380F9F" w:rsidRDefault="00380F9F" w:rsidP="00380F9F">
      <w:pPr>
        <w:jc w:val="both"/>
        <w:rPr>
          <w:rFonts w:ascii="Arial" w:eastAsia="MS Mincho" w:hAnsi="Arial" w:cs="Arial"/>
          <w:color w:val="000000" w:themeColor="text1"/>
        </w:rPr>
      </w:pPr>
      <w:r w:rsidRPr="00380F9F">
        <w:rPr>
          <w:rFonts w:ascii="Arial" w:eastAsiaTheme="minorEastAsia" w:hAnsi="Arial" w:cs="Arial"/>
          <w:lang w:val="fr-CH"/>
        </w:rPr>
        <w:t>T</w:t>
      </w:r>
      <w:r w:rsidRPr="00380F9F">
        <w:rPr>
          <w:rFonts w:ascii="Arial" w:eastAsiaTheme="minorEastAsia" w:hAnsi="Arial" w:cs="Arial"/>
        </w:rPr>
        <w:t xml:space="preserve">he holographic display needs to satisfy all visual cues for the human observation of any 3D object, such that it can appear as natural as possible </w:t>
      </w:r>
      <w:r w:rsidRPr="00380F9F">
        <w:rPr>
          <w:rFonts w:ascii="Arial" w:eastAsiaTheme="minorEastAsia" w:hAnsi="Arial" w:cs="Arial"/>
          <w:lang w:eastAsia="zh-CN"/>
        </w:rPr>
        <w:t>[C3-20]</w:t>
      </w:r>
      <w:r w:rsidRPr="00380F9F">
        <w:rPr>
          <w:rFonts w:ascii="Arial" w:eastAsiaTheme="minorEastAsia" w:hAnsi="Arial" w:cs="Arial"/>
        </w:rPr>
        <w:t>. According to [C3-20], holography is a method of producing a three</w:t>
      </w:r>
      <w:r w:rsidRPr="00380F9F">
        <w:rPr>
          <w:rFonts w:ascii="Arial" w:eastAsiaTheme="minorEastAsia" w:hAnsi="Arial" w:cs="Arial"/>
        </w:rPr>
        <w:noBreakHyphen/>
        <w:t>dimensional image of a physical object by recording, on a media photographic plate or film. In addition of being optical holograms can record the wavelength (colour) and intensity (amplitude) of light waves, as well as the phase of light waves (perception of depth). It is expected that in the next decade holographic displays will adopt the lenslet light-field 3D through the naked-eye or indeed through augmented reality (AR) and virtual reality (VR) via head-mounted display (HMD) media devices</w:t>
      </w:r>
      <w:r w:rsidRPr="00380F9F">
        <w:rPr>
          <w:rFonts w:ascii="Arial" w:eastAsiaTheme="minorEastAsia" w:hAnsi="Arial" w:cs="Arial"/>
          <w:lang w:eastAsia="zh-CN"/>
        </w:rPr>
        <w:t xml:space="preserve"> [C3-21]</w:t>
      </w:r>
      <w:r w:rsidRPr="00380F9F">
        <w:rPr>
          <w:rFonts w:ascii="Arial" w:eastAsiaTheme="minorEastAsia" w:hAnsi="Arial" w:cs="Arial"/>
        </w:rPr>
        <w:t>. Holographic</w:t>
      </w:r>
      <w:r w:rsidRPr="00380F9F">
        <w:rPr>
          <w:rFonts w:ascii="Arial" w:eastAsia="MS Mincho" w:hAnsi="Arial" w:cs="Arial"/>
          <w:color w:val="000000" w:themeColor="text1"/>
        </w:rPr>
        <w:t xml:space="preserve"> type communications (HTC) are expected to digitally deliver 3D images from one or multiple sources to one or multiple destination nodes in an interactive manner. It is foreseen that fully immersive 3D imaging will impose great challenges on future networks. </w:t>
      </w:r>
    </w:p>
    <w:p w14:paraId="70264AFD" w14:textId="77777777" w:rsidR="00380F9F" w:rsidRPr="00380F9F" w:rsidRDefault="00380F9F" w:rsidP="00380F9F">
      <w:pPr>
        <w:jc w:val="both"/>
        <w:rPr>
          <w:rFonts w:ascii="Arial" w:eastAsiaTheme="minorEastAsia" w:hAnsi="Arial" w:cs="Arial"/>
          <w:b/>
        </w:rPr>
      </w:pPr>
      <w:r w:rsidRPr="00380F9F">
        <w:rPr>
          <w:rFonts w:ascii="Arial" w:eastAsiaTheme="minorEastAsia" w:hAnsi="Arial" w:cs="Arial"/>
          <w:b/>
        </w:rPr>
        <w:t xml:space="preserve">Tactile Internet for remote operations (TIRO) </w:t>
      </w:r>
    </w:p>
    <w:p w14:paraId="0817D136"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 xml:space="preserve">Tactile Internet is enabler the real-time control of remote infrastructure, creating a plethora of opportunities and opening new areas of applications within sectors such as Industry 4.0 or tele-medicine. It is expected, that immersive video streaming applications, such as the HTC 3D image streaming, will support real-time and immersive interaction between a human operator and remote machinery. Two typical use cases are described in [C3-18].  The first typical use case is remote industrial management that involves real-time monitoring and control of industrial infrastructure operations with augmented reality (AR) support. The second typical use case is remote robotic surgery. In this use case the surgeon gets a real-time audio-visual feed of the patient and operating room, using a human system interface (HSI), where a master console is installed. </w:t>
      </w:r>
    </w:p>
    <w:p w14:paraId="14C1BD7E"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These two use cases require the network to have very low (near zero) end-to-end network latency for real-time interaction, along with guaranteed high bandwidth to support the visual feed. They also necessitate strict synchronization between the various feeds to allow interactive control.</w:t>
      </w:r>
    </w:p>
    <w:p w14:paraId="678F3914" w14:textId="0D139FD7" w:rsidR="00380F9F" w:rsidRPr="00380F9F" w:rsidRDefault="00380F9F" w:rsidP="00380F9F">
      <w:pPr>
        <w:jc w:val="both"/>
        <w:rPr>
          <w:rFonts w:ascii="Arial" w:eastAsiaTheme="minorEastAsia" w:hAnsi="Arial" w:cs="Arial"/>
          <w:b/>
        </w:rPr>
      </w:pPr>
      <w:bookmarkStart w:id="55" w:name="_Toc32493739"/>
      <w:bookmarkStart w:id="56" w:name="_Toc34222388"/>
      <w:r w:rsidRPr="00380F9F">
        <w:rPr>
          <w:rFonts w:ascii="Arial" w:eastAsiaTheme="minorEastAsia" w:hAnsi="Arial" w:cs="Arial"/>
          <w:b/>
        </w:rPr>
        <w:t>Intelligent operation network (ION)</w:t>
      </w:r>
      <w:bookmarkEnd w:id="55"/>
      <w:bookmarkEnd w:id="56"/>
      <w:r w:rsidRPr="00380F9F">
        <w:rPr>
          <w:rFonts w:ascii="Arial" w:eastAsiaTheme="minorEastAsia" w:hAnsi="Arial" w:cs="Arial"/>
          <w:b/>
        </w:rPr>
        <w:t xml:space="preserve"> </w:t>
      </w:r>
    </w:p>
    <w:p w14:paraId="7C8D97D8" w14:textId="77777777" w:rsidR="00380F9F" w:rsidRPr="00380F9F" w:rsidRDefault="00380F9F" w:rsidP="00380F9F">
      <w:pPr>
        <w:jc w:val="both"/>
        <w:rPr>
          <w:rFonts w:ascii="Arial" w:eastAsiaTheme="minorEastAsia" w:hAnsi="Arial" w:cs="Arial"/>
        </w:rPr>
      </w:pPr>
      <w:bookmarkStart w:id="57" w:name="_Hlk36566042"/>
      <w:r w:rsidRPr="00380F9F">
        <w:rPr>
          <w:rFonts w:ascii="Arial" w:eastAsiaTheme="minorEastAsia" w:hAnsi="Arial" w:cs="Arial"/>
        </w:rPr>
        <w:t xml:space="preserve">This use case focuses on the need that future networks will have on intelligent operation capabilities in order to efficiently provide a variety of intelligent services and applications. Monitoring of the network for impairment (or potential impairment) is important, where the key performance indicator is 'network health'. For example, intelligent technologies such as artificial intelligence (AI) will play a key role in feature and pattern recognition [C3-22]. It Is expected, that such technologies and models would be trained based upon historical data as </w:t>
      </w:r>
      <w:r w:rsidRPr="00380F9F">
        <w:rPr>
          <w:rFonts w:ascii="Arial" w:eastAsiaTheme="minorEastAsia" w:hAnsi="Arial" w:cs="Arial"/>
        </w:rPr>
        <w:lastRenderedPageBreak/>
        <w:t>well as learning (for example using neural network techniques) from live network operations and other statistics, to establish a human-brain like cognition to locate network malfunctions and faults accurately.</w:t>
      </w:r>
    </w:p>
    <w:p w14:paraId="5F0722AB" w14:textId="3BDC564D" w:rsidR="00380F9F" w:rsidRPr="00380F9F" w:rsidRDefault="00380F9F" w:rsidP="00380F9F">
      <w:pPr>
        <w:jc w:val="both"/>
        <w:rPr>
          <w:rFonts w:ascii="Arial" w:eastAsiaTheme="minorEastAsia" w:hAnsi="Arial" w:cs="Arial"/>
          <w:b/>
        </w:rPr>
      </w:pPr>
      <w:bookmarkStart w:id="58" w:name="_Toc32493742"/>
      <w:bookmarkStart w:id="59" w:name="_Toc34222391"/>
      <w:bookmarkEnd w:id="57"/>
      <w:r w:rsidRPr="00380F9F">
        <w:rPr>
          <w:rFonts w:ascii="Arial" w:eastAsiaTheme="minorEastAsia" w:hAnsi="Arial" w:cs="Arial"/>
          <w:b/>
        </w:rPr>
        <w:t>Network and computing convergence (NCC)</w:t>
      </w:r>
      <w:bookmarkEnd w:id="58"/>
      <w:bookmarkEnd w:id="59"/>
      <w:r w:rsidRPr="00380F9F">
        <w:rPr>
          <w:rFonts w:ascii="Arial" w:eastAsiaTheme="minorEastAsia" w:hAnsi="Arial" w:cs="Arial"/>
          <w:b/>
        </w:rPr>
        <w:t xml:space="preserve"> </w:t>
      </w:r>
    </w:p>
    <w:p w14:paraId="2FC9D4DC"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The recent advent of cloud computing and network functions virtualization has resulted in the emergence of network cloudification.  It is expected that future networks may require multiple distributed network edge sites to interconnect and collaborate with each other. Orchestration capabilities that are computing aware may need to be supported. Furthermore, emerging edge applications (for example, AR rendering, autonomous driving and HTC) are characterized by high mobility and other time-varying features that will require one or more data centres to provide computing resources simultaneously in a coordinated way. Such applications will require the support of intelligent load-balancing among multiple edge sites. Therefore, future networks need to support computing</w:t>
      </w:r>
      <w:r w:rsidRPr="00380F9F">
        <w:rPr>
          <w:rFonts w:ascii="Arial" w:eastAsiaTheme="minorEastAsia" w:hAnsi="Arial" w:cs="Arial"/>
        </w:rPr>
        <w:noBreakHyphen/>
        <w:t>aware network capabilities, with unified management, control and operation in order to guarantee differentiated service experience with much higher granularity than in current networks.</w:t>
      </w:r>
    </w:p>
    <w:p w14:paraId="6CF7D47C" w14:textId="37C4FDB7" w:rsidR="00380F9F" w:rsidRPr="00380F9F" w:rsidRDefault="00380F9F" w:rsidP="00380F9F">
      <w:pPr>
        <w:jc w:val="both"/>
        <w:rPr>
          <w:rFonts w:ascii="Arial" w:eastAsiaTheme="minorEastAsia" w:hAnsi="Arial" w:cs="Arial"/>
          <w:b/>
        </w:rPr>
      </w:pPr>
      <w:bookmarkStart w:id="60" w:name="_Toc32493747"/>
      <w:bookmarkStart w:id="61" w:name="_Toc34222397"/>
      <w:r w:rsidRPr="00380F9F">
        <w:rPr>
          <w:rFonts w:ascii="Arial" w:eastAsiaTheme="minorEastAsia" w:hAnsi="Arial" w:cs="Arial"/>
          <w:b/>
        </w:rPr>
        <w:t>Space-terrestrial integrated network (STIN)</w:t>
      </w:r>
      <w:bookmarkEnd w:id="60"/>
      <w:bookmarkEnd w:id="61"/>
      <w:r w:rsidRPr="00380F9F">
        <w:rPr>
          <w:rFonts w:ascii="Arial" w:eastAsiaTheme="minorEastAsia" w:hAnsi="Arial" w:cs="Arial"/>
          <w:b/>
        </w:rPr>
        <w:t xml:space="preserve"> </w:t>
      </w:r>
    </w:p>
    <w:p w14:paraId="7A9F8DB5" w14:textId="77777777" w:rsidR="00380F9F" w:rsidRPr="00380F9F" w:rsidRDefault="00380F9F" w:rsidP="00380F9F">
      <w:pPr>
        <w:jc w:val="both"/>
        <w:rPr>
          <w:rFonts w:ascii="Arial" w:eastAsiaTheme="minorEastAsia" w:hAnsi="Arial" w:cs="Arial"/>
        </w:rPr>
      </w:pPr>
      <w:bookmarkStart w:id="62" w:name="_Hlk36566009"/>
      <w:r w:rsidRPr="00380F9F">
        <w:rPr>
          <w:rFonts w:ascii="Arial" w:eastAsiaTheme="minorEastAsia" w:hAnsi="Arial" w:cs="Arial"/>
        </w:rPr>
        <w:t>In this use case [C3-50], a scenario is envisioned where a future seamlessly integrated terrestrial and non-terrestrial Internet framework is applied. The aim of this use case is to leverage the inter-connected multilayered non-terrestrial network (see Chapter 9) to build a parallel Internet network that can peer with its terrestrial counterpart. In this scenario, it is considered that one essential aspect is that future mobile devices (e.g. smart phones, tablets, etc.) will be able to directly communicate with the locally accessible NTN nodes, but without necessarily relying on traditional ground station infrastructures that are constrained by geographical distributions [C3-23].</w:t>
      </w:r>
    </w:p>
    <w:p w14:paraId="560C51E9" w14:textId="50479575" w:rsidR="00380F9F" w:rsidRPr="00380F9F" w:rsidRDefault="00380F9F" w:rsidP="00380F9F">
      <w:pPr>
        <w:jc w:val="both"/>
        <w:rPr>
          <w:rFonts w:ascii="Arial" w:eastAsiaTheme="minorEastAsia" w:hAnsi="Arial" w:cs="Arial"/>
          <w:b/>
        </w:rPr>
      </w:pPr>
      <w:bookmarkStart w:id="63" w:name="_Toc32493750"/>
      <w:bookmarkStart w:id="64" w:name="_Toc34222400"/>
      <w:bookmarkEnd w:id="62"/>
      <w:r w:rsidRPr="00380F9F">
        <w:rPr>
          <w:rFonts w:ascii="Arial" w:eastAsiaTheme="minorEastAsia" w:hAnsi="Arial" w:cs="Arial"/>
          <w:b/>
        </w:rPr>
        <w:t>Industrial IoT (IIoT) with cloudification</w:t>
      </w:r>
      <w:bookmarkEnd w:id="63"/>
      <w:bookmarkEnd w:id="64"/>
      <w:r w:rsidRPr="00380F9F">
        <w:rPr>
          <w:rFonts w:ascii="Arial" w:eastAsiaTheme="minorEastAsia" w:hAnsi="Arial" w:cs="Arial"/>
          <w:b/>
        </w:rPr>
        <w:t xml:space="preserve"> </w:t>
      </w:r>
    </w:p>
    <w:p w14:paraId="31AF4CE9" w14:textId="77777777" w:rsidR="00380F9F" w:rsidRPr="00380F9F" w:rsidRDefault="00380F9F" w:rsidP="00380F9F">
      <w:pPr>
        <w:jc w:val="both"/>
        <w:rPr>
          <w:rFonts w:ascii="Arial" w:eastAsiaTheme="minorEastAsia" w:hAnsi="Arial" w:cs="Arial"/>
        </w:rPr>
      </w:pPr>
      <w:r w:rsidRPr="00380F9F">
        <w:rPr>
          <w:rFonts w:ascii="Arial" w:eastAsiaTheme="minorEastAsia" w:hAnsi="Arial" w:cs="Arial"/>
        </w:rPr>
        <w:t>Industrial networks enabled by the Internet of things (IIoT) are connecting back offices to factory floors and provide the integration from device level all the way through to enterprise business systems, resulting in the automatic operation and control of industrial processes without significant human intervention. These enterprise networks need to deliver superior performance and mandate a real-time, secure, and reliable factory-wide connectivity, as well as inter-factory connectivity at large scales in the future. At the same time, operational technologies (OTs) and IT are converging, where control functions traditionally carried out by customized hardware platforms, such as programmable logic controllers (PLC), have been slowly virtualized and moved onto the edge or into the cloud.</w:t>
      </w:r>
    </w:p>
    <w:p w14:paraId="2D264463" w14:textId="77777777" w:rsidR="00380F9F" w:rsidRPr="00380F9F" w:rsidRDefault="00380F9F" w:rsidP="00380F9F">
      <w:pPr>
        <w:jc w:val="both"/>
        <w:rPr>
          <w:rFonts w:ascii="Arial" w:eastAsiaTheme="minorEastAsia" w:hAnsi="Arial" w:cs="Arial"/>
          <w:b/>
        </w:rPr>
      </w:pPr>
      <w:r w:rsidRPr="00380F9F">
        <w:rPr>
          <w:rFonts w:ascii="Arial" w:eastAsiaTheme="minorEastAsia" w:hAnsi="Arial" w:cs="Arial"/>
          <w:b/>
          <w:lang w:eastAsia="zh-CN"/>
        </w:rPr>
        <w:t xml:space="preserve">Representations of the network requirements </w:t>
      </w:r>
    </w:p>
    <w:p w14:paraId="301A5738" w14:textId="53A88CCA" w:rsidR="00380F9F" w:rsidRDefault="00380F9F" w:rsidP="00380F9F">
      <w:pPr>
        <w:jc w:val="both"/>
        <w:rPr>
          <w:rFonts w:ascii="Arial" w:eastAsiaTheme="minorEastAsia" w:hAnsi="Arial" w:cs="Arial"/>
          <w:b/>
        </w:rPr>
      </w:pPr>
      <w:r w:rsidRPr="00380F9F">
        <w:rPr>
          <w:rFonts w:ascii="Arial" w:eastAsiaTheme="minorEastAsia" w:hAnsi="Arial" w:cs="Arial"/>
        </w:rPr>
        <w:t>These seven representative use cases have been further evaluated in [C3-18]</w:t>
      </w:r>
      <w:r w:rsidRPr="00380F9F">
        <w:rPr>
          <w:rFonts w:ascii="Arial" w:eastAsiaTheme="minorEastAsia" w:hAnsi="Arial" w:cs="Arial"/>
          <w:b/>
        </w:rPr>
        <w:t xml:space="preserve"> </w:t>
      </w:r>
      <w:r w:rsidRPr="00380F9F">
        <w:rPr>
          <w:rFonts w:ascii="Arial" w:eastAsiaTheme="minorEastAsia" w:hAnsi="Arial" w:cs="Arial"/>
        </w:rPr>
        <w:t xml:space="preserve">according to five abstract network requirement dimensions, widely discussed in [C3-24], namely: </w:t>
      </w:r>
      <w:r w:rsidRPr="00380F9F">
        <w:rPr>
          <w:rFonts w:ascii="Arial" w:eastAsiaTheme="minorEastAsia" w:hAnsi="Arial" w:cs="Arial"/>
          <w:b/>
          <w:bCs/>
        </w:rPr>
        <w:t>B</w:t>
      </w:r>
      <w:r w:rsidRPr="00380F9F">
        <w:rPr>
          <w:rFonts w:ascii="Arial" w:eastAsiaTheme="minorEastAsia" w:hAnsi="Arial" w:cs="Arial"/>
          <w:b/>
        </w:rPr>
        <w:t>andwidth</w:t>
      </w:r>
      <w:r w:rsidRPr="00380F9F">
        <w:rPr>
          <w:rFonts w:ascii="Arial" w:eastAsiaTheme="minorEastAsia" w:hAnsi="Arial" w:cs="Arial"/>
        </w:rPr>
        <w:t xml:space="preserve">, </w:t>
      </w:r>
      <w:r w:rsidRPr="00380F9F">
        <w:rPr>
          <w:rFonts w:ascii="Arial" w:eastAsiaTheme="minorEastAsia" w:hAnsi="Arial" w:cs="Arial"/>
          <w:b/>
        </w:rPr>
        <w:t>Time</w:t>
      </w:r>
      <w:r w:rsidRPr="00380F9F">
        <w:rPr>
          <w:rFonts w:ascii="Arial" w:eastAsiaTheme="minorEastAsia" w:hAnsi="Arial" w:cs="Arial"/>
        </w:rPr>
        <w:t xml:space="preserve">, </w:t>
      </w:r>
      <w:r w:rsidRPr="00380F9F">
        <w:rPr>
          <w:rFonts w:ascii="Arial" w:eastAsiaTheme="minorEastAsia" w:hAnsi="Arial" w:cs="Arial"/>
          <w:b/>
        </w:rPr>
        <w:t>Security</w:t>
      </w:r>
      <w:r w:rsidRPr="00380F9F">
        <w:rPr>
          <w:rFonts w:ascii="Arial" w:eastAsiaTheme="minorEastAsia" w:hAnsi="Arial" w:cs="Arial"/>
        </w:rPr>
        <w:t xml:space="preserve">, </w:t>
      </w:r>
      <w:r w:rsidRPr="00380F9F">
        <w:rPr>
          <w:rFonts w:ascii="Arial" w:eastAsiaTheme="minorEastAsia" w:hAnsi="Arial" w:cs="Arial"/>
          <w:b/>
        </w:rPr>
        <w:t>Artificial Intelligence (AI)</w:t>
      </w:r>
      <w:r w:rsidRPr="00380F9F">
        <w:rPr>
          <w:rFonts w:ascii="Arial" w:eastAsiaTheme="minorEastAsia" w:hAnsi="Arial" w:cs="Arial"/>
        </w:rPr>
        <w:t xml:space="preserve">, and </w:t>
      </w:r>
      <w:r w:rsidRPr="00380F9F">
        <w:rPr>
          <w:rFonts w:ascii="Arial" w:eastAsiaTheme="minorEastAsia" w:hAnsi="Arial" w:cs="Arial"/>
          <w:b/>
        </w:rPr>
        <w:t xml:space="preserve">ManyNets, see Table </w:t>
      </w:r>
      <w:r>
        <w:rPr>
          <w:rFonts w:ascii="Arial" w:eastAsiaTheme="minorEastAsia" w:hAnsi="Arial" w:cs="Arial"/>
          <w:b/>
        </w:rPr>
        <w:t>3-1</w:t>
      </w:r>
      <w:r w:rsidRPr="00380F9F">
        <w:rPr>
          <w:rFonts w:ascii="Arial" w:eastAsiaTheme="minorEastAsia" w:hAnsi="Arial" w:cs="Arial"/>
          <w:b/>
        </w:rPr>
        <w:t>.</w:t>
      </w:r>
    </w:p>
    <w:p w14:paraId="042DF84E" w14:textId="7D5C664B" w:rsidR="00C42C17" w:rsidRDefault="00C42C17" w:rsidP="00380F9F">
      <w:pPr>
        <w:jc w:val="both"/>
        <w:rPr>
          <w:rFonts w:ascii="Arial" w:eastAsiaTheme="minorEastAsia" w:hAnsi="Arial" w:cs="Arial"/>
          <w:b/>
        </w:rPr>
      </w:pPr>
    </w:p>
    <w:p w14:paraId="5CCD430E" w14:textId="77777777" w:rsidR="00C42C17" w:rsidRPr="00380F9F" w:rsidRDefault="00C42C17" w:rsidP="00380F9F">
      <w:pPr>
        <w:jc w:val="both"/>
        <w:rPr>
          <w:rFonts w:ascii="Arial" w:eastAsiaTheme="minorEastAsia" w:hAnsi="Arial" w:cs="Arial"/>
        </w:rPr>
      </w:pPr>
    </w:p>
    <w:p w14:paraId="7D90BD3B" w14:textId="7F2F802B" w:rsidR="00380F9F" w:rsidRPr="00380F9F" w:rsidRDefault="00380F9F" w:rsidP="00380F9F">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rPr>
          <w:rFonts w:ascii="Arial" w:eastAsia="Times New Roman" w:hAnsi="Arial" w:cs="Arial"/>
          <w:b/>
          <w:sz w:val="20"/>
          <w:szCs w:val="20"/>
          <w:lang w:eastAsia="zh-CN"/>
        </w:rPr>
      </w:pPr>
      <w:bookmarkStart w:id="65" w:name="_Toc36811467"/>
      <w:bookmarkStart w:id="66" w:name="_Toc36811622"/>
      <w:r w:rsidRPr="00380F9F">
        <w:rPr>
          <w:rFonts w:ascii="Arial" w:eastAsia="Times New Roman" w:hAnsi="Arial" w:cs="Arial"/>
          <w:b/>
          <w:sz w:val="20"/>
          <w:szCs w:val="20"/>
        </w:rPr>
        <w:lastRenderedPageBreak/>
        <w:t xml:space="preserve">Table 3-1 </w:t>
      </w:r>
      <w:r w:rsidRPr="00380F9F">
        <w:rPr>
          <w:rFonts w:ascii="Arial" w:eastAsia="Times New Roman" w:hAnsi="Arial" w:cs="Arial"/>
          <w:b/>
          <w:sz w:val="20"/>
          <w:szCs w:val="20"/>
          <w:lang w:eastAsia="zh-CN"/>
        </w:rPr>
        <w:t>Abstract dimensions with relevant network requirements</w:t>
      </w:r>
      <w:bookmarkEnd w:id="65"/>
      <w:bookmarkEnd w:id="66"/>
      <w:r w:rsidRPr="00380F9F">
        <w:rPr>
          <w:rFonts w:ascii="Arial" w:eastAsia="Times New Roman" w:hAnsi="Arial" w:cs="Arial"/>
          <w:b/>
          <w:sz w:val="20"/>
          <w:szCs w:val="20"/>
          <w:lang w:eastAsia="zh-CN"/>
        </w:rPr>
        <w:t>, from [C3-18]</w:t>
      </w:r>
    </w:p>
    <w:tbl>
      <w:tblPr>
        <w:tblStyle w:val="TableGrid4"/>
        <w:tblW w:w="9639" w:type="dxa"/>
        <w:jc w:val="center"/>
        <w:tblLook w:val="04A0" w:firstRow="1" w:lastRow="0" w:firstColumn="1" w:lastColumn="0" w:noHBand="0" w:noVBand="1"/>
      </w:tblPr>
      <w:tblGrid>
        <w:gridCol w:w="3152"/>
        <w:gridCol w:w="6487"/>
      </w:tblGrid>
      <w:tr w:rsidR="00380F9F" w:rsidRPr="00380F9F" w14:paraId="5B3D35C1" w14:textId="77777777" w:rsidTr="000D6F95">
        <w:trPr>
          <w:jc w:val="center"/>
        </w:trPr>
        <w:tc>
          <w:tcPr>
            <w:tcW w:w="2410" w:type="dxa"/>
          </w:tcPr>
          <w:p w14:paraId="34B881FC" w14:textId="77777777" w:rsidR="00380F9F" w:rsidRPr="00380F9F" w:rsidRDefault="00380F9F" w:rsidP="00380F9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Arial" w:eastAsia="Times New Roman" w:hAnsi="Arial" w:cs="Arial"/>
                <w:b/>
                <w:sz w:val="20"/>
                <w:szCs w:val="20"/>
              </w:rPr>
            </w:pPr>
            <w:r w:rsidRPr="00380F9F">
              <w:rPr>
                <w:rFonts w:ascii="Arial" w:eastAsia="Times New Roman" w:hAnsi="Arial" w:cs="Arial"/>
                <w:b/>
                <w:sz w:val="20"/>
                <w:szCs w:val="20"/>
              </w:rPr>
              <w:t>Abstracted dimensions</w:t>
            </w:r>
          </w:p>
        </w:tc>
        <w:tc>
          <w:tcPr>
            <w:tcW w:w="4961" w:type="dxa"/>
          </w:tcPr>
          <w:p w14:paraId="255F7CA3" w14:textId="77777777" w:rsidR="00380F9F" w:rsidRPr="00380F9F" w:rsidRDefault="00380F9F" w:rsidP="00380F9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both"/>
              <w:textAlignment w:val="baseline"/>
              <w:rPr>
                <w:rFonts w:ascii="Arial" w:eastAsia="Times New Roman" w:hAnsi="Arial" w:cs="Arial"/>
                <w:b/>
                <w:sz w:val="20"/>
                <w:szCs w:val="20"/>
              </w:rPr>
            </w:pPr>
            <w:r w:rsidRPr="00380F9F">
              <w:rPr>
                <w:rFonts w:ascii="Arial" w:eastAsia="Times New Roman" w:hAnsi="Arial" w:cs="Arial"/>
                <w:b/>
                <w:sz w:val="20"/>
                <w:szCs w:val="20"/>
              </w:rPr>
              <w:t xml:space="preserve">Relevant network requirements </w:t>
            </w:r>
          </w:p>
        </w:tc>
      </w:tr>
      <w:tr w:rsidR="00380F9F" w:rsidRPr="00380F9F" w14:paraId="1A3E4B98" w14:textId="77777777" w:rsidTr="000D6F95">
        <w:trPr>
          <w:jc w:val="center"/>
        </w:trPr>
        <w:tc>
          <w:tcPr>
            <w:tcW w:w="2410" w:type="dxa"/>
          </w:tcPr>
          <w:p w14:paraId="56442453"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Bandwidth</w:t>
            </w:r>
          </w:p>
        </w:tc>
        <w:tc>
          <w:tcPr>
            <w:tcW w:w="4961" w:type="dxa"/>
          </w:tcPr>
          <w:p w14:paraId="0F325D9F"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Bandwidth; capacity; QoE; QoS; flexibility; and adaptable transport </w:t>
            </w:r>
          </w:p>
        </w:tc>
      </w:tr>
      <w:tr w:rsidR="00380F9F" w:rsidRPr="00380F9F" w14:paraId="39E00839" w14:textId="77777777" w:rsidTr="000D6F95">
        <w:trPr>
          <w:jc w:val="center"/>
        </w:trPr>
        <w:tc>
          <w:tcPr>
            <w:tcW w:w="2410" w:type="dxa"/>
          </w:tcPr>
          <w:p w14:paraId="62E6CDD9"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Time</w:t>
            </w:r>
          </w:p>
        </w:tc>
        <w:tc>
          <w:tcPr>
            <w:tcW w:w="4961" w:type="dxa"/>
          </w:tcPr>
          <w:p w14:paraId="4B73F08C"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Latency; synchronisation; jitter; accuracy; scheduling; coordination; and geolocation accuracy</w:t>
            </w:r>
          </w:p>
        </w:tc>
      </w:tr>
      <w:tr w:rsidR="00380F9F" w:rsidRPr="00380F9F" w14:paraId="59C4E4A0" w14:textId="77777777" w:rsidTr="000D6F95">
        <w:trPr>
          <w:jc w:val="center"/>
        </w:trPr>
        <w:tc>
          <w:tcPr>
            <w:tcW w:w="2410" w:type="dxa"/>
          </w:tcPr>
          <w:p w14:paraId="62A8329E"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Security</w:t>
            </w:r>
          </w:p>
        </w:tc>
        <w:tc>
          <w:tcPr>
            <w:tcW w:w="4961" w:type="dxa"/>
          </w:tcPr>
          <w:p w14:paraId="69AAD547"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Security; privacy; reliability; trustworthiness; resilience; traceability; and lawful intercept</w:t>
            </w:r>
          </w:p>
        </w:tc>
      </w:tr>
      <w:tr w:rsidR="00380F9F" w:rsidRPr="00380F9F" w14:paraId="04533510" w14:textId="77777777" w:rsidTr="000D6F95">
        <w:trPr>
          <w:jc w:val="center"/>
        </w:trPr>
        <w:tc>
          <w:tcPr>
            <w:tcW w:w="2410" w:type="dxa"/>
          </w:tcPr>
          <w:p w14:paraId="7183B42D"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AI</w:t>
            </w:r>
          </w:p>
        </w:tc>
        <w:tc>
          <w:tcPr>
            <w:tcW w:w="4961" w:type="dxa"/>
          </w:tcPr>
          <w:p w14:paraId="64A40B52"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Computation at edge; storage; modelling; collection and analytics for network programmability and management</w:t>
            </w:r>
          </w:p>
        </w:tc>
      </w:tr>
      <w:tr w:rsidR="00380F9F" w:rsidRPr="00380F9F" w14:paraId="20E2C2A1" w14:textId="77777777" w:rsidTr="000D6F95">
        <w:trPr>
          <w:jc w:val="center"/>
        </w:trPr>
        <w:tc>
          <w:tcPr>
            <w:tcW w:w="2410" w:type="dxa"/>
          </w:tcPr>
          <w:p w14:paraId="07276C5A"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ManyNets </w:t>
            </w:r>
          </w:p>
        </w:tc>
        <w:tc>
          <w:tcPr>
            <w:tcW w:w="4961" w:type="dxa"/>
          </w:tcPr>
          <w:p w14:paraId="0E745B64" w14:textId="77777777" w:rsidR="00380F9F" w:rsidRPr="00380F9F" w:rsidRDefault="00380F9F" w:rsidP="00380F9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rPr>
                <w:rFonts w:ascii="Arial" w:eastAsia="Times New Roman" w:hAnsi="Arial" w:cs="Arial"/>
                <w:sz w:val="20"/>
                <w:szCs w:val="20"/>
              </w:rPr>
            </w:pPr>
            <w:r w:rsidRPr="00380F9F">
              <w:rPr>
                <w:rFonts w:ascii="Arial" w:eastAsia="Times New Roman" w:hAnsi="Arial" w:cs="Arial"/>
                <w:sz w:val="20"/>
                <w:szCs w:val="20"/>
              </w:rPr>
              <w:t xml:space="preserve">Addressing; mobility; network interface; multiple RATs and heterogeneous network and computing convergence. </w:t>
            </w:r>
          </w:p>
        </w:tc>
      </w:tr>
    </w:tbl>
    <w:p w14:paraId="36514FEA" w14:textId="77777777" w:rsidR="00380F9F" w:rsidRPr="00380F9F" w:rsidRDefault="00380F9F" w:rsidP="00380F9F">
      <w:pPr>
        <w:jc w:val="both"/>
        <w:rPr>
          <w:rFonts w:ascii="Arial" w:eastAsiaTheme="minorEastAsia" w:hAnsi="Arial" w:cs="Arial"/>
        </w:rPr>
      </w:pPr>
    </w:p>
    <w:p w14:paraId="68738B0A" w14:textId="77777777" w:rsidR="00380F9F" w:rsidRPr="00380F9F" w:rsidRDefault="00380F9F" w:rsidP="00380F9F">
      <w:pPr>
        <w:jc w:val="both"/>
        <w:rPr>
          <w:rFonts w:ascii="Arial" w:eastAsia="MS Mincho" w:hAnsi="Arial" w:cs="Arial"/>
        </w:rPr>
      </w:pPr>
      <w:r w:rsidRPr="00380F9F">
        <w:rPr>
          <w:rFonts w:ascii="Arial" w:eastAsiaTheme="minorEastAsia" w:hAnsi="Arial" w:cs="Arial"/>
        </w:rPr>
        <w:t xml:space="preserve">The relative scores for these five dimensions, ranging from 1 to 10, are shown in Figure 3-1, where all the scores are given according to the relative importance of a specific network requirement: 1 to 3 are for relatively LOW requirement; 4 to 6 are for MEDIUM requirement; 7 to 9 are for relatively HIGH requirement; and 10 means EXTREMELY demanding requirement. The detailed and absolute values of the requirements associated with each use case are provided in </w:t>
      </w:r>
      <w:r w:rsidRPr="00C42C17">
        <w:rPr>
          <w:rFonts w:ascii="Arial" w:eastAsiaTheme="minorEastAsia" w:hAnsi="Arial" w:cs="Arial"/>
        </w:rPr>
        <w:t>[C3-18].</w:t>
      </w:r>
    </w:p>
    <w:p w14:paraId="33A9DFF7" w14:textId="33A92CC4" w:rsidR="00380F9F" w:rsidRDefault="00030F8D" w:rsidP="00380F9F">
      <w:pPr>
        <w:rPr>
          <w:rFonts w:eastAsiaTheme="minorEastAsia"/>
        </w:rPr>
      </w:pPr>
      <w:r w:rsidRPr="00EB0351">
        <w:rPr>
          <w:noProof/>
          <w:lang w:eastAsia="en-GB"/>
        </w:rPr>
        <w:drawing>
          <wp:inline distT="0" distB="0" distL="0" distR="0" wp14:anchorId="7C27290D" wp14:editId="19C0BC59">
            <wp:extent cx="5731510" cy="350837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508375"/>
                    </a:xfrm>
                    <a:prstGeom prst="rect">
                      <a:avLst/>
                    </a:prstGeom>
                  </pic:spPr>
                </pic:pic>
              </a:graphicData>
            </a:graphic>
          </wp:inline>
        </w:drawing>
      </w:r>
    </w:p>
    <w:p w14:paraId="1701DEB3" w14:textId="77777777" w:rsidR="00380F9F" w:rsidRPr="00380F9F" w:rsidRDefault="00380F9F" w:rsidP="00380F9F">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rPr>
          <w:rFonts w:ascii="Arial" w:eastAsia="Times New Roman" w:hAnsi="Arial" w:cs="Arial"/>
          <w:b/>
          <w:sz w:val="20"/>
          <w:szCs w:val="20"/>
          <w:lang w:eastAsia="zh-CN"/>
        </w:rPr>
      </w:pPr>
      <w:r w:rsidRPr="00380F9F">
        <w:rPr>
          <w:rFonts w:ascii="Arial" w:eastAsia="Times New Roman" w:hAnsi="Arial" w:cs="Arial"/>
          <w:b/>
          <w:sz w:val="20"/>
          <w:szCs w:val="20"/>
          <w:lang w:eastAsia="zh-CN"/>
        </w:rPr>
        <w:t>Figure 3-1 Relative network requirement scores for the seven representative use cases – reverse spider graph representation, copied from [C3-18]</w:t>
      </w:r>
    </w:p>
    <w:p w14:paraId="3DC935F2" w14:textId="11280F29" w:rsidR="00380F9F" w:rsidRDefault="00380F9F" w:rsidP="00380F9F">
      <w:pPr>
        <w:rPr>
          <w:lang w:eastAsia="de-DE"/>
        </w:rPr>
      </w:pPr>
    </w:p>
    <w:p w14:paraId="6B27523D" w14:textId="59B5A9C5" w:rsidR="00380F9F" w:rsidRDefault="00380F9F" w:rsidP="00380F9F">
      <w:pPr>
        <w:pStyle w:val="Heading2"/>
        <w:rPr>
          <w:lang w:eastAsia="de-DE"/>
        </w:rPr>
      </w:pPr>
      <w:bookmarkStart w:id="67" w:name="_Toc40701654"/>
      <w:bookmarkStart w:id="68" w:name="_Toc42177232"/>
      <w:r w:rsidRPr="00380F9F">
        <w:rPr>
          <w:lang w:eastAsia="de-DE"/>
        </w:rPr>
        <w:t>Digital Service Transformation</w:t>
      </w:r>
      <w:bookmarkEnd w:id="67"/>
      <w:bookmarkEnd w:id="68"/>
    </w:p>
    <w:p w14:paraId="293EDB7C" w14:textId="77777777" w:rsidR="00C42C17" w:rsidRPr="00C42C17" w:rsidRDefault="00C42C17" w:rsidP="00C42C17">
      <w:pPr>
        <w:rPr>
          <w:lang w:eastAsia="de-DE"/>
        </w:rPr>
      </w:pPr>
    </w:p>
    <w:p w14:paraId="5E8AD962"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Telecommunication networks have been regarded an essential pillar of any society’s infrastructure to progress and sustain its economic growth. Millions of people rely on the </w:t>
      </w:r>
      <w:r w:rsidRPr="00380F9F">
        <w:rPr>
          <w:rFonts w:ascii="Arial" w:eastAsiaTheme="minorEastAsia" w:hAnsi="Arial" w:cs="Arial"/>
          <w:color w:val="000000" w:themeColor="text1"/>
        </w:rPr>
        <w:lastRenderedPageBreak/>
        <w:t>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4G/LTE,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 Future networks, evolution of cloud computing, any type of connected object and the strategic use of data and analytics are the foundations of the digital disruption.</w:t>
      </w:r>
    </w:p>
    <w:p w14:paraId="0FC25BBF"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The envisaged trend is the convergence of these foundations and their complete fusion in an ICT continuum platform. We already perceive this trend. Public clouds have become mainstream today and cloud computing evolves towards hybrid models, combining private clouds and being extended towards the micro edge clouds with lighter virtualisation 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w:t>
      </w:r>
      <w:r w:rsidRPr="00380F9F">
        <w:rPr>
          <w:rFonts w:ascii="Arial" w:eastAsiaTheme="minorEastAsia" w:hAnsi="Arial" w:cs="Arial"/>
          <w:i/>
          <w:iCs/>
          <w:color w:val="000000" w:themeColor="text1"/>
        </w:rPr>
        <w:t>ICT continuum</w:t>
      </w:r>
      <w:r w:rsidRPr="00380F9F">
        <w:rPr>
          <w:rFonts w:ascii="Arial" w:eastAsiaTheme="minorEastAsia" w:hAnsi="Arial" w:cs="Arial"/>
          <w:color w:val="000000" w:themeColor="text1"/>
        </w:rPr>
        <w:t>.</w:t>
      </w:r>
    </w:p>
    <w:p w14:paraId="2E466B61" w14:textId="77777777" w:rsidR="00380F9F" w:rsidRPr="00380F9F" w:rsidRDefault="00380F9F" w:rsidP="00380F9F">
      <w:pPr>
        <w:autoSpaceDE w:val="0"/>
        <w:autoSpaceDN w:val="0"/>
        <w:adjustRightInd w:val="0"/>
        <w:spacing w:after="120" w:line="240" w:lineRule="auto"/>
        <w:jc w:val="both"/>
        <w:rPr>
          <w:rFonts w:ascii="Arial" w:eastAsia="Calibri" w:hAnsi="Arial" w:cs="Arial"/>
          <w:color w:val="000000" w:themeColor="text1"/>
          <w:lang w:eastAsia="es-ES"/>
        </w:rPr>
      </w:pPr>
      <w:r w:rsidRPr="00380F9F">
        <w:rPr>
          <w:rFonts w:ascii="Arial" w:eastAsiaTheme="minorEastAsia" w:hAnsi="Arial" w:cs="Arial"/>
          <w:color w:val="000000" w:themeColor="text1"/>
        </w:rPr>
        <w:t>In the same way that we observe insect swarms (like bees) coordinating their interactions, we expect the clouds, networks, IoT and data to enable multitudes of entities and devices to combine to form dynamic and intelligent collectives [C3-25]. One feature of this will be localised 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centralised information and control centres to optimise traffic flow and improve safety. It will give rise to connected smart systems that are able to share information and autonomously regulate their performance in a concerted fashion, with the objective of optimising results, solving problems and mitigating detected risks. Depending on the specific business use cases, data will either be processed in a distributed manner by algorithms hosted in hybrid clouds or be processed locally using algorithms hosted within or close to the connected objects and connected robots. Real-time data analytics and AI/ML will have a major impact in the automation, optimisation 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5E923C88"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As the world becomes ever more digitally and globally connected, industries of any sector (Healthcare, Energy, Manufacturing, Telecom, etc) are experiencing a digital transformation [C3-26].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[C3-27].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w:t>
      </w:r>
      <w:r w:rsidRPr="00380F9F">
        <w:rPr>
          <w:rFonts w:ascii="Arial" w:eastAsiaTheme="minorEastAsia" w:hAnsi="Arial" w:cs="Arial"/>
          <w:color w:val="000000" w:themeColor="text1"/>
        </w:rPr>
        <w:lastRenderedPageBreak/>
        <w:t>to reach a market outside the consumer’s area, the CSPs need to create strategic alliances with the vertical stakeholders to build and offer B2B2X (Business-to-Business-to-X) proposition in vertical sectors.</w:t>
      </w:r>
    </w:p>
    <w:p w14:paraId="2B291482"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However, the telecom community continues selling a lot of technology rather than solutions that enterprises want. Digital transformation is more than a technology drive, it encompasses end-to-end IT processes, automated operations, infrastructure management, human skills and corporate culture [C3-28]. CSP need to digitally transform the internal organisation – we have seen actions on this direction with flexible DevOps, Zero Touch management – and also adapt the external language to properly communicate to vertical sectors.</w:t>
      </w:r>
    </w:p>
    <w:p w14:paraId="620496AB" w14:textId="77777777" w:rsidR="00380F9F" w:rsidRPr="00380F9F" w:rsidRDefault="00380F9F" w:rsidP="00380F9F">
      <w:pPr>
        <w:autoSpaceDE w:val="0"/>
        <w:autoSpaceDN w:val="0"/>
        <w:adjustRightInd w:val="0"/>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6514F6FC" w14:textId="77777777" w:rsidR="00380F9F" w:rsidRPr="00380F9F" w:rsidRDefault="00380F9F" w:rsidP="00380F9F">
      <w:pPr>
        <w:autoSpaceDE w:val="0"/>
        <w:autoSpaceDN w:val="0"/>
        <w:adjustRightInd w:val="0"/>
        <w:spacing w:after="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[C3-29].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 to create innovative offerings. Bearing in mind the changes due to this ICT continuum and dynamic digital environment, there is a need for a new generation of service and network solutions for both operational and business management that enable the partnership of CSPs and vertical stakeholders while keeping an overall service assurance and carrier-grade reliability and performance.</w:t>
      </w:r>
    </w:p>
    <w:p w14:paraId="70540BB8" w14:textId="77777777" w:rsidR="00380F9F" w:rsidRPr="00380F9F" w:rsidRDefault="00380F9F" w:rsidP="00380F9F">
      <w:pPr>
        <w:spacing w:after="0" w:line="240" w:lineRule="auto"/>
        <w:jc w:val="both"/>
        <w:rPr>
          <w:rFonts w:ascii="Arial" w:eastAsiaTheme="minorEastAsia" w:hAnsi="Arial" w:cs="Arial"/>
          <w:color w:val="000000" w:themeColor="text1"/>
          <w:sz w:val="24"/>
          <w:szCs w:val="24"/>
        </w:rPr>
      </w:pPr>
    </w:p>
    <w:p w14:paraId="50A4F43A" w14:textId="37A4CFEB" w:rsidR="00030F8D" w:rsidRDefault="00030F8D" w:rsidP="00030F8D">
      <w:pPr>
        <w:pStyle w:val="Heading2"/>
        <w:rPr>
          <w:lang w:eastAsia="de-DE"/>
        </w:rPr>
      </w:pPr>
      <w:bookmarkStart w:id="69" w:name="_Ref510686185"/>
      <w:bookmarkStart w:id="70" w:name="_Ref510686196"/>
      <w:bookmarkStart w:id="71" w:name="_Toc42177233"/>
      <w:bookmarkStart w:id="72" w:name="_Toc40701656"/>
      <w:r w:rsidRPr="00380F9F">
        <w:rPr>
          <w:lang w:eastAsia="de-DE"/>
        </w:rPr>
        <w:t>From Software-Centric to Human-Centric Internet Services</w:t>
      </w:r>
      <w:bookmarkEnd w:id="69"/>
      <w:bookmarkEnd w:id="70"/>
      <w:bookmarkEnd w:id="71"/>
    </w:p>
    <w:p w14:paraId="48C9415D" w14:textId="77777777" w:rsidR="00C42C17" w:rsidRPr="00C42C17" w:rsidRDefault="00C42C17" w:rsidP="00C42C17">
      <w:pPr>
        <w:rPr>
          <w:lang w:eastAsia="de-DE"/>
        </w:rPr>
      </w:pPr>
    </w:p>
    <w:p w14:paraId="633A3D38"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The continuous technology evolution, the habits of the digital consumer and the volatile market, poses big challenges for the enterprise to become more competitive and profitable; this will not be possible if organisations do not bet for innovation. Human Centric innovation supports customers and communities in creating a prosperous and sustainable future where people are always connected. Human centric means empowering individuals and facilitate its interactions in digital services [C3-42]. </w:t>
      </w:r>
    </w:p>
    <w:p w14:paraId="068567F0" w14:textId="79661545" w:rsidR="00030F8D" w:rsidRPr="00380F9F" w:rsidRDefault="00030F8D" w:rsidP="00030F8D">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szCs w:val="24"/>
        </w:rPr>
        <w:t xml:space="preserve">The evolution of Internet pushed by Europe must incorporate the EU values that represent our Society and respect the rights of EU citizens. Any technical solutions must achieve the necessary levels of trustworthiness, resilience, openness, transparency and dependability while inclusive and respectful with diversity [C3-41]. These concepts must be translated to technical requirements of future networks. Today the concept of innovation only as the incorporation of a set of tools or management solutions is erroneous. The techno-social </w:t>
      </w:r>
      <w:r w:rsidRPr="00380F9F">
        <w:rPr>
          <w:rFonts w:ascii="Arial" w:eastAsiaTheme="minorEastAsia" w:hAnsi="Arial" w:cs="Arial"/>
          <w:color w:val="000000" w:themeColor="text1"/>
          <w:szCs w:val="24"/>
        </w:rPr>
        <w:lastRenderedPageBreak/>
        <w:t xml:space="preserve">revolution should help customers to become more innovative and to help in the evolution of the digitalisation. </w:t>
      </w:r>
      <w:r w:rsidRPr="00380F9F">
        <w:rPr>
          <w:rFonts w:ascii="Arial" w:eastAsiaTheme="minorEastAsia" w:hAnsi="Arial" w:cs="Arial"/>
          <w:color w:val="000000" w:themeColor="text1"/>
        </w:rPr>
        <w:t>As discussed in the previous section, we envisage a globally-connected continuum platform to enable new future digital services. This continuum must provide users with greater level of control, be more transparent in interactions with digital services (for instance search AI-based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r w:rsidRPr="00380F9F">
        <w:rPr>
          <w:rFonts w:eastAsiaTheme="minorEastAsia"/>
        </w:rPr>
        <w:t xml:space="preserve"> </w:t>
      </w:r>
    </w:p>
    <w:p w14:paraId="46F104E1"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These new paradigms will lead to a flexible and programmable architecture based to satisfy the large diversity of use cases and applications the different vertical industries will demand. New and heterogeneous services as the autonomous cars, Industry 4.0, smart cities, </w:t>
      </w:r>
      <w:r w:rsidRPr="00380F9F">
        <w:rPr>
          <w:rFonts w:ascii="Montserrat" w:eastAsiaTheme="minorEastAsia" w:hAnsi="Montserrat"/>
          <w:color w:val="1C282E"/>
          <w:shd w:val="clear" w:color="auto" w:fill="FFFFFF"/>
        </w:rPr>
        <w:t xml:space="preserve">immersive </w:t>
      </w:r>
      <w:r w:rsidRPr="00380F9F">
        <w:rPr>
          <w:rFonts w:ascii="Arial" w:eastAsiaTheme="minorEastAsia" w:hAnsi="Arial" w:cs="Arial"/>
          <w:color w:val="000000" w:themeColor="text1"/>
          <w:szCs w:val="24"/>
        </w:rPr>
        <w:t>and augmented reality, etc. will require networks beyond-5G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7550967"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In the same way, the future generation of networks (beyond 5G/6G) will go one step further from software-centric towards the concept of human-centric. Humans will be the central point and everything will revolve around humans. Human-centric business process management is an approach that considers human skills and activities first and uses automated functions to support them. Benefits can include reduced risks, higher rates of compliance, enhanced management support and improved interaction with users.</w:t>
      </w:r>
    </w:p>
    <w:p w14:paraId="045669D9"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We envision that the future networks will be human in the sense that people will interact with them as they currently do with other humans. The network interfaces will recognise not only the order via commands or voice as nowadays but also gestures or moods and will be able to react based on them as it is done in a human-human communication. This extremely valuable information will be used to provide fully customised 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2274A81"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And this is only an example. Another service that goes beyond would be the ”mind to mind communication” between human brains. In terms of services, right now the list of potential applications in beyond 5G networks fall in the field of science fiction, being one of the most present the ”mind to mind communication”.</w:t>
      </w:r>
    </w:p>
    <w:p w14:paraId="3861F1D5" w14:textId="77777777" w:rsidR="00030F8D" w:rsidRPr="00380F9F" w:rsidRDefault="00030F8D" w:rsidP="00030F8D">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[C3-30] targeting ultra-high bandwidth brain-machine interfaces to connect humans and computers.</w:t>
      </w:r>
    </w:p>
    <w:p w14:paraId="20875059" w14:textId="77777777" w:rsidR="00030F8D" w:rsidRPr="00380F9F" w:rsidRDefault="00030F8D" w:rsidP="00030F8D">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Moreover, the limitation of the connectivity in certain areas, could be enhanced with the concept ”follow me network” identifying the user location, and adapting the pool of resources infrastructure improving network service, in terms of network coverage, whereby services are following users by creating ad-hoc networks with fixed and unmanned infrastructure. On the other hand, it will be needed to adapt the networks in terms of adaptability of resources to assure the service, but also identifying the limitation that the coverage might have, be able to </w:t>
      </w:r>
      <w:r w:rsidRPr="00380F9F">
        <w:rPr>
          <w:rFonts w:ascii="Arial" w:eastAsiaTheme="minorEastAsia" w:hAnsi="Arial" w:cs="Arial"/>
          <w:color w:val="000000" w:themeColor="text1"/>
          <w:szCs w:val="24"/>
        </w:rPr>
        <w:lastRenderedPageBreak/>
        <w:t>deprive some service capabilities to the most basic services, to assure the quality of the network and the best use of resources.</w:t>
      </w:r>
    </w:p>
    <w:p w14:paraId="02223A41" w14:textId="77777777" w:rsidR="00030F8D" w:rsidRPr="00380F9F" w:rsidRDefault="00030F8D" w:rsidP="00030F8D">
      <w:pPr>
        <w:spacing w:after="0" w:line="240" w:lineRule="auto"/>
        <w:jc w:val="both"/>
        <w:rPr>
          <w:rFonts w:ascii="Arial" w:eastAsiaTheme="minorEastAsia" w:hAnsi="Arial" w:cs="Arial"/>
          <w:color w:val="000000" w:themeColor="text1"/>
        </w:rPr>
      </w:pPr>
    </w:p>
    <w:p w14:paraId="15DC5FF2" w14:textId="3FE389E5" w:rsidR="00380F9F" w:rsidRDefault="00380F9F" w:rsidP="00380F9F">
      <w:pPr>
        <w:pStyle w:val="Heading2"/>
        <w:rPr>
          <w:lang w:eastAsia="de-DE"/>
        </w:rPr>
      </w:pPr>
      <w:bookmarkStart w:id="73" w:name="_Toc42177234"/>
      <w:r w:rsidRPr="00380F9F">
        <w:rPr>
          <w:lang w:eastAsia="de-DE"/>
        </w:rPr>
        <w:t>Services Everywhere, Infrastructure No Limits</w:t>
      </w:r>
      <w:bookmarkEnd w:id="72"/>
      <w:bookmarkEnd w:id="73"/>
    </w:p>
    <w:p w14:paraId="172DDF19" w14:textId="77777777" w:rsidR="00C42C17" w:rsidRPr="00C42C17" w:rsidRDefault="00C42C17" w:rsidP="00C42C17">
      <w:pPr>
        <w:rPr>
          <w:lang w:eastAsia="de-DE"/>
        </w:rPr>
      </w:pPr>
    </w:p>
    <w:p w14:paraId="42599344" w14:textId="3FBE9981"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In today’s society, people are relying their entire daily living on the use of digital services and apps. Digital users are becoming increasingly dependent upon Internet services and moreover connectivity to those services – and this trend is clearly set to increase. </w:t>
      </w:r>
      <w:r w:rsidRPr="00380F9F">
        <w:rPr>
          <w:rFonts w:ascii="Arial" w:eastAsiaTheme="minorEastAsia" w:hAnsi="Arial" w:cs="Arial"/>
          <w:color w:val="000000" w:themeColor="text1"/>
          <w:szCs w:val="24"/>
        </w:rPr>
        <w:fldChar w:fldCharType="begin"/>
      </w:r>
      <w:r w:rsidRPr="00380F9F">
        <w:rPr>
          <w:rFonts w:ascii="Arial" w:eastAsiaTheme="minorEastAsia" w:hAnsi="Arial" w:cs="Arial"/>
          <w:color w:val="000000" w:themeColor="text1"/>
          <w:szCs w:val="24"/>
        </w:rPr>
        <w:instrText xml:space="preserve"> REF _Ref511047621 \r \h </w:instrText>
      </w:r>
      <w:r w:rsidRPr="00380F9F">
        <w:rPr>
          <w:rFonts w:ascii="Arial" w:eastAsiaTheme="minorEastAsia" w:hAnsi="Arial" w:cs="Arial"/>
          <w:color w:val="000000" w:themeColor="text1"/>
          <w:szCs w:val="24"/>
        </w:rPr>
      </w:r>
      <w:r w:rsidRPr="00380F9F">
        <w:rPr>
          <w:rFonts w:ascii="Arial" w:eastAsiaTheme="minorEastAsia" w:hAnsi="Arial" w:cs="Arial"/>
          <w:color w:val="000000" w:themeColor="text1"/>
          <w:szCs w:val="24"/>
        </w:rPr>
        <w:fldChar w:fldCharType="separate"/>
      </w:r>
      <w:r w:rsidR="003F0180">
        <w:rPr>
          <w:rFonts w:ascii="Arial" w:eastAsiaTheme="minorEastAsia" w:hAnsi="Arial" w:cs="Arial"/>
          <w:color w:val="000000" w:themeColor="text1"/>
          <w:szCs w:val="24"/>
        </w:rPr>
        <w:t>0</w:t>
      </w:r>
      <w:r w:rsidRPr="00380F9F">
        <w:rPr>
          <w:rFonts w:ascii="Arial" w:eastAsiaTheme="minorEastAsia" w:hAnsi="Arial" w:cs="Arial"/>
          <w:color w:val="000000" w:themeColor="text1"/>
          <w:szCs w:val="24"/>
        </w:rPr>
        <w:fldChar w:fldCharType="end"/>
      </w:r>
      <w:r w:rsidRPr="00380F9F">
        <w:rPr>
          <w:rFonts w:ascii="Arial" w:eastAsiaTheme="minorEastAsia" w:hAnsi="Arial" w:cs="Arial"/>
          <w:color w:val="000000" w:themeColor="text1"/>
          <w:szCs w:val="24"/>
        </w:rPr>
        <w:t xml:space="preserve"> depicts the global digital population (in millions) worldwide in January 2018.</w:t>
      </w:r>
    </w:p>
    <w:p w14:paraId="01737511" w14:textId="77777777" w:rsidR="00380F9F" w:rsidRPr="00380F9F" w:rsidRDefault="00380F9F" w:rsidP="00380F9F">
      <w:pPr>
        <w:spacing w:after="120" w:line="240" w:lineRule="auto"/>
        <w:ind w:left="426"/>
        <w:jc w:val="center"/>
        <w:rPr>
          <w:rFonts w:ascii="Arial" w:eastAsiaTheme="minorEastAsia" w:hAnsi="Arial" w:cs="Arial"/>
          <w:color w:val="000000" w:themeColor="text1"/>
        </w:rPr>
      </w:pPr>
      <w:r w:rsidRPr="00380F9F">
        <w:rPr>
          <w:rFonts w:ascii="Arial" w:eastAsiaTheme="minorEastAsia" w:hAnsi="Arial" w:cs="Arial"/>
          <w:noProof/>
          <w:color w:val="000000" w:themeColor="text1"/>
          <w:lang w:eastAsia="en-GB"/>
        </w:rPr>
        <w:drawing>
          <wp:inline distT="0" distB="0" distL="0" distR="0" wp14:anchorId="3EF7E541" wp14:editId="4722C694">
            <wp:extent cx="4741200" cy="2988000"/>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455ECD17" w14:textId="77777777" w:rsidR="00380F9F" w:rsidRPr="00380F9F" w:rsidRDefault="00380F9F" w:rsidP="00C42C17">
      <w:pPr>
        <w:spacing w:after="0" w:line="240" w:lineRule="auto"/>
        <w:ind w:right="2222"/>
        <w:jc w:val="center"/>
        <w:rPr>
          <w:rFonts w:ascii="Arial" w:eastAsiaTheme="minorEastAsia" w:hAnsi="Arial" w:cs="Arial"/>
          <w:b/>
        </w:rPr>
      </w:pPr>
      <w:bookmarkStart w:id="74" w:name="_Ref511047621"/>
      <w:r w:rsidRPr="00380F9F">
        <w:rPr>
          <w:rFonts w:ascii="Arial" w:eastAsiaTheme="minorEastAsia" w:hAnsi="Arial" w:cs="Arial"/>
          <w:b/>
        </w:rPr>
        <w:t xml:space="preserve">Figure 3-2 Global digital population </w:t>
      </w:r>
      <w:bookmarkEnd w:id="74"/>
      <w:r w:rsidRPr="00380F9F">
        <w:rPr>
          <w:rFonts w:ascii="Arial" w:eastAsiaTheme="minorEastAsia" w:hAnsi="Arial" w:cs="Arial"/>
          <w:b/>
        </w:rPr>
        <w:t>[C3-31]</w:t>
      </w:r>
    </w:p>
    <w:p w14:paraId="60EEC2DF" w14:textId="77777777" w:rsidR="00380F9F" w:rsidRPr="00380F9F" w:rsidRDefault="00380F9F" w:rsidP="00380F9F">
      <w:pPr>
        <w:spacing w:after="0" w:line="240" w:lineRule="auto"/>
        <w:jc w:val="both"/>
        <w:rPr>
          <w:rFonts w:ascii="Arial" w:eastAsiaTheme="minorEastAsia" w:hAnsi="Arial" w:cs="Arial"/>
          <w:color w:val="000000" w:themeColor="text1"/>
          <w:szCs w:val="24"/>
        </w:rPr>
      </w:pPr>
    </w:p>
    <w:p w14:paraId="42B6D04F"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szCs w:val="24"/>
        </w:rPr>
        <w:t>Moreover, we have entered in an era, that we are not conscious of the necessity until the industry creates a new product or service that enters in our day-to-day life and rapidly becomes totally necessary. The benefits to the society have become obvious during the last years, even the users that were not born into the digital world, and has ”survived” without the use of all these Internet services for their work and life, now we raised the question how did we previously survive without it? The main innovation is not just only to innovate with the youngest population, also to empower a more mature generation, and support them with easier use of the technology.</w:t>
      </w:r>
    </w:p>
    <w:p w14:paraId="7A6244BB"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The potential and power of technology focus on the optimisation of the resources from time consuming, energy saving, reduce uncertainty, predict problems, generate experience or easier interaction, in order to provide a more productive environment. Around all these processes,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26F3B890" w14:textId="77777777" w:rsidR="00380F9F" w:rsidRPr="00380F9F" w:rsidRDefault="00380F9F" w:rsidP="00380F9F">
      <w:pPr>
        <w:spacing w:after="12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 xml:space="preserve">The digitalisation is making disruptive changes to traditional industries, products are offered on top of operators’ networks. This necessity is increasing, with the digital connected society the market segment where any type of service is bringing a new level of technological sophistication to be able to access to all connected devices (robotics, immersive reality, IoT devices, autonomous vehicles), and the services acquired through the Internet: booking reservations (hotels, concerts, congress), financial, communication or social functions. The </w:t>
      </w:r>
      <w:r w:rsidRPr="00380F9F">
        <w:rPr>
          <w:rFonts w:ascii="Arial" w:eastAsiaTheme="minorEastAsia" w:hAnsi="Arial" w:cs="Arial"/>
          <w:color w:val="000000" w:themeColor="text1"/>
          <w:szCs w:val="24"/>
        </w:rPr>
        <w:lastRenderedPageBreak/>
        <w:t>current IT infrastructure is not designed to support this intelligence everywhere; some architectural transformation and renewed focus on hardware and exploitation of communication regulations will empower companies to build the new future communication system.</w:t>
      </w:r>
    </w:p>
    <w:p w14:paraId="6EFC4540" w14:textId="77777777" w:rsidR="00380F9F" w:rsidRPr="00380F9F" w:rsidRDefault="00380F9F" w:rsidP="00380F9F">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szCs w:val="24"/>
        </w:rPr>
        <w:t>At the same time, where connectivity brings convenience, it also brings challenges to cope with the increasing demand the infrastructure should cover.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 – and it needs to happen now. Small Cells (SC) are playing a vital role in the future growth of private networks to better serve densely-populated areas or dedicated critical enterprise services, as part of the orchestration framework can reduce those costs by adding capacity to the network instead of new use of spectrum. The Distributed Antenna System (DAS) with SC can serve more than one mobile operator (neutral host model), so it can provide coverage and capacity for multiple carries, providing multi-tenancy. The new SC can increase the wireless backhaul, capacity and speed, locating the antennas close to the end-user and dynamically allocate the network capacity in the flexible C-RAN (Cloud-RAN) while delivering substantial cost savings in comparison to traditional distributed RAN, with the split in centralized units (CU), distributed unit (DU) and radio unit (RU).  SC will be at a lower power and can eliminate the need of wire connection to many equipment. The use of shared and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will improve the network capacity and user experience, by relying in a SC controller-based architecture of those resources. To achieve the required network densification and coverage expansion to support no-limit connectivity scenarios, it is necessary to enable more affordable SC deployments of private networks by the usage of white-box approaches with open hardware and open source software platforms at RAN, Edge and Network Management. The rise of private and enterprise networks to support industrial and engineering use cases will be a key driver for telecom industry increasingly enabled by emerging shared spectrum. There will be not only the established CSPs controlling the massive deployment of SC but new actors such as private operators and neutral hosts will be also controlling many new cells for efficient indoor scenarios in Manufacturing, Retail, Transport, Smartcities or Healthcare sectors.</w:t>
      </w:r>
    </w:p>
    <w:p w14:paraId="5EF99964" w14:textId="77777777" w:rsidR="00380F9F" w:rsidRPr="00380F9F" w:rsidRDefault="00380F9F" w:rsidP="00380F9F">
      <w:pPr>
        <w:spacing w:after="0" w:line="240" w:lineRule="auto"/>
        <w:jc w:val="both"/>
        <w:rPr>
          <w:rFonts w:ascii="Arial" w:eastAsiaTheme="minorEastAsia" w:hAnsi="Arial" w:cs="Arial"/>
          <w:szCs w:val="24"/>
        </w:rPr>
      </w:pPr>
    </w:p>
    <w:p w14:paraId="287E75F5" w14:textId="585857E8" w:rsidR="00380F9F" w:rsidRDefault="00380F9F" w:rsidP="00C42C17">
      <w:pPr>
        <w:pStyle w:val="Heading2"/>
        <w:rPr>
          <w:lang w:eastAsia="de-DE"/>
        </w:rPr>
      </w:pPr>
      <w:bookmarkStart w:id="75" w:name="_Toc509240218"/>
      <w:bookmarkStart w:id="76" w:name="_Toc40701657"/>
      <w:bookmarkStart w:id="77" w:name="_Toc42177235"/>
      <w:r w:rsidRPr="00C42C17">
        <w:rPr>
          <w:lang w:eastAsia="de-DE"/>
        </w:rPr>
        <w:t>Network-Unaware Vertical Services</w:t>
      </w:r>
      <w:bookmarkEnd w:id="75"/>
      <w:bookmarkEnd w:id="76"/>
      <w:bookmarkEnd w:id="77"/>
    </w:p>
    <w:p w14:paraId="50314076" w14:textId="77777777" w:rsidR="00C42C17" w:rsidRPr="00C42C17" w:rsidRDefault="00C42C17" w:rsidP="00C42C17">
      <w:pPr>
        <w:rPr>
          <w:lang w:eastAsia="de-DE"/>
        </w:rPr>
      </w:pPr>
    </w:p>
    <w:p w14:paraId="16800FAC"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customised service, empowering different verticals, such as high-quality multimedia on demand, health (remote surgery use cases), manufacturing (digital twins in Industry 4.0) or automotive industry (autonomous driving or connected cars).</w:t>
      </w:r>
    </w:p>
    <w:p w14:paraId="49E600E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However, higher levels of abstraction are envisioned to be in place towards the verticals to make this process for them in a fully automatic and network unaware mode. A vertical stakeholder, which could be, even more in the coming years than now, not necessarily a business entity, but an individual, will not want to speak the language to request concrete </w:t>
      </w:r>
      <w:r w:rsidRPr="00380F9F">
        <w:rPr>
          <w:rFonts w:ascii="Arial" w:eastAsiaTheme="minorEastAsia" w:hAnsi="Arial" w:cs="Arial"/>
          <w:color w:val="000000" w:themeColor="text1"/>
        </w:rPr>
        <w:lastRenderedPageBreak/>
        <w:t>network requirements for each of their requesting network services for his/her vertical applications.</w:t>
      </w:r>
    </w:p>
    <w:p w14:paraId="17BD08A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Those higher levels of abstraction will be part of a network agnostic automation process that will be needed to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AI/ML techniques will continuously improve application service delivery.</w:t>
      </w:r>
    </w:p>
    <w:p w14:paraId="4A013EF0"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a self-driven platform and will also perform proactive business actions such as fault isolation, prevention across multi-layer and multi-vendor environments, fraud detections, deal with trust areas, hybrid orchestrations for a global optimisation of services at scale. The combination of an intent-driven approach and AI/ML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2CD86258" w14:textId="77777777" w:rsidR="00380F9F" w:rsidRPr="00380F9F" w:rsidRDefault="00380F9F" w:rsidP="00380F9F">
      <w:pPr>
        <w:spacing w:after="0" w:line="240" w:lineRule="auto"/>
        <w:jc w:val="both"/>
        <w:rPr>
          <w:rFonts w:ascii="Arial" w:eastAsiaTheme="minorEastAsia" w:hAnsi="Arial" w:cs="Arial"/>
          <w:color w:val="000000" w:themeColor="text1"/>
          <w:szCs w:val="24"/>
        </w:rPr>
      </w:pPr>
      <w:r w:rsidRPr="00380F9F">
        <w:rPr>
          <w:rFonts w:ascii="Arial" w:eastAsiaTheme="minorEastAsia" w:hAnsi="Arial" w:cs="Arial"/>
          <w:color w:val="000000" w:themeColor="text1"/>
        </w:rPr>
        <w:t>In addition, the 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intelligent placement, traffic load balancing associated with link utilities, autonomic network operation, keeping dynamic flows in large-scale networks, etc. The platform will be able to even predict the future network situation for proactive controlling services performance and delivery reliability across multiple networks. This is a step towards self-driven networks for advanced network-unaware services.</w:t>
      </w:r>
    </w:p>
    <w:p w14:paraId="044185B1" w14:textId="77777777" w:rsidR="00380F9F" w:rsidRPr="00380F9F" w:rsidRDefault="00380F9F" w:rsidP="00380F9F">
      <w:pPr>
        <w:spacing w:after="0" w:line="240" w:lineRule="auto"/>
        <w:jc w:val="both"/>
        <w:rPr>
          <w:rFonts w:ascii="Arial" w:eastAsiaTheme="minorEastAsia" w:hAnsi="Arial" w:cs="Arial"/>
          <w:color w:val="000000" w:themeColor="text1"/>
        </w:rPr>
      </w:pPr>
    </w:p>
    <w:p w14:paraId="60B281DC" w14:textId="750BB5D6" w:rsidR="00380F9F" w:rsidRDefault="00380F9F" w:rsidP="00380F9F">
      <w:pPr>
        <w:pStyle w:val="Heading2"/>
        <w:rPr>
          <w:lang w:eastAsia="de-DE"/>
        </w:rPr>
      </w:pPr>
      <w:bookmarkStart w:id="78" w:name="_Toc40701658"/>
      <w:bookmarkStart w:id="79" w:name="_Toc42177236"/>
      <w:r w:rsidRPr="00380F9F">
        <w:rPr>
          <w:lang w:eastAsia="de-DE"/>
        </w:rPr>
        <w:t>Extreme Automation and Real-Time Zero-Touch Service Orchestration</w:t>
      </w:r>
      <w:bookmarkEnd w:id="78"/>
      <w:bookmarkEnd w:id="79"/>
    </w:p>
    <w:p w14:paraId="5D4BBD97" w14:textId="77777777" w:rsidR="00C42C17" w:rsidRPr="00C42C17" w:rsidRDefault="00C42C17" w:rsidP="00C42C17">
      <w:pPr>
        <w:rPr>
          <w:lang w:eastAsia="de-DE"/>
        </w:rPr>
      </w:pPr>
    </w:p>
    <w:p w14:paraId="3B2CB55B" w14:textId="77777777" w:rsidR="00380F9F" w:rsidRPr="00380F9F" w:rsidRDefault="00380F9F" w:rsidP="00380F9F">
      <w:pPr>
        <w:spacing w:after="120" w:line="240" w:lineRule="auto"/>
        <w:jc w:val="both"/>
        <w:rPr>
          <w:rFonts w:ascii="Arial" w:eastAsiaTheme="minorEastAsia" w:hAnsi="Arial" w:cs="Arial"/>
          <w:color w:val="000000" w:themeColor="text1"/>
          <w:sz w:val="20"/>
          <w:szCs w:val="20"/>
        </w:rPr>
      </w:pPr>
      <w:r w:rsidRPr="00380F9F">
        <w:rPr>
          <w:rFonts w:ascii="Arial" w:eastAsiaTheme="minorEastAsia" w:hAnsi="Arial" w:cs="Arial"/>
          <w:color w:val="000000" w:themeColor="text1"/>
        </w:rPr>
        <w:t>Future networks envisage going more and more into the need to support a ”hyper-connected world”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globalisation, trust, sustainability and automation are presented as main pillars</w:t>
      </w:r>
      <w:bookmarkStart w:id="80" w:name="_Ref511052094"/>
      <w:r w:rsidRPr="00380F9F">
        <w:rPr>
          <w:rFonts w:ascii="Arial" w:eastAsiaTheme="minorEastAsia" w:hAnsi="Arial" w:cs="Arial"/>
          <w:color w:val="000000" w:themeColor="text1"/>
          <w:sz w:val="20"/>
          <w:szCs w:val="20"/>
        </w:rPr>
        <w:t xml:space="preserve"> </w:t>
      </w:r>
      <w:bookmarkEnd w:id="80"/>
      <w:r w:rsidRPr="00380F9F">
        <w:rPr>
          <w:rFonts w:ascii="Arial" w:eastAsiaTheme="minorEastAsia" w:hAnsi="Arial" w:cs="Arial"/>
          <w:color w:val="000000" w:themeColor="text1"/>
          <w:sz w:val="20"/>
          <w:szCs w:val="20"/>
        </w:rPr>
        <w:t>[C3-25].</w:t>
      </w:r>
    </w:p>
    <w:p w14:paraId="3D363522"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63A1215B"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lastRenderedPageBreak/>
        <w:t>This expected evolution should be taken inevitably also in the telco world as part of network operations in line to AIOps trend that offers huge opportunities for communications service providers (CSPs) to deliver better services and reduce Opex [C3-39]. Future networks will require higher demands on real-time network service management and a higher degree of automation, which will be crucial to increase cost-efficient operation.</w:t>
      </w:r>
    </w:p>
    <w:p w14:paraId="37898F41"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relevance of this research work needed for automation beyond 5G is also illustrated that ETSI NFV has started a specific group on ”Zero touch network and Service Management” (ETSI ZSM ISG) that plans to focus on some of the aforementioned challenges in relation to network and service management, in order to allow all the operational processes to be executed automatically [C3-32].</w:t>
      </w:r>
    </w:p>
    <w:p w14:paraId="3349795F"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Several technical dimensions will contribute to increase the required level of automation towards extreme automation, which at the end will be driven by accomplishing real-time zero-touch orchestration including self-healing, this is, the capability of OSS remediation, and self-organised network services orchestration.</w:t>
      </w:r>
    </w:p>
    <w:p w14:paraId="24C1F34D"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color w:val="000000" w:themeColor="text1"/>
        </w:rPr>
        <w:t xml:space="preserve">Future services of </w:t>
      </w:r>
      <w:r w:rsidRPr="00380F9F">
        <w:rPr>
          <w:rFonts w:ascii="Arial" w:eastAsiaTheme="minorEastAsia" w:hAnsi="Arial" w:cs="Arial"/>
        </w:rPr>
        <w:t>any vertical sector must interoperate with all management platform capabilities. Therefore,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3F9F96E2" w14:textId="77777777" w:rsidR="00380F9F" w:rsidRPr="00380F9F" w:rsidRDefault="00380F9F" w:rsidP="00380F9F">
      <w:pPr>
        <w:spacing w:after="0" w:line="240" w:lineRule="auto"/>
        <w:jc w:val="both"/>
        <w:rPr>
          <w:rFonts w:ascii="Arial" w:eastAsiaTheme="minorEastAsia" w:hAnsi="Arial" w:cs="Arial"/>
        </w:rPr>
      </w:pPr>
    </w:p>
    <w:p w14:paraId="686C21A2"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1.</w:t>
      </w:r>
      <w:r w:rsidRPr="00380F9F">
        <w:rPr>
          <w:rFonts w:ascii="Arial" w:eastAsiaTheme="majorEastAsia" w:hAnsi="Arial" w:cs="Arial"/>
          <w:b/>
          <w:i/>
          <w:iCs/>
        </w:rPr>
        <w:tab/>
        <w:t>Enhanced policy management including huge data analytics</w:t>
      </w:r>
    </w:p>
    <w:p w14:paraId="17533346"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rPr>
        <w:t>Greater policy-driven autonomic support will be required for network automatic self-healing and self-organisation [C3-33] with no human intervention. Policy management will define operations that can be used autonomously by different network domain controllers providing activation and remediation functions, at the same time that cycle time and cost will be reduced. AI/ML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 [C3-34], which enables a proactive assurance, based on a performance analysis, root-cause analysis, troubleshooting and fast resolution functions.</w:t>
      </w:r>
    </w:p>
    <w:p w14:paraId="6DE2BBB9" w14:textId="77777777" w:rsidR="00380F9F" w:rsidRPr="00380F9F" w:rsidRDefault="00380F9F" w:rsidP="00380F9F">
      <w:pPr>
        <w:spacing w:after="0" w:line="240" w:lineRule="auto"/>
        <w:jc w:val="both"/>
        <w:rPr>
          <w:rFonts w:ascii="Arial" w:eastAsiaTheme="minorEastAsia" w:hAnsi="Arial" w:cs="Arial"/>
        </w:rPr>
      </w:pPr>
    </w:p>
    <w:p w14:paraId="2E48AA5C"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2.</w:t>
      </w:r>
      <w:r w:rsidRPr="00380F9F">
        <w:rPr>
          <w:rFonts w:ascii="Arial" w:eastAsiaTheme="majorEastAsia" w:hAnsi="Arial" w:cs="Arial"/>
          <w:b/>
          <w:i/>
          <w:iCs/>
        </w:rPr>
        <w:tab/>
        <w:t>Artificial Intelligent driven orchestration and network management</w:t>
      </w:r>
    </w:p>
    <w:p w14:paraId="34BC5288"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rPr>
        <w:t>Intelligent network management mechanisms using AI/ML combined with analytics at the service orchestration platform will further optimise the network operations experience towards automation and zero-touch orchestration. It will enable a much more informed elastic management and orchestration of the network, often allowing proactive resource allocation decisions based on heuristics rather than utilising reactive approaches due to changes in the load. This approach would be in line with the goal of ETSI ISG called Experiential Network Intelligence (ENI) [C3-35], which proposes an engine that adds closed-loop AI/ML mechanisms based on context-aware and metadata-driven policies for network management to more quickly recognise and incorporate new and changed knowledge, and hence, make automatically actionable orchestration decisions.</w:t>
      </w:r>
    </w:p>
    <w:p w14:paraId="37B6ED58" w14:textId="77777777" w:rsidR="00380F9F" w:rsidRPr="00380F9F" w:rsidRDefault="00380F9F" w:rsidP="00380F9F">
      <w:pPr>
        <w:spacing w:after="0" w:line="240" w:lineRule="auto"/>
        <w:jc w:val="both"/>
        <w:rPr>
          <w:rFonts w:ascii="Arial" w:eastAsiaTheme="minorEastAsia" w:hAnsi="Arial" w:cs="Arial"/>
        </w:rPr>
      </w:pPr>
    </w:p>
    <w:p w14:paraId="7FBC1CCF" w14:textId="77777777" w:rsidR="00380F9F" w:rsidRPr="00380F9F" w:rsidRDefault="00380F9F" w:rsidP="00380F9F">
      <w:pPr>
        <w:spacing w:after="120" w:line="240" w:lineRule="auto"/>
        <w:ind w:left="426" w:hanging="426"/>
        <w:jc w:val="both"/>
        <w:rPr>
          <w:rFonts w:ascii="Arial" w:eastAsiaTheme="majorEastAsia" w:hAnsi="Arial" w:cs="Arial"/>
          <w:b/>
          <w:i/>
          <w:iCs/>
        </w:rPr>
      </w:pPr>
      <w:r w:rsidRPr="00380F9F">
        <w:rPr>
          <w:rFonts w:ascii="Arial" w:eastAsiaTheme="majorEastAsia" w:hAnsi="Arial" w:cs="Arial"/>
          <w:b/>
          <w:i/>
          <w:iCs/>
        </w:rPr>
        <w:t>3.</w:t>
      </w:r>
      <w:r w:rsidRPr="00380F9F">
        <w:rPr>
          <w:rFonts w:ascii="Arial" w:eastAsiaTheme="majorEastAsia" w:hAnsi="Arial" w:cs="Arial"/>
          <w:b/>
          <w:i/>
          <w:iCs/>
        </w:rPr>
        <w:tab/>
        <w:t>Cloud-native management and serverless approach applied to NFV orchestration</w:t>
      </w:r>
    </w:p>
    <w:p w14:paraId="6EAA3B37"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t>Cloud native refers to software built to change, scale, resilience and manageability. Cloud-native data is stored and structured in ways that encourage flexibility and gets comfortable with micro-databases that requires new levels of automation and self-service. Like cloud-native apps, cloud-native data platforms should scale up and scale out.</w:t>
      </w:r>
    </w:p>
    <w:p w14:paraId="13AE9D4D"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lastRenderedPageBreak/>
        <w:t>On the contrary, VNFs so far, have been implemented to be managed as monolithic applications by the current NFV MANO platform solutions. It is expected that the application of a cloud native orchestration approach to NFV MANO contributes greatly to increase that level of automation future networks is requiring towards real-time zero-touch orchestration or extreme automation [C3-36].</w:t>
      </w:r>
    </w:p>
    <w:p w14:paraId="2CD5513D" w14:textId="77777777" w:rsidR="00380F9F" w:rsidRPr="00380F9F" w:rsidRDefault="00380F9F" w:rsidP="00380F9F">
      <w:pPr>
        <w:spacing w:after="120" w:line="240" w:lineRule="auto"/>
        <w:jc w:val="both"/>
        <w:rPr>
          <w:rFonts w:ascii="Arial" w:eastAsiaTheme="minorEastAsia" w:hAnsi="Arial" w:cs="Arial"/>
        </w:rPr>
      </w:pPr>
      <w:r w:rsidRPr="00380F9F">
        <w:rPr>
          <w:rFonts w:ascii="Arial" w:eastAsiaTheme="minorEastAsia" w:hAnsi="Arial" w:cs="Arial"/>
        </w:rPr>
        <w:t>However, this is not a trivial process. Most of the existing NFV MANO orchestration solutions now follow the principles of ETSI NFV specification, which is focused on virtual appliances-based solutions, and lacks the information and guidelines to support the cloud-native architecture and environment. ETSI NFV ISG proposed some modifications in their proposed architecture towards the support of a cloud native approach [C3-37] and the working group about Software Networks within 5G-PPP discussed this thoroughly for multiple vertical services [C3-40].</w:t>
      </w:r>
    </w:p>
    <w:p w14:paraId="0E9A68D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rPr>
        <w:t xml:space="preserve">The overall idea is that VNFs will </w:t>
      </w:r>
      <w:r w:rsidRPr="00380F9F">
        <w:rPr>
          <w:rFonts w:ascii="Arial" w:eastAsiaTheme="minorEastAsia" w:hAnsi="Arial" w:cs="Arial"/>
          <w:color w:val="000000" w:themeColor="text1"/>
        </w:rPr>
        <w:t>have to be broken down into smaller microservices, and deployed as containers in the edge and both the public and private clouds. Leveraging Continuous Integration and Deployment (CI/CD), these microservices containers will be orchestrated and deployed with automation. In addition, Serverless computing as abstract execution model where the infrastructure provider runs the server, enables the connectivity and dynamically manages the allocation of resources is a trend to consider here. The independent software vendors who used to produce full-fledged network functions now become the vendors of smaller microservices. In this way, it is expected to achieve:</w:t>
      </w:r>
    </w:p>
    <w:p w14:paraId="54B4546C" w14:textId="77777777" w:rsidR="00380F9F" w:rsidRPr="00380F9F" w:rsidRDefault="00380F9F" w:rsidP="00124439">
      <w:pPr>
        <w:numPr>
          <w:ilvl w:val="0"/>
          <w:numId w:val="20"/>
        </w:numPr>
        <w:spacing w:after="120" w:line="240" w:lineRule="auto"/>
        <w:contextualSpacing/>
        <w:jc w:val="both"/>
        <w:rPr>
          <w:rFonts w:ascii="Arial" w:eastAsiaTheme="minorEastAsia" w:hAnsi="Arial" w:cs="Arial"/>
          <w:color w:val="000000" w:themeColor="text1"/>
        </w:rPr>
      </w:pPr>
      <w:r w:rsidRPr="00380F9F">
        <w:rPr>
          <w:rFonts w:ascii="Arial" w:eastAsiaTheme="minorEastAsia" w:hAnsi="Arial" w:cs="Arial"/>
          <w:b/>
          <w:color w:val="000000" w:themeColor="text1"/>
        </w:rPr>
        <w:t>Auto-provisioning:</w:t>
      </w:r>
      <w:r w:rsidRPr="00380F9F">
        <w:rPr>
          <w:rFonts w:ascii="Arial" w:eastAsiaTheme="minorEastAsia" w:hAnsi="Arial" w:cs="Arial"/>
          <w:color w:val="000000" w:themeColor="text1"/>
        </w:rPr>
        <w:t xml:space="preserve"> 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2517910C" w14:textId="77777777" w:rsidR="00380F9F" w:rsidRPr="00380F9F" w:rsidRDefault="00380F9F" w:rsidP="00124439">
      <w:pPr>
        <w:numPr>
          <w:ilvl w:val="0"/>
          <w:numId w:val="20"/>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b/>
          <w:color w:val="000000" w:themeColor="text1"/>
        </w:rPr>
        <w:t>Auto-redundancy:</w:t>
      </w:r>
      <w:r w:rsidRPr="00380F9F">
        <w:rPr>
          <w:rFonts w:ascii="Arial" w:eastAsiaTheme="minorEastAsia" w:hAnsi="Arial" w:cs="Arial"/>
          <w:color w:val="000000" w:themeColor="text1"/>
        </w:rPr>
        <w:t xml:space="preserve"> This will enable to minimise failure risks automatically. The network services will be expected to be inherently resilient to failures. They automatically handle the outages and enable corrective actions. In the event of failure, the process instantly moves from one data centre to another without interrupting the service. This is executed so quickly that the service consumer does not even know. In case of the occurrence of a partial outage in one data centre, the VNFs/Network Services will continue running seamlessly.</w:t>
      </w:r>
    </w:p>
    <w:p w14:paraId="14243CB9" w14:textId="77777777" w:rsidR="00380F9F" w:rsidRPr="00380F9F" w:rsidRDefault="00380F9F" w:rsidP="00380F9F">
      <w:pPr>
        <w:spacing w:after="0" w:line="240" w:lineRule="auto"/>
        <w:jc w:val="both"/>
        <w:rPr>
          <w:rFonts w:ascii="Arial" w:eastAsiaTheme="minorEastAsia" w:hAnsi="Arial" w:cs="Arial"/>
          <w:color w:val="000000" w:themeColor="text1"/>
        </w:rPr>
      </w:pPr>
    </w:p>
    <w:p w14:paraId="4D3A43FF" w14:textId="0378F2FB" w:rsidR="00380F9F" w:rsidRDefault="00380F9F" w:rsidP="00380F9F">
      <w:pPr>
        <w:pStyle w:val="Heading2"/>
        <w:rPr>
          <w:lang w:eastAsia="de-DE"/>
        </w:rPr>
      </w:pPr>
      <w:bookmarkStart w:id="81" w:name="_Toc40701659"/>
      <w:bookmarkStart w:id="82" w:name="_Toc42177237"/>
      <w:r w:rsidRPr="00380F9F">
        <w:rPr>
          <w:lang w:eastAsia="de-DE"/>
        </w:rPr>
        <w:t>Service Injection Loop</w:t>
      </w:r>
      <w:bookmarkEnd w:id="81"/>
      <w:bookmarkEnd w:id="82"/>
    </w:p>
    <w:p w14:paraId="520E3F27" w14:textId="77777777" w:rsidR="00C42C17" w:rsidRPr="00C42C17" w:rsidRDefault="00C42C17" w:rsidP="00C42C17">
      <w:pPr>
        <w:rPr>
          <w:lang w:eastAsia="de-DE"/>
        </w:rPr>
      </w:pPr>
    </w:p>
    <w:p w14:paraId="4F4F6FB8"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 xml:space="preserve">The use of services in the NFV ecosystem provides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turn down as needed) suites or catalogues of connected services that enable the use of a single network connection for many services, with different characteristics, based on the available VNF to form the SFC. </w:t>
      </w:r>
    </w:p>
    <w:p w14:paraId="357DB6C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Architectural micro services provide modular, distributed software components that can be deployed in any environment with a standardised 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32D95DA3"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w:t>
      </w:r>
      <w:r w:rsidRPr="00380F9F">
        <w:rPr>
          <w:rFonts w:ascii="Arial" w:eastAsiaTheme="minorEastAsia" w:hAnsi="Arial" w:cs="Arial"/>
          <w:color w:val="000000" w:themeColor="text1"/>
        </w:rPr>
        <w:lastRenderedPageBreak/>
        <w:t>based network that has the flexibility to automatically meet the service requirements of a rapidly growing set of network-based services.</w:t>
      </w:r>
    </w:p>
    <w:p w14:paraId="57EA0749"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Now, the innovation should be driven not only in the network transformation but also in the creation of new services, this will unlock the potential of digitalisation. Like the current trend on the DevOps approach and the agile development philosophy and operation of network services should be transferred to deliver the next generation of services. The use of predictive models is continuing to disrupt the way decision-making is occurring. This approach will create massive tailored service focused on the real need of the customer and specifically designed/customised for the user.</w:t>
      </w:r>
    </w:p>
    <w:p w14:paraId="482669E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main goal will be that services must interoperate with the platform capabilities, and be able to automatically adapt to the current needs and enhance the user experience. This approach can be followed by internally identifying and analysing the use of the service in order to recognise the limitations of the service. Human Centred Design (HCD) processes for interactive systems provides requirements and recommendations for design principles and activities throughout the life cycle of interactive systems.</w:t>
      </w:r>
    </w:p>
    <w:p w14:paraId="04B918AA"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Operators and infrastructure managers are already using AI/ML-based technologies to automate the use of the infrastructure (AIOps). The requirements must be evaluated against existing operations, maintenance processes and tools. The new services should be enhanced with AI/ML also with highly specific requirements as mentioned before such as unifying strategies including carrier-grade, performance and operational capabilities.</w:t>
      </w:r>
    </w:p>
    <w:p w14:paraId="4BF3D426"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Current work is focusing on the challenge of integrating new services in the NFV platforms, to automatize interoperability without breaking the components, and make those services available as a ”service store or repository”. A potential approach could be achieved through a Metamodel [C3-38] for services, to model, testing and onboarding in a runtime environment to become self-service platforms. To link them on demand, requires a new way of describing the entire platform and all its constituent endpoints at the right level of abstraction. The metamodel should be a single point of connection to support end-to-end automation of testing, onboarding and the lifecycle management process that can dynamically ingest and combine a broad range of microservices to compose a larger and complex one.</w:t>
      </w:r>
    </w:p>
    <w:p w14:paraId="641E9DF4" w14:textId="77777777" w:rsidR="00380F9F" w:rsidRPr="00380F9F" w:rsidRDefault="00380F9F" w:rsidP="00380F9F">
      <w:pPr>
        <w:spacing w:after="120" w:line="240" w:lineRule="auto"/>
        <w:jc w:val="both"/>
        <w:rPr>
          <w:rFonts w:ascii="Arial" w:eastAsiaTheme="minorEastAsia" w:hAnsi="Arial" w:cs="Arial"/>
          <w:color w:val="000000" w:themeColor="text1"/>
        </w:rPr>
      </w:pPr>
      <w:r w:rsidRPr="00380F9F">
        <w:rPr>
          <w:rFonts w:ascii="Arial" w:eastAsiaTheme="minorEastAsia" w:hAnsi="Arial" w:cs="Arial"/>
          <w:color w:val="000000" w:themeColor="text1"/>
        </w:rPr>
        <w:t>The customisation of the services based on the previous description will provide several benefits:</w:t>
      </w:r>
    </w:p>
    <w:p w14:paraId="059E85EA" w14:textId="77777777" w:rsidR="00380F9F" w:rsidRPr="00380F9F" w:rsidRDefault="00380F9F" w:rsidP="00124439">
      <w:pPr>
        <w:numPr>
          <w:ilvl w:val="0"/>
          <w:numId w:val="25"/>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Better user experience (UX), thanks to the Human Computer Interaction, based on consistency of solutions across multiple interfaces (mobile, traditional systems and human interfaces).</w:t>
      </w:r>
    </w:p>
    <w:p w14:paraId="2D84278B" w14:textId="77777777" w:rsidR="00380F9F" w:rsidRPr="00380F9F" w:rsidRDefault="00380F9F" w:rsidP="00124439">
      <w:pPr>
        <w:numPr>
          <w:ilvl w:val="0"/>
          <w:numId w:val="25"/>
        </w:numPr>
        <w:spacing w:after="0" w:line="240" w:lineRule="auto"/>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Support inter-data connectivity between verticals slices to define new knowledge for defining automatic new services requirements, imposed by the service limitations and user interaction.</w:t>
      </w:r>
    </w:p>
    <w:p w14:paraId="41EDC88D" w14:textId="77777777" w:rsidR="00380F9F" w:rsidRPr="00380F9F" w:rsidRDefault="00380F9F" w:rsidP="00124439">
      <w:pPr>
        <w:numPr>
          <w:ilvl w:val="0"/>
          <w:numId w:val="25"/>
        </w:numPr>
        <w:spacing w:after="120" w:line="240" w:lineRule="auto"/>
        <w:ind w:left="714" w:hanging="357"/>
        <w:contextualSpacing/>
        <w:jc w:val="both"/>
        <w:rPr>
          <w:rFonts w:ascii="Arial" w:eastAsiaTheme="minorEastAsia" w:hAnsi="Arial" w:cs="Arial"/>
          <w:color w:val="000000" w:themeColor="text1"/>
        </w:rPr>
      </w:pPr>
      <w:r w:rsidRPr="00380F9F">
        <w:rPr>
          <w:rFonts w:ascii="Arial" w:eastAsiaTheme="minorEastAsia" w:hAnsi="Arial" w:cs="Arial"/>
          <w:color w:val="000000" w:themeColor="text1"/>
        </w:rPr>
        <w:t>Automatic test and validation of requirements and functionalities in several domains, (integration, deployment, on-boarding, lifecycle management).</w:t>
      </w:r>
    </w:p>
    <w:p w14:paraId="5A33A6E2" w14:textId="77777777" w:rsidR="00380F9F" w:rsidRPr="00380F9F" w:rsidRDefault="00380F9F" w:rsidP="00380F9F">
      <w:pPr>
        <w:spacing w:after="0" w:line="240" w:lineRule="auto"/>
        <w:jc w:val="both"/>
        <w:rPr>
          <w:rFonts w:ascii="Arial" w:eastAsiaTheme="minorEastAsia" w:hAnsi="Arial" w:cs="Arial"/>
        </w:rPr>
      </w:pPr>
      <w:r w:rsidRPr="00380F9F">
        <w:rPr>
          <w:rFonts w:ascii="Arial" w:eastAsiaTheme="minorEastAsia" w:hAnsi="Arial" w:cs="Arial"/>
          <w:color w:val="000000" w:themeColor="text1"/>
        </w:rPr>
        <w:t xml:space="preserve">For the onboarding phase, services will be complemented with testing files to be validated by the NFVO for a fully operational use, across multiple infrastructures. This approach will involve new business revenues to monetise the use of service by the user: pay-for-what-you-use services. </w:t>
      </w:r>
      <w:r w:rsidRPr="00380F9F">
        <w:rPr>
          <w:rFonts w:ascii="Arial" w:eastAsiaTheme="minorEastAsia" w:hAnsi="Arial" w:cs="Arial"/>
        </w:rPr>
        <w:t>It could also create models rather than sell a specific product: the most valuable part is going to be the output that the service offers.</w:t>
      </w:r>
    </w:p>
    <w:p w14:paraId="468A19EB" w14:textId="43A3C0C1" w:rsidR="006E3A41" w:rsidRPr="006E3A41" w:rsidRDefault="006E3A41" w:rsidP="00DA6395">
      <w:pPr>
        <w:jc w:val="both"/>
        <w:rPr>
          <w:rFonts w:ascii="Arial" w:eastAsiaTheme="minorEastAsia" w:hAnsi="Arial" w:cs="Arial"/>
          <w:lang w:val="en-US"/>
        </w:rPr>
      </w:pPr>
      <w:bookmarkStart w:id="83" w:name="_Toc38131296"/>
      <w:bookmarkStart w:id="84" w:name="_Toc38297660"/>
      <w:bookmarkStart w:id="85" w:name="_Toc38973499"/>
      <w:bookmarkStart w:id="86" w:name="_Hlk39739013"/>
      <w:bookmarkEnd w:id="83"/>
      <w:bookmarkEnd w:id="84"/>
      <w:bookmarkEnd w:id="85"/>
    </w:p>
    <w:p w14:paraId="3B11210A" w14:textId="77777777" w:rsidR="006E3A41" w:rsidRPr="006E3A41" w:rsidRDefault="006E3A41" w:rsidP="006E3A41">
      <w:pPr>
        <w:rPr>
          <w:rFonts w:eastAsiaTheme="minorEastAsia"/>
          <w:lang w:val="en-US" w:eastAsia="de-DE"/>
        </w:rPr>
      </w:pPr>
    </w:p>
    <w:p w14:paraId="2632506A" w14:textId="77777777" w:rsidR="00C42C17" w:rsidRDefault="008430BB" w:rsidP="00124439">
      <w:pPr>
        <w:pStyle w:val="Heading1"/>
        <w:numPr>
          <w:ilvl w:val="0"/>
          <w:numId w:val="9"/>
        </w:numPr>
        <w:rPr>
          <w:lang w:eastAsia="de-DE"/>
        </w:rPr>
      </w:pPr>
      <w:bookmarkStart w:id="87" w:name="_Toc42177238"/>
      <w:bookmarkEnd w:id="86"/>
      <w:r w:rsidRPr="008430BB">
        <w:rPr>
          <w:lang w:eastAsia="de-DE"/>
        </w:rPr>
        <w:lastRenderedPageBreak/>
        <w:t>System Architecture</w:t>
      </w:r>
      <w:bookmarkEnd w:id="87"/>
    </w:p>
    <w:p w14:paraId="32DA232E" w14:textId="20B3A0F3" w:rsidR="00837235" w:rsidRDefault="008430BB" w:rsidP="00C42C17">
      <w:pPr>
        <w:pStyle w:val="Heading1"/>
        <w:rPr>
          <w:lang w:eastAsia="de-DE"/>
        </w:rPr>
      </w:pPr>
      <w:r w:rsidRPr="008430BB">
        <w:rPr>
          <w:lang w:eastAsia="de-DE"/>
        </w:rPr>
        <w:t xml:space="preserve"> </w:t>
      </w:r>
    </w:p>
    <w:p w14:paraId="156B74B5" w14:textId="77777777" w:rsidR="00E94B6B" w:rsidRPr="00E94B6B" w:rsidRDefault="00E94B6B" w:rsidP="00CE51ED">
      <w:pPr>
        <w:rPr>
          <w:rFonts w:ascii="Arial" w:eastAsiaTheme="majorEastAsia" w:hAnsi="Arial" w:cstheme="majorBidi"/>
          <w:b/>
          <w:vanish/>
          <w:sz w:val="26"/>
          <w:szCs w:val="26"/>
        </w:rPr>
      </w:pPr>
      <w:bookmarkStart w:id="88" w:name="_Toc40792867"/>
      <w:bookmarkStart w:id="89" w:name="_Toc41303975"/>
      <w:bookmarkStart w:id="90" w:name="_Toc41304461"/>
      <w:bookmarkStart w:id="91" w:name="_Toc41304650"/>
      <w:bookmarkStart w:id="92" w:name="_Toc41304839"/>
      <w:bookmarkStart w:id="93" w:name="_Toc40787229"/>
      <w:bookmarkEnd w:id="88"/>
      <w:bookmarkEnd w:id="89"/>
      <w:bookmarkEnd w:id="90"/>
      <w:bookmarkEnd w:id="91"/>
      <w:bookmarkEnd w:id="92"/>
    </w:p>
    <w:p w14:paraId="280DADAB" w14:textId="47ACFE95" w:rsidR="000D6F95" w:rsidRDefault="000D6F95" w:rsidP="000D6F95">
      <w:pPr>
        <w:pStyle w:val="Heading2"/>
      </w:pPr>
      <w:bookmarkStart w:id="94" w:name="_Toc40879272"/>
      <w:bookmarkStart w:id="95" w:name="_Toc42177239"/>
      <w:bookmarkEnd w:id="93"/>
      <w:r w:rsidRPr="000D6F95">
        <w:t>Evolution of Networks and Services</w:t>
      </w:r>
      <w:bookmarkEnd w:id="94"/>
      <w:bookmarkEnd w:id="95"/>
    </w:p>
    <w:p w14:paraId="52AF75C4" w14:textId="77777777" w:rsidR="00C42C17" w:rsidRPr="00C42C17" w:rsidRDefault="00C42C17" w:rsidP="00C42C17"/>
    <w:p w14:paraId="2FCC525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Distributed computing has taken a significant step forward with the development and utilization of the Internet in many industries, pushing the digitization of processes and opening opportunities for creating or improving many business-to-business (B2B) and business-to-customer (B2C) processes. It does so, however, on the back of an Internet, whose core design is almost 50 years old, starting in the 1970s on very basic assumptions of an end-to-end connectivity between two remote machines, usually denoted as </w:t>
      </w:r>
      <w:r w:rsidRPr="000D6F95">
        <w:rPr>
          <w:rFonts w:ascii="Arial" w:hAnsi="Arial" w:cs="Arial"/>
          <w:i/>
          <w:color w:val="000000" w:themeColor="text1"/>
        </w:rPr>
        <w:t>client</w:t>
      </w:r>
      <w:r w:rsidRPr="000D6F95">
        <w:rPr>
          <w:rFonts w:ascii="Arial" w:hAnsi="Arial" w:cs="Arial"/>
          <w:color w:val="000000" w:themeColor="text1"/>
        </w:rPr>
        <w:t xml:space="preserve"> and </w:t>
      </w:r>
      <w:r w:rsidRPr="000D6F95">
        <w:rPr>
          <w:rFonts w:ascii="Arial" w:hAnsi="Arial" w:cs="Arial"/>
          <w:i/>
          <w:color w:val="000000" w:themeColor="text1"/>
        </w:rPr>
        <w:t>server</w:t>
      </w:r>
      <w:r w:rsidRPr="000D6F95">
        <w:rPr>
          <w:rFonts w:ascii="Arial" w:hAnsi="Arial" w:cs="Arial"/>
          <w:color w:val="000000" w:themeColor="text1"/>
        </w:rPr>
        <w:t xml:space="preserve">. Inter-domain connectivity, enabled through the overall IP suite, allowed for reaching any machine through a multi-tier architecture of autonomous systems (ASs). This basic principle, unchanged to this day, had to shoulder the burden of </w:t>
      </w:r>
      <w:r w:rsidRPr="000D6F95">
        <w:rPr>
          <w:rFonts w:ascii="Arial" w:hAnsi="Arial" w:cs="Arial"/>
          <w:i/>
          <w:color w:val="000000" w:themeColor="text1"/>
        </w:rPr>
        <w:t>service routing</w:t>
      </w:r>
      <w:r w:rsidRPr="000D6F95">
        <w:rPr>
          <w:rFonts w:ascii="Arial" w:hAnsi="Arial" w:cs="Arial"/>
          <w:color w:val="000000" w:themeColor="text1"/>
        </w:rPr>
        <w:t xml:space="preserve">, i.e., associating a request to an instance of a service name. This had to be mapped to a combination of hostname and service path and, ultimately, a machine locator, i.e., IP address, bound to that service name. </w:t>
      </w:r>
    </w:p>
    <w:p w14:paraId="4C807A1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While unchanged in principle, many things have evolved from this basic picture of Internet connectivity. In the following, we differentiate three aspects, namely the </w:t>
      </w:r>
      <w:r w:rsidRPr="000D6F95">
        <w:rPr>
          <w:rFonts w:ascii="Arial" w:hAnsi="Arial" w:cs="Arial"/>
          <w:i/>
          <w:color w:val="000000" w:themeColor="text1"/>
        </w:rPr>
        <w:t>nature of communication</w:t>
      </w:r>
      <w:r w:rsidRPr="000D6F95">
        <w:rPr>
          <w:rFonts w:ascii="Arial" w:hAnsi="Arial" w:cs="Arial"/>
          <w:color w:val="000000" w:themeColor="text1"/>
        </w:rPr>
        <w:t xml:space="preserve"> over the Internet, the </w:t>
      </w:r>
      <w:r w:rsidRPr="000D6F95">
        <w:rPr>
          <w:rFonts w:ascii="Arial" w:hAnsi="Arial" w:cs="Arial"/>
          <w:i/>
          <w:color w:val="000000" w:themeColor="text1"/>
        </w:rPr>
        <w:t>nature of services</w:t>
      </w:r>
      <w:r w:rsidRPr="000D6F95">
        <w:rPr>
          <w:rFonts w:ascii="Arial" w:hAnsi="Arial" w:cs="Arial"/>
          <w:color w:val="000000" w:themeColor="text1"/>
        </w:rPr>
        <w:t xml:space="preserve"> (and their relation) and the </w:t>
      </w:r>
      <w:r w:rsidRPr="000D6F95">
        <w:rPr>
          <w:rFonts w:ascii="Arial" w:hAnsi="Arial" w:cs="Arial"/>
          <w:i/>
          <w:color w:val="000000" w:themeColor="text1"/>
        </w:rPr>
        <w:t>nature of provisioning</w:t>
      </w:r>
      <w:r w:rsidRPr="000D6F95">
        <w:rPr>
          <w:rFonts w:ascii="Arial" w:hAnsi="Arial" w:cs="Arial"/>
          <w:color w:val="000000" w:themeColor="text1"/>
        </w:rPr>
        <w:t xml:space="preserve"> in the serving endpoints that are being reached via the Internet. </w:t>
      </w:r>
    </w:p>
    <w:p w14:paraId="77D7FEE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w:t>
      </w:r>
      <w:r w:rsidRPr="000D6F95">
        <w:rPr>
          <w:rFonts w:ascii="Arial" w:hAnsi="Arial" w:cs="Arial"/>
          <w:bCs/>
          <w:i/>
          <w:iCs/>
          <w:color w:val="000000" w:themeColor="text1"/>
        </w:rPr>
        <w:t>nature of communication</w:t>
      </w:r>
      <w:r w:rsidRPr="000D6F95">
        <w:rPr>
          <w:rFonts w:ascii="Arial" w:hAnsi="Arial" w:cs="Arial"/>
          <w:color w:val="000000" w:themeColor="text1"/>
        </w:rPr>
        <w:t xml:space="preserve"> over the Internet has changed significantly from the single-client-single-server model. Today, many such servers are hosted in large-scale </w:t>
      </w:r>
      <w:r w:rsidRPr="000D6F95">
        <w:rPr>
          <w:rFonts w:ascii="Arial" w:hAnsi="Arial" w:cs="Arial"/>
          <w:i/>
          <w:color w:val="000000" w:themeColor="text1"/>
        </w:rPr>
        <w:t>data centres</w:t>
      </w:r>
      <w:r w:rsidRPr="000D6F95">
        <w:rPr>
          <w:rFonts w:ascii="Arial" w:hAnsi="Arial" w:cs="Arial"/>
          <w:color w:val="000000" w:themeColor="text1"/>
        </w:rPr>
        <w:t xml:space="preserve">, exposing services via a data centre’s internal routing mechanisms to the wider Internet – here, the client communicates to the data centre (over the Internet) rather than the server directly, said data centre serving as a </w:t>
      </w:r>
      <w:r w:rsidRPr="000D6F95">
        <w:rPr>
          <w:rFonts w:ascii="Arial" w:hAnsi="Arial" w:cs="Arial"/>
          <w:i/>
          <w:color w:val="000000" w:themeColor="text1"/>
        </w:rPr>
        <w:t>point of presence</w:t>
      </w:r>
      <w:r w:rsidRPr="000D6F95">
        <w:rPr>
          <w:rFonts w:ascii="Arial" w:hAnsi="Arial" w:cs="Arial"/>
          <w:color w:val="000000" w:themeColor="text1"/>
        </w:rPr>
        <w:t xml:space="preserve"> (PoP), enabling a service provider to host the service without having to own or operate their own resources. In recent years, those PoPs have been moved closer to end users in an attempt to reduce costs (e.g., for inter-domain transfer) as well as latency (by being closer located to the relevant users), particularly for services such as over-the-top (OTT) video or social media. This move has been driven by large-scale service providers, such as Google and Facebook, but also by </w:t>
      </w:r>
      <w:r w:rsidRPr="000D6F95">
        <w:rPr>
          <w:rFonts w:ascii="Arial" w:hAnsi="Arial" w:cs="Arial"/>
          <w:i/>
          <w:color w:val="000000" w:themeColor="text1"/>
        </w:rPr>
        <w:t>content delivery networks</w:t>
      </w:r>
      <w:r w:rsidRPr="000D6F95">
        <w:rPr>
          <w:rFonts w:ascii="Arial" w:hAnsi="Arial" w:cs="Arial"/>
          <w:color w:val="000000" w:themeColor="text1"/>
        </w:rPr>
        <w:t xml:space="preserve"> (CDNs). These companies have deployed their own PoPs and, by selling excess capacity, have established themselves as large cloud players. By pushing data centres towards the network edge, communication in the Internet has significantly concentrated on the customer access networks with, for instance, an estimated 61% of Asia Pacific Internet traffic expected to being served through CDNs alone by 2021 [C4-01]. Netflix’s estimated 15% share of the Internet traffic is mostly served through localized PoPs [C4-02]. Extrapolating this to other content platforms (e.g., Amazon, Disney+,  as well as country-specific platforms such as BBC iPlayer), we can project the amount of traffic originating and terminating in customer access networks to be easily around </w:t>
      </w:r>
      <w:r w:rsidRPr="000D6F95">
        <w:rPr>
          <w:rFonts w:ascii="Arial" w:hAnsi="Arial" w:cs="Arial"/>
          <w:i/>
          <w:color w:val="000000" w:themeColor="text1"/>
        </w:rPr>
        <w:t>90% of the overall generated traffic</w:t>
      </w:r>
      <w:r w:rsidRPr="000D6F95">
        <w:rPr>
          <w:rFonts w:ascii="Arial" w:hAnsi="Arial" w:cs="Arial"/>
          <w:b/>
          <w:i/>
          <w:color w:val="000000" w:themeColor="text1"/>
        </w:rPr>
        <w:t xml:space="preserve"> </w:t>
      </w:r>
      <w:r w:rsidRPr="000D6F95">
        <w:rPr>
          <w:rFonts w:ascii="Arial" w:hAnsi="Arial" w:cs="Arial"/>
          <w:color w:val="000000" w:themeColor="text1"/>
        </w:rPr>
        <w:t>downstream to end users. In essence,</w:t>
      </w:r>
      <w:r w:rsidRPr="000D6F95">
        <w:rPr>
          <w:rFonts w:ascii="Arial" w:hAnsi="Arial" w:cs="Arial"/>
          <w:b/>
          <w:color w:val="000000" w:themeColor="text1"/>
        </w:rPr>
        <w:t xml:space="preserve"> the nature of communication has moved from servers towards services, the realization of which, in turn, moves closer to the end-user.</w:t>
      </w:r>
    </w:p>
    <w:p w14:paraId="345A88C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When it comes to the </w:t>
      </w:r>
      <w:r w:rsidRPr="000D6F95">
        <w:rPr>
          <w:rFonts w:ascii="Arial" w:hAnsi="Arial" w:cs="Arial"/>
          <w:bCs/>
          <w:i/>
          <w:iCs/>
          <w:color w:val="000000" w:themeColor="text1"/>
        </w:rPr>
        <w:t>nature of services</w:t>
      </w:r>
      <w:r w:rsidRPr="000D6F95">
        <w:rPr>
          <w:rFonts w:ascii="Arial" w:hAnsi="Arial" w:cs="Arial"/>
          <w:color w:val="000000" w:themeColor="text1"/>
        </w:rPr>
        <w:t xml:space="preserve">, advances in software engineering broke up monolithic code blocks that served services with a single locus of consistency into smaller, independent pieces of cooperating </w:t>
      </w:r>
      <w:r w:rsidRPr="000D6F95">
        <w:rPr>
          <w:rFonts w:ascii="Arial" w:hAnsi="Arial" w:cs="Arial"/>
          <w:i/>
          <w:iCs/>
          <w:color w:val="000000" w:themeColor="text1"/>
        </w:rPr>
        <w:t>microservices</w:t>
      </w:r>
      <w:r w:rsidRPr="000D6F95">
        <w:rPr>
          <w:rFonts w:ascii="Arial" w:hAnsi="Arial" w:cs="Arial"/>
          <w:color w:val="000000" w:themeColor="text1"/>
        </w:rPr>
        <w:t xml:space="preserve">. Hence, the centralized client/server model has evolved into a </w:t>
      </w:r>
      <w:r w:rsidRPr="000D6F95">
        <w:rPr>
          <w:rFonts w:ascii="Arial" w:hAnsi="Arial" w:cs="Arial"/>
          <w:bCs/>
          <w:i/>
          <w:iCs/>
          <w:color w:val="000000" w:themeColor="text1"/>
        </w:rPr>
        <w:t>chains of (collaborative) transactions</w:t>
      </w:r>
      <w:r w:rsidRPr="000D6F95">
        <w:rPr>
          <w:rFonts w:ascii="Arial" w:hAnsi="Arial" w:cs="Arial"/>
          <w:b/>
          <w:bCs/>
          <w:i/>
          <w:iCs/>
          <w:color w:val="000000" w:themeColor="text1"/>
        </w:rPr>
        <w:t>,</w:t>
      </w:r>
      <w:r w:rsidRPr="000D6F95">
        <w:rPr>
          <w:rFonts w:ascii="Arial" w:hAnsi="Arial" w:cs="Arial"/>
          <w:color w:val="000000" w:themeColor="text1"/>
        </w:rPr>
        <w:t xml:space="preserve"> with typical challenges like </w:t>
      </w:r>
      <w:r w:rsidRPr="000D6F95">
        <w:rPr>
          <w:rFonts w:ascii="Arial" w:hAnsi="Arial" w:cs="Arial"/>
          <w:bCs/>
          <w:i/>
          <w:color w:val="000000" w:themeColor="text1"/>
        </w:rPr>
        <w:t>atomicity</w:t>
      </w:r>
      <w:r w:rsidRPr="000D6F95">
        <w:rPr>
          <w:rFonts w:ascii="Arial" w:hAnsi="Arial" w:cs="Arial"/>
          <w:color w:val="000000" w:themeColor="text1"/>
        </w:rPr>
        <w:t xml:space="preserve">, combined </w:t>
      </w:r>
      <w:r w:rsidRPr="000D6F95">
        <w:rPr>
          <w:rFonts w:ascii="Arial" w:hAnsi="Arial" w:cs="Arial"/>
          <w:bCs/>
          <w:i/>
          <w:color w:val="000000" w:themeColor="text1"/>
        </w:rPr>
        <w:t>resource management</w:t>
      </w:r>
      <w:r w:rsidRPr="000D6F95">
        <w:rPr>
          <w:rFonts w:ascii="Arial" w:hAnsi="Arial" w:cs="Arial"/>
          <w:color w:val="000000" w:themeColor="text1"/>
        </w:rPr>
        <w:t xml:space="preserve">, and </w:t>
      </w:r>
      <w:r w:rsidRPr="000D6F95">
        <w:rPr>
          <w:rFonts w:ascii="Arial" w:hAnsi="Arial" w:cs="Arial"/>
          <w:bCs/>
          <w:i/>
          <w:color w:val="000000" w:themeColor="text1"/>
        </w:rPr>
        <w:t>execution correctness</w:t>
      </w:r>
      <w:r w:rsidRPr="000D6F95">
        <w:rPr>
          <w:rFonts w:ascii="Arial" w:hAnsi="Arial" w:cs="Arial"/>
          <w:color w:val="000000" w:themeColor="text1"/>
        </w:rPr>
        <w:t xml:space="preserve"> of the transactions. This, in turn, has created the desire to extend the basic DNS+IP service routing in place today by network support for such chaining, as witnessed by the ongoing Service Function Chaining (SFC) work in the IETF [C4-03]. This application-level trend goes hand-in-hand with the realization that a network cannot just limit itself to blindly forwarding packets; it needs to take an active role in, </w:t>
      </w:r>
      <w:r w:rsidRPr="000D6F95">
        <w:rPr>
          <w:rFonts w:ascii="Arial" w:hAnsi="Arial" w:cs="Arial"/>
          <w:color w:val="000000" w:themeColor="text1"/>
        </w:rPr>
        <w:lastRenderedPageBreak/>
        <w:t xml:space="preserve">e.g., providing security (firewalls), assist in service routing (load balancing, redirecting), or traffic shaping. All this is, essentially, software that needs to operate on a stream of packets, just like many application services do. In consequence, this increasingly establishes application- and network-level services at an equal footing with utilizing the increasing </w:t>
      </w:r>
      <w:r w:rsidRPr="000D6F95">
        <w:rPr>
          <w:rFonts w:ascii="Arial" w:hAnsi="Arial" w:cs="Arial"/>
          <w:bCs/>
          <w:i/>
          <w:iCs/>
          <w:color w:val="000000" w:themeColor="text1"/>
        </w:rPr>
        <w:t>in-network processing &amp; computation</w:t>
      </w:r>
      <w:r w:rsidRPr="000D6F95">
        <w:rPr>
          <w:rFonts w:ascii="Arial" w:hAnsi="Arial" w:cs="Arial"/>
          <w:color w:val="000000" w:themeColor="text1"/>
        </w:rPr>
        <w:t xml:space="preserve"> capabilities. However, at present, a proper control framework for such in-network processing is still missing – while IETF ANIMA [C4-04] establishes a virtually separate control plane, it hides compute resources behind application functions. Some work has started, e.g., the recently established IRTF COIN (Computing In-Network) research group [C4-05] or IETF FORCES [C4-06] (separation of forwarding and control elements). Overall, </w:t>
      </w:r>
      <w:r w:rsidRPr="000D6F95">
        <w:rPr>
          <w:rFonts w:ascii="Arial" w:hAnsi="Arial" w:cs="Arial"/>
          <w:b/>
          <w:color w:val="000000" w:themeColor="text1"/>
        </w:rPr>
        <w:t>the nature of services has moved from monolithic services towards chains of collaborating microservices, at both application- and network-service level.</w:t>
      </w:r>
    </w:p>
    <w:p w14:paraId="103E489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Along with changes in the nature of services, the third aspect are changes in the </w:t>
      </w:r>
      <w:r w:rsidRPr="000D6F95">
        <w:rPr>
          <w:rFonts w:ascii="Arial" w:hAnsi="Arial" w:cs="Arial"/>
          <w:bCs/>
          <w:i/>
          <w:iCs/>
          <w:color w:val="000000" w:themeColor="text1"/>
        </w:rPr>
        <w:t>nature of</w:t>
      </w:r>
      <w:r w:rsidRPr="000D6F95">
        <w:rPr>
          <w:rFonts w:ascii="Arial" w:hAnsi="Arial" w:cs="Arial"/>
          <w:color w:val="000000" w:themeColor="text1"/>
        </w:rPr>
        <w:t xml:space="preserve"> </w:t>
      </w:r>
      <w:r w:rsidRPr="000D6F95">
        <w:rPr>
          <w:rFonts w:ascii="Arial" w:hAnsi="Arial" w:cs="Arial"/>
          <w:bCs/>
          <w:i/>
          <w:iCs/>
          <w:color w:val="000000" w:themeColor="text1"/>
        </w:rPr>
        <w:t>service provisioning.</w:t>
      </w:r>
      <w:r w:rsidRPr="000D6F95">
        <w:rPr>
          <w:rFonts w:ascii="Arial" w:hAnsi="Arial" w:cs="Arial"/>
          <w:b/>
          <w:bCs/>
          <w:i/>
          <w:iCs/>
          <w:color w:val="000000" w:themeColor="text1"/>
        </w:rPr>
        <w:t xml:space="preserve"> </w:t>
      </w:r>
      <w:r w:rsidRPr="000D6F95">
        <w:rPr>
          <w:rFonts w:ascii="Arial" w:hAnsi="Arial" w:cs="Arial"/>
          <w:color w:val="000000" w:themeColor="text1"/>
        </w:rPr>
        <w:t xml:space="preserve">While microservices (networking or application-level) can be provisioned directly on bare metal, </w:t>
      </w:r>
      <w:r w:rsidRPr="000D6F95">
        <w:rPr>
          <w:rFonts w:ascii="Arial" w:hAnsi="Arial" w:cs="Arial"/>
          <w:i/>
          <w:color w:val="000000" w:themeColor="text1"/>
        </w:rPr>
        <w:t>virtualization</w:t>
      </w:r>
      <w:r w:rsidRPr="000D6F95">
        <w:rPr>
          <w:rFonts w:ascii="Arial" w:hAnsi="Arial" w:cs="Arial"/>
          <w:b/>
          <w:i/>
          <w:color w:val="000000" w:themeColor="text1"/>
        </w:rPr>
        <w:t xml:space="preserve"> </w:t>
      </w:r>
      <w:r w:rsidRPr="000D6F95">
        <w:rPr>
          <w:rFonts w:ascii="Arial" w:hAnsi="Arial" w:cs="Arial"/>
          <w:bCs/>
          <w:iCs/>
          <w:color w:val="000000" w:themeColor="text1"/>
        </w:rPr>
        <w:t>has opened up new opportunities</w:t>
      </w:r>
      <w:r w:rsidRPr="000D6F95">
        <w:rPr>
          <w:rFonts w:ascii="Arial" w:hAnsi="Arial" w:cs="Arial"/>
          <w:color w:val="000000" w:themeColor="text1"/>
        </w:rPr>
        <w:t xml:space="preserve">. Since a long time, it has been driving the hosting model in clouds and PoPs; the evolution towards more lightweight virtualization approaches, e.g., through containers or unikernels, has increased the dynamicity of serving instances on a pool of available compute resources. Large-scale services, such as Gmail, YouTube and others, use this approach by dispatching service requests at the DC ingress to dynamically created micro-services, which in turn are based on container-based virtualization. The 5G community has realized the power of such flexibility and enabled its 5G Core specifications to use service-based architecture (SBA), which adopts the micro-service model for realizing vertical industry specific control planes over a cloud-native infrastructure, within a so-called </w:t>
      </w:r>
      <w:r w:rsidRPr="000D6F95">
        <w:rPr>
          <w:rFonts w:ascii="Arial" w:hAnsi="Arial" w:cs="Arial"/>
          <w:i/>
          <w:color w:val="000000" w:themeColor="text1"/>
        </w:rPr>
        <w:t>telco cloud</w:t>
      </w:r>
      <w:r w:rsidRPr="000D6F95">
        <w:rPr>
          <w:rFonts w:ascii="Arial" w:hAnsi="Arial" w:cs="Arial"/>
          <w:color w:val="000000" w:themeColor="text1"/>
        </w:rPr>
        <w:t xml:space="preserve">. </w:t>
      </w:r>
      <w:r w:rsidRPr="000D6F95">
        <w:rPr>
          <w:rFonts w:ascii="Arial" w:hAnsi="Arial" w:cs="Arial"/>
          <w:i/>
          <w:color w:val="000000" w:themeColor="text1"/>
        </w:rPr>
        <w:t>Service routing</w:t>
      </w:r>
      <w:r w:rsidRPr="000D6F95">
        <w:rPr>
          <w:rFonts w:ascii="Arial" w:hAnsi="Arial" w:cs="Arial"/>
          <w:color w:val="000000" w:themeColor="text1"/>
        </w:rPr>
        <w:t xml:space="preserve"> becomes key here for the dispatching of service request, e.g., to establish a data traffic session quickly to the right service instance in the data centre of the mobile operator. Given proper service routing, the data centre can easily be distributed, giving mobile operators a decisive competitive advantage over conventional cloud operators in localizing services, as already observed above as a trend in the Internet. We observe that </w:t>
      </w:r>
      <w:r w:rsidRPr="000D6F95">
        <w:rPr>
          <w:rFonts w:ascii="Arial" w:hAnsi="Arial" w:cs="Arial"/>
          <w:b/>
          <w:color w:val="000000" w:themeColor="text1"/>
        </w:rPr>
        <w:t>the nature of service provisioning has changed towards virtualization, for both application services and network services.</w:t>
      </w:r>
    </w:p>
    <w:p w14:paraId="4073537F"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Many major Internet players, such as Google, have long recognized this trend and focused their attention on improving service access in the customer access network (to their POPs hosting their services). QUIC [C4-07], as an example, initially was implemented in the Chrome browser on top of UDP as a differentiator for Google services; standardization in the IETF only followed the initial deployment in millions of Chrome browsers. The intention here was clear, namely, to improve the invocation of services that support the (initially proprietary) extension, with the access network becoming even a dumber pipe and utilizing service end point instead for everything from name resolution to service invocation.</w:t>
      </w:r>
    </w:p>
    <w:p w14:paraId="2357010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Complementing virtualization of service elements, </w:t>
      </w:r>
      <w:r w:rsidRPr="000D6F95">
        <w:rPr>
          <w:rFonts w:ascii="Arial" w:hAnsi="Arial" w:cs="Arial"/>
          <w:i/>
          <w:color w:val="000000" w:themeColor="text1"/>
        </w:rPr>
        <w:t>network</w:t>
      </w:r>
      <w:r w:rsidRPr="000D6F95">
        <w:rPr>
          <w:rFonts w:ascii="Arial" w:hAnsi="Arial" w:cs="Arial"/>
          <w:color w:val="000000" w:themeColor="text1"/>
        </w:rPr>
        <w:t xml:space="preserve"> </w:t>
      </w:r>
      <w:r w:rsidRPr="000D6F95">
        <w:rPr>
          <w:rFonts w:ascii="Arial" w:hAnsi="Arial" w:cs="Arial"/>
          <w:i/>
          <w:color w:val="000000" w:themeColor="text1"/>
        </w:rPr>
        <w:t>programmability</w:t>
      </w:r>
      <w:r w:rsidRPr="000D6F95">
        <w:rPr>
          <w:rFonts w:ascii="Arial" w:hAnsi="Arial" w:cs="Arial"/>
          <w:color w:val="000000" w:themeColor="text1"/>
        </w:rPr>
        <w:t xml:space="preserve"> has enabled programmatic changes of forwarding operations post-deployment. In consequence, programmability enables the functionality of all/some network elements, network functions and network services to be dynamically changed in all segments of the network infrastructure (i.e., wireless and wired access, core, edge and network cloud segments. Therefore, network programmability supports different and multiple execution environments at the forwarding plane level, those execution environments enabling the creation, composition, deployment, the actual execution and management of network services and/or network functions. </w:t>
      </w:r>
    </w:p>
    <w:p w14:paraId="5BCF7E3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w:t>
      </w:r>
      <w:r w:rsidRPr="000D6F95">
        <w:rPr>
          <w:rFonts w:ascii="Arial" w:hAnsi="Arial" w:cs="Arial"/>
          <w:i/>
          <w:color w:val="000000" w:themeColor="text1"/>
        </w:rPr>
        <w:t>digitization of processes</w:t>
      </w:r>
      <w:r w:rsidRPr="000D6F95">
        <w:rPr>
          <w:rFonts w:ascii="Arial" w:hAnsi="Arial" w:cs="Arial"/>
          <w:color w:val="000000" w:themeColor="text1"/>
        </w:rPr>
        <w:t xml:space="preserve"> has been proliferating in many industry branches, significantly diversifying the use cases for communication technologies beyond the often consumer-oriented focus of typical Internet services (such as social media or OTT video). Communication technologies have penetrated manufacturing, supply chains, vehicular engineering, health technologies and governmental services, among others. The Internet-of-Things (IoT) has created a vibrant industry sector with a plethora of service scenarios well beyond the consumer-oriented Internet. This has broadened the scope of services and both </w:t>
      </w:r>
      <w:r w:rsidRPr="000D6F95">
        <w:rPr>
          <w:rFonts w:ascii="Arial" w:hAnsi="Arial" w:cs="Arial"/>
          <w:color w:val="000000" w:themeColor="text1"/>
        </w:rPr>
        <w:lastRenderedPageBreak/>
        <w:t xml:space="preserve">functional and extra-functional service requirements. The questions are a) if the existing networking model, with its one-size-fits-all approach, can support this mix of services, and b) whether custom-tailored, in-network service provisioned as in-network service chains are a superior model. These questions go well beyond the addition of a small set of QoS parameters to different data flows or the usage of network slices as isolated parts – it considers the whole set of resources and service semantics. As a trend, </w:t>
      </w:r>
      <w:r w:rsidRPr="000D6F95">
        <w:rPr>
          <w:rFonts w:ascii="Arial" w:hAnsi="Arial" w:cs="Arial"/>
          <w:b/>
          <w:color w:val="000000" w:themeColor="text1"/>
        </w:rPr>
        <w:t>new service types are realized by integrating application and network services and their provisioning, across all types of networks.</w:t>
      </w:r>
    </w:p>
    <w:p w14:paraId="422952C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Another key aspect is the assumed </w:t>
      </w:r>
      <w:r w:rsidRPr="000D6F95">
        <w:rPr>
          <w:rFonts w:ascii="Arial" w:hAnsi="Arial" w:cs="Arial"/>
          <w:i/>
          <w:color w:val="000000" w:themeColor="text1"/>
        </w:rPr>
        <w:t>service invocation model</w:t>
      </w:r>
      <w:r w:rsidRPr="000D6F95">
        <w:rPr>
          <w:rFonts w:ascii="Arial" w:hAnsi="Arial" w:cs="Arial"/>
          <w:color w:val="000000" w:themeColor="text1"/>
        </w:rPr>
        <w:t xml:space="preserve">. While we already discussed the transition from pure client-server to collaborative model, the ‘language’ chosen for the transactions performed in said collaborative chains also varies. Although arguments have been presented that HTTP/REST may be seen as the new waist of the Internet [C4-08], the reality of many service invocation frameworks and protocols persists. Those range from request-response models (such as in HTTP), over pub-sub models (with HTTP/2 enabling some functionality) and message passing abstractions to remote memory access models (to create the abstraction of a large yet distributed computer with shared local memory). Similarly, there is an abundance of service discovery protocols (Bonjour, UPnP, …), none of which are interoperable, and few of which are applicable outside very specific environments. We can observe from this situation that </w:t>
      </w:r>
      <w:r w:rsidRPr="000D6F95">
        <w:rPr>
          <w:rFonts w:ascii="Arial" w:hAnsi="Arial" w:cs="Arial"/>
          <w:i/>
          <w:color w:val="000000" w:themeColor="text1"/>
        </w:rPr>
        <w:t>distributed computing has not converged</w:t>
      </w:r>
      <w:r w:rsidRPr="000D6F95">
        <w:rPr>
          <w:rFonts w:ascii="Arial" w:hAnsi="Arial" w:cs="Arial"/>
          <w:color w:val="000000" w:themeColor="text1"/>
        </w:rPr>
        <w:t xml:space="preserve"> onto a single universal invocation framework that can be used to connect to any other compute resource. Furthermore, each service invocation framework usually comes with its particular lower layer protocols onto which to map the service invocation itself (e.g., HTTP-&gt;TCP-&gt;IP), often leaving IP as the only common denominator. Therefore, </w:t>
      </w:r>
      <w:r w:rsidRPr="000D6F95">
        <w:rPr>
          <w:rFonts w:ascii="Arial" w:hAnsi="Arial" w:cs="Arial"/>
          <w:b/>
          <w:color w:val="000000" w:themeColor="text1"/>
        </w:rPr>
        <w:t>services choose the best means of interacting with each other, while relying on basic means to route service requests.</w:t>
      </w:r>
    </w:p>
    <w:p w14:paraId="465882F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 final aspect is the changing </w:t>
      </w:r>
      <w:r w:rsidRPr="000D6F95">
        <w:rPr>
          <w:rFonts w:ascii="Arial" w:hAnsi="Arial" w:cs="Arial"/>
          <w:i/>
          <w:color w:val="000000" w:themeColor="text1"/>
        </w:rPr>
        <w:t>nature of the relationships</w:t>
      </w:r>
      <w:r w:rsidRPr="000D6F95">
        <w:rPr>
          <w:rFonts w:ascii="Arial" w:hAnsi="Arial" w:cs="Arial"/>
          <w:color w:val="000000" w:themeColor="text1"/>
        </w:rPr>
        <w:t xml:space="preserve"> between the entities providing these services. Currently, systems providing services are mostly assumed to be trusted (or not), and reliable (with occasional faults), but the overall trend we are witnessing is to an increasingly more complex environment, where multiple providers compete with different (albeit similar) offers, with not exactly the same levels of guarantees and trust. Hence, the overall system can only provide </w:t>
      </w:r>
      <w:r w:rsidRPr="000D6F95">
        <w:rPr>
          <w:rFonts w:ascii="Arial" w:hAnsi="Arial" w:cs="Arial"/>
          <w:i/>
          <w:color w:val="000000" w:themeColor="text1"/>
        </w:rPr>
        <w:t>trustworthy end-to-end services</w:t>
      </w:r>
      <w:r w:rsidRPr="000D6F95">
        <w:rPr>
          <w:rFonts w:ascii="Arial" w:hAnsi="Arial" w:cs="Arial"/>
          <w:color w:val="000000" w:themeColor="text1"/>
        </w:rPr>
        <w:t xml:space="preserve"> by relying on high system dynamicity to adapt to variable trust relationships across the different system components. </w:t>
      </w:r>
      <w:r w:rsidRPr="000D6F95">
        <w:rPr>
          <w:rFonts w:ascii="Arial" w:hAnsi="Arial" w:cs="Arial"/>
          <w:b/>
          <w:color w:val="000000" w:themeColor="text1"/>
        </w:rPr>
        <w:t>A service environment of determined trustworthiness needs to be set up by dynamic and intelligent methods over subsystems or micro-services of variable trustworthiness.</w:t>
      </w:r>
    </w:p>
    <w:p w14:paraId="4CA60BAF" w14:textId="39EFA198"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The key takeaway from these trends is that collaborative services in the Internet have moved on significantly since devising the key fundamentals of network forwarding that underpin the transfer of bits over the Internet.</w:t>
      </w:r>
    </w:p>
    <w:p w14:paraId="39170735" w14:textId="77777777" w:rsidR="00C42C17" w:rsidRPr="000D6F95" w:rsidRDefault="00C42C17" w:rsidP="000D6F95">
      <w:pPr>
        <w:spacing w:after="120" w:line="240" w:lineRule="auto"/>
        <w:jc w:val="both"/>
        <w:rPr>
          <w:rFonts w:ascii="Arial" w:hAnsi="Arial" w:cs="Arial"/>
          <w:color w:val="000000" w:themeColor="text1"/>
        </w:rPr>
      </w:pPr>
    </w:p>
    <w:p w14:paraId="191B285F" w14:textId="6368655E" w:rsidR="000D6F95" w:rsidRDefault="000D6F95" w:rsidP="000D6F95">
      <w:pPr>
        <w:pStyle w:val="Heading2"/>
      </w:pPr>
      <w:bookmarkStart w:id="96" w:name="_Toc40879273"/>
      <w:bookmarkStart w:id="97" w:name="_Toc42177240"/>
      <w:r w:rsidRPr="000D6F95">
        <w:t>System Architecture Vision: Towards Smart Green Systems</w:t>
      </w:r>
      <w:bookmarkEnd w:id="96"/>
      <w:bookmarkEnd w:id="97"/>
    </w:p>
    <w:p w14:paraId="3705B5BE" w14:textId="77777777" w:rsidR="00C42C17" w:rsidRPr="00C42C17" w:rsidRDefault="00C42C17" w:rsidP="00C42C17"/>
    <w:p w14:paraId="41E8784A"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With the general move towards collaborative services, the main problem is to overcome the traditional yet obsolete separation of the entire compute-and-communicate infrastructure into separate domains (logic: network vs. application; business: telcos vs. clouds; silos: automotive vertical vs. manufacturing vertical; …). Chiefly, if the original Internet was about inter-networking, i.e., bit transport between different networks, </w:t>
      </w:r>
      <w:r w:rsidRPr="000D6F95">
        <w:rPr>
          <w:rFonts w:ascii="Arial" w:hAnsi="Arial" w:cs="Arial"/>
          <w:b/>
          <w:color w:val="000000" w:themeColor="text1"/>
        </w:rPr>
        <w:t>future research must address the inter-computing</w:t>
      </w:r>
      <w:r w:rsidRPr="000D6F95">
        <w:rPr>
          <w:rFonts w:ascii="Arial" w:hAnsi="Arial" w:cs="Arial"/>
          <w:color w:val="000000" w:themeColor="text1"/>
        </w:rPr>
        <w:t>, i.e., service execution between different systems.</w:t>
      </w:r>
    </w:p>
    <w:p w14:paraId="0E5B761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Like the Internet of today, the Internet of the future will be a complex planetary system made of myriads of physically interconnected elements, logically broken in separate islands, each possibly applying different security policies, routing mechanisms, access mode to application services. With more and more intelligence and computing power available per resource, resources will be configured and orchestrated dynamically (i.e., also reprogrammed in runtime), both to deploy/support new services and to better match the requirements of services </w:t>
      </w:r>
      <w:r w:rsidRPr="000D6F95">
        <w:rPr>
          <w:rFonts w:ascii="Arial" w:hAnsi="Arial" w:cs="Arial"/>
          <w:color w:val="000000" w:themeColor="text1"/>
        </w:rPr>
        <w:lastRenderedPageBreak/>
        <w:t xml:space="preserve">running over the network. With this however, </w:t>
      </w:r>
      <w:r w:rsidRPr="000D6F95">
        <w:rPr>
          <w:rFonts w:ascii="Arial" w:hAnsi="Arial" w:cs="Arial"/>
          <w:i/>
          <w:color w:val="000000" w:themeColor="text1"/>
        </w:rPr>
        <w:t>unlike the Internet of today</w:t>
      </w:r>
      <w:r w:rsidRPr="000D6F95">
        <w:rPr>
          <w:rFonts w:ascii="Arial" w:hAnsi="Arial" w:cs="Arial"/>
          <w:color w:val="000000" w:themeColor="text1"/>
        </w:rPr>
        <w:t xml:space="preserve">, the Internet of the future will exhibit much higher dynamics, notably in its own topology, and will better support virtualization, paving a possible path for its own technology evolution, very difficult today at a global scale. With that </w:t>
      </w:r>
      <w:r w:rsidRPr="000D6F95">
        <w:rPr>
          <w:rFonts w:ascii="Arial" w:hAnsi="Arial" w:cs="Arial"/>
          <w:i/>
          <w:color w:val="000000" w:themeColor="text1"/>
        </w:rPr>
        <w:t>higher dynamics</w:t>
      </w:r>
      <w:r w:rsidRPr="000D6F95">
        <w:rPr>
          <w:rFonts w:ascii="Arial" w:hAnsi="Arial" w:cs="Arial"/>
          <w:color w:val="000000" w:themeColor="text1"/>
        </w:rPr>
        <w:t xml:space="preserve"> and the </w:t>
      </w:r>
      <w:r w:rsidRPr="000D6F95">
        <w:rPr>
          <w:rFonts w:ascii="Arial" w:hAnsi="Arial" w:cs="Arial"/>
          <w:i/>
          <w:color w:val="000000" w:themeColor="text1"/>
        </w:rPr>
        <w:t>co-existence of virtual and physical entities</w:t>
      </w:r>
      <w:r w:rsidRPr="000D6F95">
        <w:rPr>
          <w:rFonts w:ascii="Arial" w:hAnsi="Arial" w:cs="Arial"/>
          <w:color w:val="000000" w:themeColor="text1"/>
        </w:rPr>
        <w:t>, the physically separate policy islands of today will often overlap in resources in the future.</w:t>
      </w:r>
    </w:p>
    <w:p w14:paraId="65CD3314"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 massive number of devices will be connected and will generate and exchange very large quantities of data. Useful insights will be generated based on the automatic analysis of all that data (e.g., using machine learning methods, ML). The infrastructure that supports society (IoT, cyber-physical systems) will be integrated with the Internet, which will help improve the effectiveness and efficiency of both, e.g., using adaptation through learning. </w:t>
      </w:r>
      <w:r w:rsidRPr="000D6F95">
        <w:rPr>
          <w:rFonts w:ascii="Arial" w:hAnsi="Arial" w:cs="Arial"/>
          <w:i/>
          <w:color w:val="000000" w:themeColor="text1"/>
        </w:rPr>
        <w:t>It is paramount to approach ML systemically to correctly assess the relevant trade-offs</w:t>
      </w:r>
      <w:r w:rsidRPr="000D6F95">
        <w:rPr>
          <w:rFonts w:ascii="Arial" w:hAnsi="Arial" w:cs="Arial"/>
          <w:color w:val="000000" w:themeColor="text1"/>
        </w:rPr>
        <w:t xml:space="preserve">: ML instrumentations per se require massive data transfers, are computation-intensive and, ultimately, consume massive amounts of energy. </w:t>
      </w:r>
      <w:r w:rsidRPr="000D6F95">
        <w:rPr>
          <w:rFonts w:ascii="Arial" w:hAnsi="Arial" w:cs="Arial"/>
          <w:i/>
          <w:color w:val="000000" w:themeColor="text1"/>
        </w:rPr>
        <w:t>Relying on siloed solutions and dedicated implementations limits the usefulness of ML, while it increases the cybersecurity risks (attack surface).</w:t>
      </w:r>
    </w:p>
    <w:p w14:paraId="0C2D7C5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These trends imply that the future network technology will have to support the Internet economy and the particular needs of the cyber-physical infrastructure alike. It will have to work with virtual objects and remote objects, the density, distribution, longevity and interconnection of which in any area can vary a lot (cmp. DC virtual machines against physical L3 routers). It will have to integrate local and remote objects and different connectivity modes seamlessly. It will have to handle its own constituting nodes and services of transient nature, which can disappear and reappear, possibly at a different location and in zero time, be multiplied and shrunk without notice, etc. At the same time, this future network will be expected to operate as a facility: it will be relied upon by private users, businesses, critical branches and governments. Therefore, it will have to be resilient to both failures and security threats, in a world, where autonomic operations for both services and infrastructures, and in particular AI/ML techniques, will be widely used. Open standards will be required, while governments will want to impose limits and regulations on the usage of all the data required to drive these new systems. In this context, overcoming the digital divide will be a key driver for technology evolution, and personal freedom and rights will need to be assured across all media.</w:t>
      </w:r>
    </w:p>
    <w:p w14:paraId="48086CB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Here, </w:t>
      </w:r>
      <w:r w:rsidRPr="000D6F95">
        <w:rPr>
          <w:rFonts w:ascii="Arial" w:hAnsi="Arial" w:cs="Arial"/>
          <w:b/>
          <w:color w:val="000000" w:themeColor="text1"/>
        </w:rPr>
        <w:t>flexible provisioning and elastic execution on dynamic and changing resource pool emerge as key challenges for the future system architecture</w:t>
      </w:r>
      <w:r w:rsidRPr="000D6F95">
        <w:rPr>
          <w:rFonts w:ascii="Arial" w:hAnsi="Arial" w:cs="Arial"/>
          <w:color w:val="000000" w:themeColor="text1"/>
        </w:rPr>
        <w:t xml:space="preserve">. Flexible provisioning refers to the generality of the infrastructure and its capability to onboard and execute essentially any ICT service. The generality of the infrastructure, as opposed to the reliance on service-dedicated components, is important to increase </w:t>
      </w:r>
      <w:r w:rsidRPr="000D6F95">
        <w:rPr>
          <w:rFonts w:ascii="Arial" w:hAnsi="Arial" w:cs="Arial"/>
          <w:i/>
          <w:color w:val="000000" w:themeColor="text1"/>
        </w:rPr>
        <w:t>infrastructure sustainability</w:t>
      </w:r>
      <w:r w:rsidRPr="000D6F95">
        <w:rPr>
          <w:rFonts w:ascii="Arial" w:hAnsi="Arial" w:cs="Arial"/>
          <w:color w:val="000000" w:themeColor="text1"/>
        </w:rPr>
        <w:t xml:space="preserve"> in time and </w:t>
      </w:r>
      <w:r w:rsidRPr="000D6F95">
        <w:rPr>
          <w:rFonts w:ascii="Arial" w:hAnsi="Arial" w:cs="Arial"/>
          <w:i/>
          <w:color w:val="000000" w:themeColor="text1"/>
        </w:rPr>
        <w:t>degrees of freedom for multiplexing gains</w:t>
      </w:r>
      <w:r w:rsidRPr="000D6F95">
        <w:rPr>
          <w:rFonts w:ascii="Arial" w:hAnsi="Arial" w:cs="Arial"/>
          <w:color w:val="000000" w:themeColor="text1"/>
        </w:rPr>
        <w:t xml:space="preserve">. Execution elasticity refers to an efficient adaptation during the execution, i.e., in runtime, and allows selection of best suitable links and components, to preserve the expected service properties while limiting overprovisioning. In particular, elasticity, as the capability of adjusting resources used in service execution, is key to enable </w:t>
      </w:r>
      <w:r w:rsidRPr="000D6F95">
        <w:rPr>
          <w:rFonts w:ascii="Arial" w:hAnsi="Arial" w:cs="Arial"/>
          <w:b/>
          <w:color w:val="000000" w:themeColor="text1"/>
        </w:rPr>
        <w:t>truly green networking</w:t>
      </w:r>
      <w:r w:rsidRPr="000D6F95">
        <w:rPr>
          <w:rFonts w:ascii="Arial" w:hAnsi="Arial" w:cs="Arial"/>
          <w:color w:val="000000" w:themeColor="text1"/>
        </w:rPr>
        <w:t>, as it allows to redirect requests to resources with better ecological sustainability and to limit the overall resource footprint while preserving the service throughput. Given the resource mix, we have to assume that elasticity and flexibility also apply to infrastructure resources. Hence, working with individual resources is limiting and not sustainable; rather, allocations and executions should refer to the resource pool as a whole. This in turn requires pervasive, resilient resource control.</w:t>
      </w:r>
    </w:p>
    <w:p w14:paraId="063FE1DB" w14:textId="77777777" w:rsidR="000D6F95" w:rsidRPr="000D6F95" w:rsidRDefault="000D6F95" w:rsidP="000D6F95">
      <w:pPr>
        <w:keepNext/>
        <w:spacing w:after="120" w:line="240" w:lineRule="auto"/>
        <w:jc w:val="center"/>
        <w:rPr>
          <w:rFonts w:ascii="Arial" w:hAnsi="Arial" w:cs="Arial"/>
          <w:color w:val="000000" w:themeColor="text1"/>
        </w:rPr>
      </w:pPr>
      <w:r w:rsidRPr="000D6F95">
        <w:rPr>
          <w:rFonts w:ascii="Arial" w:hAnsi="Arial" w:cs="Arial"/>
          <w:noProof/>
          <w:color w:val="000000" w:themeColor="text1"/>
          <w:lang w:eastAsia="en-GB"/>
        </w:rPr>
        <w:drawing>
          <wp:inline distT="0" distB="0" distL="0" distR="0" wp14:anchorId="091C9978" wp14:editId="293845B8">
            <wp:extent cx="2116607" cy="12086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91164" cy="1251212"/>
                    </a:xfrm>
                    <a:prstGeom prst="rect">
                      <a:avLst/>
                    </a:prstGeom>
                    <a:noFill/>
                    <a:ln>
                      <a:noFill/>
                    </a:ln>
                  </pic:spPr>
                </pic:pic>
              </a:graphicData>
            </a:graphic>
          </wp:inline>
        </w:drawing>
      </w:r>
    </w:p>
    <w:p w14:paraId="5BC85092" w14:textId="4EBD363A" w:rsidR="000D6F95" w:rsidRPr="000D6F95" w:rsidRDefault="000D6F95" w:rsidP="000D6F95">
      <w:pPr>
        <w:spacing w:before="120" w:after="200" w:line="240" w:lineRule="auto"/>
        <w:jc w:val="center"/>
        <w:rPr>
          <w:rFonts w:ascii="Arial" w:eastAsiaTheme="minorEastAsia" w:hAnsi="Arial" w:cs="Arial"/>
          <w:b/>
          <w:bCs/>
          <w:noProof/>
          <w:lang w:eastAsia="de-DE"/>
        </w:rPr>
      </w:pPr>
      <w:bookmarkStart w:id="98" w:name="_Ref40876216"/>
      <w:r w:rsidRPr="000D6F95">
        <w:rPr>
          <w:rFonts w:ascii="Arial" w:eastAsiaTheme="minorEastAsia" w:hAnsi="Arial" w:cs="Arial"/>
          <w:b/>
          <w:bCs/>
          <w:lang w:eastAsia="de-DE"/>
        </w:rPr>
        <w:t xml:space="preserve">Figure </w:t>
      </w:r>
      <w:r w:rsidR="00DA6395">
        <w:rPr>
          <w:rFonts w:ascii="Arial" w:eastAsiaTheme="minorEastAsia" w:hAnsi="Arial" w:cs="Arial"/>
          <w:b/>
          <w:bCs/>
          <w:lang w:eastAsia="de-DE"/>
        </w:rPr>
        <w:t>4</w:t>
      </w:r>
      <w:r w:rsidRPr="000D6F95">
        <w:rPr>
          <w:rFonts w:ascii="Arial" w:eastAsiaTheme="minorEastAsia" w:hAnsi="Arial" w:cs="Arial"/>
          <w:b/>
          <w:bCs/>
          <w:lang w:eastAsia="de-DE"/>
        </w:rPr>
        <w:noBreakHyphen/>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SEQ Figure \* ARABIC \s 1 </w:instrText>
      </w:r>
      <w:r w:rsidRPr="000D6F95">
        <w:rPr>
          <w:rFonts w:ascii="Arial" w:eastAsiaTheme="minorEastAsia" w:hAnsi="Arial" w:cs="Arial"/>
          <w:b/>
          <w:bCs/>
          <w:lang w:eastAsia="de-DE"/>
        </w:rPr>
        <w:fldChar w:fldCharType="separate"/>
      </w:r>
      <w:r w:rsidR="003F0180">
        <w:rPr>
          <w:rFonts w:ascii="Arial" w:eastAsiaTheme="minorEastAsia" w:hAnsi="Arial" w:cs="Arial"/>
          <w:b/>
          <w:bCs/>
          <w:noProof/>
          <w:lang w:eastAsia="de-DE"/>
        </w:rPr>
        <w:t>1</w:t>
      </w:r>
      <w:r w:rsidRPr="000D6F95">
        <w:rPr>
          <w:rFonts w:ascii="Arial" w:eastAsiaTheme="minorEastAsia" w:hAnsi="Arial" w:cs="Arial"/>
          <w:b/>
          <w:bCs/>
          <w:noProof/>
          <w:lang w:eastAsia="de-DE"/>
        </w:rPr>
        <w:fldChar w:fldCharType="end"/>
      </w:r>
      <w:bookmarkEnd w:id="98"/>
      <w:r w:rsidRPr="000D6F95">
        <w:rPr>
          <w:rFonts w:ascii="Arial" w:eastAsiaTheme="minorEastAsia" w:hAnsi="Arial" w:cs="Arial"/>
          <w:b/>
          <w:bCs/>
          <w:lang w:eastAsia="de-DE"/>
        </w:rPr>
        <w:t xml:space="preserve"> The Smart Green Networks Concept</w:t>
      </w:r>
    </w:p>
    <w:p w14:paraId="2EC7CBDB" w14:textId="24D842A8" w:rsidR="000D6F95" w:rsidRPr="000D6F95" w:rsidRDefault="000D6F95" w:rsidP="000D6F95">
      <w:pPr>
        <w:spacing w:after="120" w:line="240" w:lineRule="auto"/>
        <w:jc w:val="both"/>
        <w:rPr>
          <w:rFonts w:ascii="Arial" w:hAnsi="Arial" w:cs="Arial"/>
          <w:b/>
          <w:color w:val="000000" w:themeColor="text1"/>
        </w:rPr>
      </w:pPr>
      <w:r w:rsidRPr="000D6F95">
        <w:rPr>
          <w:rFonts w:ascii="Arial" w:hAnsi="Arial" w:cs="Arial"/>
          <w:b/>
          <w:color w:val="000000" w:themeColor="text1"/>
        </w:rPr>
        <w:lastRenderedPageBreak/>
        <w:t>We envision a Smart Green Network as a programmable system based on a single, unifying controllability framework spanning all resources a tenant is authorized to control, including from previously separate and heterogeneous domains, e.g., enterprise and telecom networks, virtual and physical, data centres and routers, satellites and terrestrial nodes, etc. The unifying controllability framework will glue the disparate resource islands to one system of the tenant supporting smart flexible instantiation and adaptive, elastic and correct execution of any service on the resources (</w:t>
      </w:r>
      <w:r w:rsidRPr="000D6F95">
        <w:rPr>
          <w:rFonts w:ascii="Arial" w:hAnsi="Arial" w:cs="Arial"/>
          <w:b/>
          <w:color w:val="000000" w:themeColor="text1"/>
        </w:rPr>
        <w:fldChar w:fldCharType="begin"/>
      </w:r>
      <w:r w:rsidRPr="000D6F95">
        <w:rPr>
          <w:rFonts w:ascii="Arial" w:hAnsi="Arial" w:cs="Arial"/>
          <w:b/>
          <w:color w:val="000000" w:themeColor="text1"/>
        </w:rPr>
        <w:instrText xml:space="preserve"> REF _Ref40876216 \h  \* MERGEFORMAT </w:instrText>
      </w:r>
      <w:r w:rsidRPr="000D6F95">
        <w:rPr>
          <w:rFonts w:ascii="Arial" w:hAnsi="Arial" w:cs="Arial"/>
          <w:b/>
          <w:color w:val="000000" w:themeColor="text1"/>
        </w:rPr>
      </w:r>
      <w:r w:rsidRPr="000D6F95">
        <w:rPr>
          <w:rFonts w:ascii="Arial" w:hAnsi="Arial" w:cs="Arial"/>
          <w:b/>
          <w:color w:val="000000" w:themeColor="text1"/>
        </w:rPr>
        <w:fldChar w:fldCharType="separate"/>
      </w:r>
      <w:r w:rsidR="003F0180" w:rsidRPr="003F0180">
        <w:rPr>
          <w:rFonts w:ascii="Arial" w:hAnsi="Arial" w:cs="Arial"/>
          <w:b/>
          <w:color w:val="000000" w:themeColor="text1"/>
        </w:rPr>
        <w:t xml:space="preserve">Figure </w:t>
      </w:r>
      <w:r w:rsidR="003F0180" w:rsidRPr="003F0180">
        <w:rPr>
          <w:rFonts w:ascii="Arial" w:hAnsi="Arial" w:cs="Arial"/>
          <w:b/>
          <w:noProof/>
          <w:color w:val="000000" w:themeColor="text1"/>
        </w:rPr>
        <w:t>4</w:t>
      </w:r>
      <w:r w:rsidR="003F0180" w:rsidRPr="003F0180">
        <w:rPr>
          <w:rFonts w:ascii="Arial" w:hAnsi="Arial" w:cs="Arial"/>
          <w:b/>
          <w:noProof/>
          <w:color w:val="000000" w:themeColor="text1"/>
        </w:rPr>
        <w:noBreakHyphen/>
        <w:t>1</w:t>
      </w:r>
      <w:r w:rsidRPr="000D6F95">
        <w:rPr>
          <w:rFonts w:ascii="Arial" w:hAnsi="Arial" w:cs="Arial"/>
          <w:b/>
          <w:color w:val="000000" w:themeColor="text1"/>
        </w:rPr>
        <w:fldChar w:fldCharType="end"/>
      </w:r>
      <w:r w:rsidRPr="000D6F95">
        <w:rPr>
          <w:rFonts w:ascii="Arial" w:hAnsi="Arial" w:cs="Arial"/>
          <w:b/>
          <w:color w:val="000000" w:themeColor="text1"/>
        </w:rPr>
        <w:t>).</w:t>
      </w:r>
    </w:p>
    <w:p w14:paraId="41E449B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Hence, the key challenges that the Smart Green Network controllability layer must solve are: the aspects of control over multiple general-purpose, distributed, network control operating systems; the availability of powerful abstractions from resources to services; new naming schemes for virtualised resources; dynamic and automated discovery; structurally adaptive logical interconnection; multi-criteria routing in networks of different densities; intent-based open APIs and highly configurable policies to control the resource and service access as well as dynamics; isolation of application’s execution environments and performances; efficient scheduling of requests to resources; a high degree of automation and support of self-* principles (</w:t>
      </w:r>
      <w:r w:rsidRPr="000D6F95">
        <w:rPr>
          <w:rFonts w:ascii="Arial" w:hAnsi="Arial" w:cs="Arial"/>
          <w:i/>
          <w:color w:val="000000" w:themeColor="text1"/>
        </w:rPr>
        <w:t>self-driving networks</w:t>
      </w:r>
      <w:r w:rsidRPr="000D6F95">
        <w:rPr>
          <w:rFonts w:ascii="Arial" w:hAnsi="Arial" w:cs="Arial"/>
          <w:color w:val="000000" w:themeColor="text1"/>
        </w:rPr>
        <w:t>); and distributed yet trustworthy ML instrumentations.</w:t>
      </w:r>
    </w:p>
    <w:p w14:paraId="6DED551C"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addition to time-proven algorithm design approaches in order to provide provable and understandable behaviour, the Smart Green Networks concept will also use existing AI/ML algorithms as well as propose new, </w:t>
      </w:r>
      <w:r w:rsidRPr="000D6F95">
        <w:rPr>
          <w:rFonts w:ascii="Arial" w:hAnsi="Arial" w:cs="Arial"/>
          <w:i/>
          <w:color w:val="000000" w:themeColor="text1"/>
        </w:rPr>
        <w:t>network-suitable, distributed AI/ML</w:t>
      </w:r>
      <w:r w:rsidRPr="000D6F95">
        <w:rPr>
          <w:rFonts w:ascii="Arial" w:hAnsi="Arial" w:cs="Arial"/>
          <w:color w:val="000000" w:themeColor="text1"/>
        </w:rPr>
        <w:t xml:space="preserve">, to implement data-driven closed control loops that can enable cognitive and comprehensible system behaviour. The training and validation of such technologies require the availability of </w:t>
      </w:r>
      <w:r w:rsidRPr="000D6F95">
        <w:rPr>
          <w:rFonts w:ascii="Arial" w:hAnsi="Arial" w:cs="Arial"/>
          <w:i/>
          <w:color w:val="000000" w:themeColor="text1"/>
        </w:rPr>
        <w:t>cross-technology and cross-sectorial datasets</w:t>
      </w:r>
      <w:r w:rsidRPr="000D6F95">
        <w:rPr>
          <w:rFonts w:ascii="Arial" w:hAnsi="Arial" w:cs="Arial"/>
          <w:color w:val="000000" w:themeColor="text1"/>
        </w:rPr>
        <w:t xml:space="preserve"> that do not exist yet. The networking research community needs to build those datasets, agreeing how they are generated, accepted and accessed.</w:t>
      </w:r>
    </w:p>
    <w:p w14:paraId="44E70CA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Overall, it is imperative to:</w:t>
      </w:r>
    </w:p>
    <w:p w14:paraId="6EDC6742"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Allow dynamic pooling of resources from diverse participating systems, devices and objects;</w:t>
      </w:r>
    </w:p>
    <w:p w14:paraId="187248F6"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Integrate autonomics to enable self-organized, resilient programmability and elastic, correct service execution;</w:t>
      </w:r>
    </w:p>
    <w:p w14:paraId="7365D41D"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Offer programmable analytics and cooperative machine learning to the service layer through open interfaces.</w:t>
      </w:r>
    </w:p>
    <w:p w14:paraId="24875911"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Keys to the realization of this vision are discussed in the next sections of this document:</w:t>
      </w:r>
    </w:p>
    <w:p w14:paraId="7770B6D1"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programmable infrastructures composed of versatile devices and subsystems (4.7),</w:t>
      </w:r>
    </w:p>
    <w:p w14:paraId="3A22615E"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integration of AI/ML at the system level (4.6),</w:t>
      </w:r>
    </w:p>
    <w:p w14:paraId="53FE2D49"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efficient yet correct runtime resource allocations and their execution (4.5),</w:t>
      </w:r>
    </w:p>
    <w:p w14:paraId="591C3710" w14:textId="77777777" w:rsidR="000D6F95" w:rsidRP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extensible and flexible data plane protocols (4.4),</w:t>
      </w:r>
    </w:p>
    <w:p w14:paraId="2A795015" w14:textId="4D66CEB1" w:rsidR="000D6F95" w:rsidRDefault="000D6F95" w:rsidP="000D6F95">
      <w:pPr>
        <w:numPr>
          <w:ilvl w:val="0"/>
          <w:numId w:val="4"/>
        </w:numPr>
        <w:spacing w:after="120" w:line="240" w:lineRule="auto"/>
        <w:contextualSpacing/>
        <w:jc w:val="both"/>
        <w:rPr>
          <w:rFonts w:ascii="Arial" w:hAnsi="Arial" w:cs="Arial"/>
          <w:color w:val="000000" w:themeColor="text1"/>
        </w:rPr>
      </w:pPr>
      <w:r w:rsidRPr="000D6F95">
        <w:rPr>
          <w:rFonts w:ascii="Arial" w:hAnsi="Arial" w:cs="Arial"/>
          <w:color w:val="000000" w:themeColor="text1"/>
        </w:rPr>
        <w:t>and pervasive operational resource control (4.3).</w:t>
      </w:r>
    </w:p>
    <w:p w14:paraId="7C144E0A" w14:textId="77777777" w:rsidR="00C42C17" w:rsidRPr="000D6F95" w:rsidRDefault="00C42C17" w:rsidP="00C42C17">
      <w:pPr>
        <w:spacing w:after="120" w:line="240" w:lineRule="auto"/>
        <w:contextualSpacing/>
        <w:jc w:val="both"/>
        <w:rPr>
          <w:rFonts w:ascii="Arial" w:hAnsi="Arial" w:cs="Arial"/>
          <w:color w:val="000000" w:themeColor="text1"/>
        </w:rPr>
      </w:pPr>
    </w:p>
    <w:p w14:paraId="0B02055B" w14:textId="17DA637E" w:rsidR="000D6F95" w:rsidRDefault="000D6F95" w:rsidP="000D6F95">
      <w:pPr>
        <w:pStyle w:val="Heading2"/>
        <w:rPr>
          <w:lang w:eastAsia="de-DE"/>
        </w:rPr>
      </w:pPr>
      <w:bookmarkStart w:id="99" w:name="_Toc509511047"/>
      <w:bookmarkStart w:id="100" w:name="_Toc40879274"/>
      <w:bookmarkStart w:id="101" w:name="_Toc42177241"/>
      <w:r w:rsidRPr="000D6F95">
        <w:rPr>
          <w:lang w:eastAsia="de-DE"/>
        </w:rPr>
        <w:t>Virtualised Network Control for Increased Flexibility</w:t>
      </w:r>
      <w:bookmarkEnd w:id="99"/>
      <w:bookmarkEnd w:id="100"/>
      <w:bookmarkEnd w:id="101"/>
    </w:p>
    <w:p w14:paraId="3027892E" w14:textId="77777777" w:rsidR="00C42C17" w:rsidRPr="00C42C17" w:rsidRDefault="00C42C17" w:rsidP="00C42C17">
      <w:pPr>
        <w:rPr>
          <w:lang w:eastAsia="de-DE"/>
        </w:rPr>
      </w:pPr>
    </w:p>
    <w:p w14:paraId="679431B9" w14:textId="77777777" w:rsidR="000D6F95" w:rsidRPr="000D6F95" w:rsidRDefault="000D6F95" w:rsidP="00DA6395">
      <w:pPr>
        <w:pStyle w:val="Heading3"/>
      </w:pPr>
      <w:bookmarkStart w:id="102" w:name="_Toc40879275"/>
      <w:bookmarkStart w:id="103" w:name="_Toc42177242"/>
      <w:r w:rsidRPr="000D6F95">
        <w:t>Programmability is Control</w:t>
      </w:r>
      <w:bookmarkEnd w:id="102"/>
      <w:bookmarkEnd w:id="103"/>
    </w:p>
    <w:p w14:paraId="3B4472D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Future infrastructures must be extremely flexible in operations and elastic in resource usage. Programmability of resources is the only way to achieve this. However, different from configuration management, </w:t>
      </w:r>
      <w:r w:rsidRPr="000D6F95">
        <w:rPr>
          <w:rFonts w:ascii="Arial" w:hAnsi="Arial" w:cs="Arial"/>
          <w:b/>
          <w:color w:val="000000" w:themeColor="text1"/>
        </w:rPr>
        <w:t>programmability requires runtime resource control</w:t>
      </w:r>
      <w:r w:rsidRPr="000D6F95">
        <w:rPr>
          <w:rFonts w:ascii="Arial" w:hAnsi="Arial" w:cs="Arial"/>
          <w:color w:val="000000" w:themeColor="text1"/>
        </w:rPr>
        <w:t xml:space="preserve">, i.e., a way for a program executed somewhere to receive some infrastructure event and to possibly tell to a given resource what to do, both proactively and reactively, including in runtime. The requirements on any control plane are classically intrinsically linked to the requirements on the data plane. Yet, with programmability, </w:t>
      </w:r>
      <w:r w:rsidRPr="000D6F95">
        <w:rPr>
          <w:rFonts w:ascii="Arial" w:hAnsi="Arial" w:cs="Arial"/>
          <w:i/>
          <w:color w:val="000000" w:themeColor="text1"/>
        </w:rPr>
        <w:t>any</w:t>
      </w:r>
      <w:r w:rsidRPr="000D6F95">
        <w:rPr>
          <w:rFonts w:ascii="Arial" w:hAnsi="Arial" w:cs="Arial"/>
          <w:color w:val="000000" w:themeColor="text1"/>
        </w:rPr>
        <w:t xml:space="preserve"> data plane becomes possible, and hence, both functional and extra-functional requirements on the control plane are enormous. For a control plane used for software-defined infrastructure operations, network structure, the available </w:t>
      </w:r>
      <w:r w:rsidRPr="000D6F95">
        <w:rPr>
          <w:rFonts w:ascii="Arial" w:hAnsi="Arial" w:cs="Arial"/>
          <w:color w:val="000000" w:themeColor="text1"/>
        </w:rPr>
        <w:lastRenderedPageBreak/>
        <w:t>functionality, transported payloads, data rates for the latter, the latencies of exchanges, the resilience and the security are difficult to predict.</w:t>
      </w:r>
    </w:p>
    <w:p w14:paraId="4BF6FD9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b/>
          <w:color w:val="000000" w:themeColor="text1"/>
        </w:rPr>
        <w:t>A programmable system must provide an autonomic programmability</w:t>
      </w:r>
      <w:r w:rsidRPr="000D6F95">
        <w:rPr>
          <w:rFonts w:ascii="Arial" w:hAnsi="Arial" w:cs="Arial"/>
          <w:color w:val="000000" w:themeColor="text1"/>
        </w:rPr>
        <w:t xml:space="preserve"> after deployment. There are several pragmatic reasons for that: first, setting up such a versatile and resilient control plane manually is not a skill readily available in any environment; second, this approach would be delicate, as one would need to predict future needs correctly. The main reason however is fundamental: </w:t>
      </w:r>
      <w:r w:rsidRPr="000D6F95">
        <w:rPr>
          <w:rFonts w:ascii="Arial" w:hAnsi="Arial" w:cs="Arial"/>
          <w:i/>
          <w:color w:val="000000" w:themeColor="text1"/>
        </w:rPr>
        <w:t>autonomic organization is imperative to support infrastructure dynamics, which programmability as such creates</w:t>
      </w:r>
      <w:r w:rsidRPr="000D6F95">
        <w:rPr>
          <w:rFonts w:ascii="Arial" w:hAnsi="Arial" w:cs="Arial"/>
          <w:color w:val="000000" w:themeColor="text1"/>
        </w:rPr>
        <w:t xml:space="preserve">. Any programmability solution not able to self-organize or adapt is, therefore, incomplete. Network and system control cannot rely on rigid approaches, as any such approach would only be suitable for particular environments (e.g., centralistic control, particular hierarchies, etc). Instead, </w:t>
      </w:r>
      <w:r w:rsidRPr="000D6F95">
        <w:rPr>
          <w:rFonts w:ascii="Arial" w:hAnsi="Arial" w:cs="Arial"/>
          <w:i/>
          <w:color w:val="000000" w:themeColor="text1"/>
        </w:rPr>
        <w:t>novel solutions are required capable of organizing control flows and control-related processing dynamically among all controllable system elements</w:t>
      </w:r>
      <w:r w:rsidRPr="000D6F95">
        <w:rPr>
          <w:rFonts w:ascii="Arial" w:hAnsi="Arial" w:cs="Arial"/>
          <w:color w:val="000000" w:themeColor="text1"/>
        </w:rPr>
        <w:t xml:space="preserve">, i.e., across multiple domains, systems and layers. This includes initial self-organization, self-preservation during runtime facing external and internal events and </w:t>
      </w:r>
      <w:r w:rsidRPr="000D6F95">
        <w:rPr>
          <w:rFonts w:ascii="Arial" w:hAnsi="Arial" w:cs="Arial"/>
          <w:i/>
          <w:color w:val="000000" w:themeColor="text1"/>
        </w:rPr>
        <w:t>structural adaptation</w:t>
      </w:r>
      <w:r w:rsidRPr="000D6F95">
        <w:rPr>
          <w:rFonts w:ascii="Arial" w:hAnsi="Arial" w:cs="Arial"/>
          <w:color w:val="000000" w:themeColor="text1"/>
        </w:rPr>
        <w:t>. Modern ICT infrastructures need to provide dynamic resource management to fulfil different SLAs and to achieve E2E service assurance. Rigidity in any aspect limits the degrees of freedom and, hence, limits the optimality.</w:t>
      </w:r>
    </w:p>
    <w:p w14:paraId="5D6AA4DA" w14:textId="54C47113"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With infrastructure programmability (often referred to as “network virtualization” or “network slicing”, not to be confused with the “5G slicing” concept),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network virtualization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IP routers or Ethernet switches), whose flow processing capabilities are intrinsically linked to the purpose of the device, network virtualization breaks this barrier by allowing to define different flow treatments on the same network node and by concurrently reusing any given link for flows of different “slices” or services requiring different assurances. The same applies to the compute nodes.</w:t>
      </w:r>
    </w:p>
    <w:p w14:paraId="0F32D181" w14:textId="77777777" w:rsidR="00C42C17" w:rsidRPr="000D6F95" w:rsidRDefault="00C42C17" w:rsidP="000D6F95">
      <w:pPr>
        <w:spacing w:after="120" w:line="240" w:lineRule="auto"/>
        <w:jc w:val="both"/>
        <w:rPr>
          <w:rFonts w:ascii="Arial" w:hAnsi="Arial" w:cs="Arial"/>
          <w:color w:val="000000" w:themeColor="text1"/>
        </w:rPr>
      </w:pPr>
    </w:p>
    <w:p w14:paraId="5F431EBA" w14:textId="77777777" w:rsidR="000D6F95" w:rsidRPr="000D6F95" w:rsidRDefault="000D6F95" w:rsidP="00DA6395">
      <w:pPr>
        <w:pStyle w:val="Heading3"/>
      </w:pPr>
      <w:bookmarkStart w:id="104" w:name="_Toc40879276"/>
      <w:bookmarkStart w:id="105" w:name="_Toc42177243"/>
      <w:r w:rsidRPr="000D6F95">
        <w:t>Separation of control/controllability</w:t>
      </w:r>
      <w:bookmarkEnd w:id="104"/>
      <w:bookmarkEnd w:id="105"/>
    </w:p>
    <w:p w14:paraId="2CFEB61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This immediately raises a completely new question of a </w:t>
      </w:r>
      <w:r w:rsidRPr="000D6F95">
        <w:rPr>
          <w:rFonts w:ascii="Arial" w:hAnsi="Arial" w:cs="Arial"/>
          <w:i/>
          <w:color w:val="000000" w:themeColor="text1"/>
        </w:rPr>
        <w:t>service-independent control of resources per se</w:t>
      </w:r>
      <w:r w:rsidRPr="000D6F95">
        <w:rPr>
          <w:rFonts w:ascii="Arial" w:hAnsi="Arial" w:cs="Arial"/>
          <w:color w:val="000000" w:themeColor="text1"/>
        </w:rPr>
        <w:t xml:space="preserve">: as all infrastructure capacities are, in principle, service-independent, we need a novel means to make sure that the execution of any service-specific element on an infrastructure element is durably possible. In other words, while a router routes and a switch switches, and there is hardly anything to verify about that, programmability allows to tell a node to route, while this same node was not a router before, yet had other roles and tasks. It must be verified that it routes correctly over time despite possible task overlap. Classically, control was always integrated in a particular solution logic (on the respective OSI layer or abstraction level) and directly projected to resources dedicated to realize (a part of) that solution. Previously, as existence and function of a node used to be the same, so was their control. For example, network service errors can be traced down to network element errors, by using network service control means. With programmability however, this changes drastically. </w:t>
      </w:r>
      <w:r w:rsidRPr="000D6F95">
        <w:rPr>
          <w:rFonts w:ascii="Arial" w:hAnsi="Arial" w:cs="Arial"/>
          <w:b/>
          <w:color w:val="000000" w:themeColor="text1"/>
        </w:rPr>
        <w:t xml:space="preserve">We need to understand resource control as a new, paramount domain: </w:t>
      </w:r>
      <w:r w:rsidRPr="000D6F95">
        <w:rPr>
          <w:rFonts w:ascii="Arial" w:hAnsi="Arial" w:cs="Arial"/>
          <w:color w:val="000000" w:themeColor="text1"/>
        </w:rPr>
        <w:t>since node and links generally do not have single predefined functions,</w:t>
      </w:r>
      <w:r w:rsidRPr="000D6F95">
        <w:rPr>
          <w:rFonts w:ascii="Arial" w:hAnsi="Arial" w:cs="Arial"/>
          <w:b/>
          <w:color w:val="000000" w:themeColor="text1"/>
        </w:rPr>
        <w:t xml:space="preserve"> there is a new requirement to allocate, monitor, migrate and execute/run several service elements on a shared, per se service-agnostic, infrastructure</w:t>
      </w:r>
      <w:r w:rsidRPr="000D6F95">
        <w:rPr>
          <w:rFonts w:ascii="Arial" w:hAnsi="Arial" w:cs="Arial"/>
          <w:color w:val="000000" w:themeColor="text1"/>
        </w:rPr>
        <w:t xml:space="preserve">. We call it </w:t>
      </w:r>
      <w:r w:rsidRPr="000D6F95">
        <w:rPr>
          <w:rFonts w:ascii="Arial" w:hAnsi="Arial" w:cs="Arial"/>
          <w:i/>
          <w:color w:val="000000" w:themeColor="text1"/>
        </w:rPr>
        <w:t>controllability.</w:t>
      </w:r>
    </w:p>
    <w:p w14:paraId="429D49A1" w14:textId="0AAB2E64"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Additional complexity arises from the insight that, generally, an allocated function does not translate to a single infrastructure element, but can be sustained by resource capacities </w:t>
      </w:r>
      <w:r w:rsidRPr="000D6F95">
        <w:rPr>
          <w:rFonts w:ascii="Arial" w:hAnsi="Arial" w:cs="Arial"/>
          <w:color w:val="000000" w:themeColor="text1"/>
        </w:rPr>
        <w:lastRenderedPageBreak/>
        <w:t>distributed over the infrastructure. Due to scalability and availability requirements, most network functions rely on hugely distributed realisations, causing the allocation, extension, monitoring or migration of a network function much more challenging than the question of copying a software state from one node to another.</w:t>
      </w:r>
    </w:p>
    <w:p w14:paraId="641F75D6" w14:textId="77777777" w:rsidR="00C42C17" w:rsidRPr="000D6F95" w:rsidRDefault="00C42C17" w:rsidP="000D6F95">
      <w:pPr>
        <w:spacing w:after="120" w:line="240" w:lineRule="auto"/>
        <w:jc w:val="both"/>
        <w:rPr>
          <w:rFonts w:ascii="Arial" w:hAnsi="Arial" w:cs="Arial"/>
          <w:color w:val="000000" w:themeColor="text1"/>
        </w:rPr>
      </w:pPr>
    </w:p>
    <w:p w14:paraId="271E9030" w14:textId="77777777" w:rsidR="000D6F95" w:rsidRPr="000D6F95" w:rsidRDefault="000D6F95" w:rsidP="00DA6395">
      <w:pPr>
        <w:pStyle w:val="Heading3"/>
      </w:pPr>
      <w:bookmarkStart w:id="106" w:name="_Toc40879277"/>
      <w:bookmarkStart w:id="107" w:name="_Toc42177244"/>
      <w:r w:rsidRPr="000D6F95">
        <w:t>Multi-Tenancy and Ownership</w:t>
      </w:r>
      <w:bookmarkEnd w:id="106"/>
      <w:bookmarkEnd w:id="107"/>
    </w:p>
    <w:p w14:paraId="5A8E4E1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Network virtualization is resource sharing. Therefore, service footprints, projected to physical resources involved into the execution, are expected to overlap, constituting multi-tenancy in the overall system.</w:t>
      </w:r>
    </w:p>
    <w:p w14:paraId="20569B3A"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Multi-tenancy in management and control is generally hard, as it contributes to a so-called “split brain” problem: conflicts are likely to happen at the resource level, when several independent owners assign tasks to a shared resource (pool). Such conflicts can be in resource capacities (e.g., two tenants trying to book 2/3 of the resource each), or they can be of semantic nature (e.g., close port followed by open port). In control, multi-tenancy is harder to resolve, because of the potential time-criticality of the commands. </w:t>
      </w:r>
      <w:r w:rsidRPr="000D6F95">
        <w:rPr>
          <w:rFonts w:ascii="Arial" w:hAnsi="Arial" w:cs="Arial"/>
          <w:b/>
          <w:color w:val="000000" w:themeColor="text1"/>
        </w:rPr>
        <w:t>This calls for autonomic, system-integrated, runtime mechanisms for either conflict resolution or conflict avoidance, both in allocations and execution</w:t>
      </w:r>
      <w:r w:rsidRPr="000D6F95">
        <w:rPr>
          <w:rFonts w:ascii="Arial" w:hAnsi="Arial" w:cs="Arial"/>
          <w:color w:val="000000" w:themeColor="text1"/>
        </w:rPr>
        <w:t>. Candidate mechanisms per se should cater for multi-tenant operations and the expected system dependability and size. In particular, they cannot rely on single entities or centralistic approaches. This makes the design of such mechanisms generally harder and optimality as a goal questionable. Besides, while trying to provide service guarantees, such mechanisms should not sacrifice system availability and be aware of energy efficiency.</w:t>
      </w:r>
    </w:p>
    <w:p w14:paraId="358DD5DD" w14:textId="6E849B45"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spite of its expected pervasiveness, resource control solutions need to respect and maintain boundaries of the responsibilities, power and rights for each stakeholder in the ecosystem, as these are key for a secured, guaranteed SLA enforcement. The problem is that with network virtualization tenants can change their control scopes dynamically. Therefore, the classical notion of ownership is not well adapted to the problem space. Instead, the notion of </w:t>
      </w:r>
      <w:r w:rsidRPr="000D6F95">
        <w:rPr>
          <w:rFonts w:ascii="Arial" w:hAnsi="Arial" w:cs="Arial"/>
          <w:b/>
          <w:color w:val="000000" w:themeColor="text1"/>
        </w:rPr>
        <w:t>ownership through controllability</w:t>
      </w:r>
      <w:r w:rsidRPr="000D6F95">
        <w:rPr>
          <w:rFonts w:ascii="Arial" w:hAnsi="Arial" w:cs="Arial"/>
          <w:color w:val="000000" w:themeColor="text1"/>
        </w:rPr>
        <w:t xml:space="preserve"> seems better suitable. This notion extends classical ownership through resources obtained through dynamic allocations, booking, and “leasing”. For instance, while resource limits of a virtual machine are up to the owner of the executing host, the definition of processes within the virtual machine is up to the owner of that virtual machine. Suitable control solutions should enforce this principle, also in the sense of (secure) isolation.</w:t>
      </w:r>
    </w:p>
    <w:p w14:paraId="70459E2D" w14:textId="77777777" w:rsidR="00C42C17" w:rsidRPr="000D6F95" w:rsidRDefault="00C42C17" w:rsidP="000D6F95">
      <w:pPr>
        <w:spacing w:after="120" w:line="240" w:lineRule="auto"/>
        <w:jc w:val="both"/>
        <w:rPr>
          <w:rFonts w:ascii="Arial" w:hAnsi="Arial" w:cs="Arial"/>
          <w:color w:val="000000" w:themeColor="text1"/>
        </w:rPr>
      </w:pPr>
    </w:p>
    <w:p w14:paraId="1D52584D" w14:textId="77777777" w:rsidR="000D6F95" w:rsidRPr="000D6F95" w:rsidRDefault="000D6F95" w:rsidP="00DA6395">
      <w:pPr>
        <w:pStyle w:val="Heading3"/>
      </w:pPr>
      <w:bookmarkStart w:id="108" w:name="_Toc40879278"/>
      <w:bookmarkStart w:id="109" w:name="_Toc42177245"/>
      <w:r w:rsidRPr="000D6F95">
        <w:t>Known Unknowns</w:t>
      </w:r>
      <w:bookmarkEnd w:id="108"/>
      <w:bookmarkEnd w:id="109"/>
    </w:p>
    <w:p w14:paraId="7B1253B7"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To support different realizations for semantically identical entities and to hide implementation complexity, a general key challenge is to separate enforcement (the ”how” part) from the decision (the “what” part). Given multi-tenancy and dynamicity, it is necessary to investigate the ways, in which the control boundary evolves between the objective (e.g., a number of decisions at a given point in time) and its realisation (e.g., considering the operational limits of realising any decision being made, the actually available resources, etc.).</w:t>
      </w:r>
    </w:p>
    <w:p w14:paraId="09229A3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Insisting on perfect knowledge in the described environment will often be in contradiction to the operational reality. Therefore, </w:t>
      </w:r>
      <w:r w:rsidRPr="000D6F95">
        <w:rPr>
          <w:rFonts w:ascii="Arial" w:hAnsi="Arial" w:cs="Arial"/>
          <w:b/>
          <w:color w:val="000000" w:themeColor="text1"/>
        </w:rPr>
        <w:t>solutions should be prepared to work with some degree of “fuzziness”</w:t>
      </w:r>
      <w:r w:rsidRPr="000D6F95">
        <w:rPr>
          <w:rFonts w:ascii="Arial" w:hAnsi="Arial" w:cs="Arial"/>
          <w:color w:val="000000" w:themeColor="text1"/>
        </w:rPr>
        <w:t xml:space="preserve">, i.e., with incomplete data, with data of different freshness, with unreliable postulates. That is why </w:t>
      </w:r>
      <w:r w:rsidRPr="000D6F95">
        <w:rPr>
          <w:rFonts w:ascii="Arial" w:hAnsi="Arial" w:cs="Arial"/>
          <w:b/>
          <w:color w:val="000000" w:themeColor="text1"/>
        </w:rPr>
        <w:t>adaptation is more important than optimality</w:t>
      </w:r>
      <w:r w:rsidRPr="000D6F95">
        <w:rPr>
          <w:rFonts w:ascii="Arial" w:hAnsi="Arial" w:cs="Arial"/>
          <w:color w:val="000000" w:themeColor="text1"/>
        </w:rPr>
        <w:t xml:space="preserve"> in this regard. Generally, decision modules need intrinsic flexibility and call for software control elements, realising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realised by the resource owner, possibly self-constrained by objectives imposed by the physical infrastructure and its operational environment. With all this, the overall system will nevertheless need to fulfil the service requirements.</w:t>
      </w:r>
    </w:p>
    <w:p w14:paraId="0F828726" w14:textId="77777777" w:rsidR="000D6F95" w:rsidRPr="000D6F95" w:rsidRDefault="000D6F95" w:rsidP="00DA6395">
      <w:pPr>
        <w:pStyle w:val="Heading3"/>
      </w:pPr>
      <w:bookmarkStart w:id="110" w:name="_Toc40879279"/>
      <w:bookmarkStart w:id="111" w:name="_Toc42177246"/>
      <w:r w:rsidRPr="000D6F95">
        <w:lastRenderedPageBreak/>
        <w:t>Self-Preservation</w:t>
      </w:r>
      <w:bookmarkEnd w:id="110"/>
      <w:bookmarkEnd w:id="111"/>
    </w:p>
    <w:p w14:paraId="1D87708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Given the importance of the controllability framework for the overall operations and its central position in the architecture, it is crucial to devise dependable, i.e., reliable and secure, solutions. In particular, the roles with respect to the programmability (controllability) and service operations (control) should be verifiable, and necessary protections must be applied to both control channels and control end-points, acknowledging decentralization, multi-tenancy and known unknowns, i.e., also dynamics in the overall span of the control plane and dynamics in the available infrastructure resources.</w:t>
      </w:r>
    </w:p>
    <w:p w14:paraId="6FF3EB70"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A running control framework must be able to adapt to such changes, e.g., include and remove resources, adjust its own resource usage yet still protect its own integrity. Besides, the execution of its constituting parts in possible remote, virtual objects on devices physically owned by other tenants calls for either trustworthiness verifications of such executing devices or for systemic approaches to mitigate dependency on any particular component.</w:t>
      </w:r>
    </w:p>
    <w:p w14:paraId="7B9C1B13" w14:textId="415A7838"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self-preservation solution must also counter so-called </w:t>
      </w:r>
      <w:r w:rsidRPr="000D6F95">
        <w:rPr>
          <w:rFonts w:ascii="Arial" w:hAnsi="Arial" w:cs="Arial"/>
          <w:i/>
          <w:color w:val="000000" w:themeColor="text1"/>
        </w:rPr>
        <w:t>self-inflicted errors</w:t>
      </w:r>
      <w:r w:rsidRPr="000D6F95">
        <w:rPr>
          <w:rFonts w:ascii="Arial" w:hAnsi="Arial" w:cs="Arial"/>
          <w:color w:val="000000" w:themeColor="text1"/>
        </w:rPr>
        <w:t xml:space="preserve"> inherent to programmability: a running “program” of a tenant could have negative impact on the resource control framework per se. For instance, it could overload crucial control elements (e.g., putting controller under high load leading to timeouts), influence control transport channels (redirecting traffic) or the control plane structure (e.g., blocking control plane traffic to and from nodes and disconnecting controlees from controllers, etc). </w:t>
      </w:r>
      <w:r w:rsidRPr="000D6F95">
        <w:rPr>
          <w:rFonts w:ascii="Arial" w:hAnsi="Arial" w:cs="Arial"/>
          <w:b/>
          <w:color w:val="000000" w:themeColor="text1"/>
        </w:rPr>
        <w:t>Establishing system integrity and self-preservation in runtime for a distributed, dynamic resource control sub-system is one of the research challenges</w:t>
      </w:r>
      <w:r w:rsidRPr="000D6F95">
        <w:rPr>
          <w:rFonts w:ascii="Arial" w:hAnsi="Arial" w:cs="Arial"/>
          <w:color w:val="000000" w:themeColor="text1"/>
        </w:rPr>
        <w:t>.</w:t>
      </w:r>
    </w:p>
    <w:p w14:paraId="46C2CF24" w14:textId="77777777" w:rsidR="00C42C17" w:rsidRPr="000D6F95" w:rsidRDefault="00C42C17" w:rsidP="000D6F95">
      <w:pPr>
        <w:spacing w:after="120" w:line="240" w:lineRule="auto"/>
        <w:jc w:val="both"/>
        <w:rPr>
          <w:rFonts w:ascii="Arial" w:hAnsi="Arial" w:cs="Arial"/>
          <w:color w:val="000000" w:themeColor="text1"/>
        </w:rPr>
      </w:pPr>
    </w:p>
    <w:p w14:paraId="2EC79D9E" w14:textId="77777777" w:rsidR="000D6F95" w:rsidRPr="000D6F95" w:rsidRDefault="000D6F95" w:rsidP="00DA6395">
      <w:pPr>
        <w:pStyle w:val="Heading3"/>
      </w:pPr>
      <w:bookmarkStart w:id="112" w:name="_Toc40879280"/>
      <w:bookmarkStart w:id="113" w:name="_Toc42177247"/>
      <w:r w:rsidRPr="000D6F95">
        <w:t>Research Challenges</w:t>
      </w:r>
      <w:bookmarkEnd w:id="112"/>
      <w:bookmarkEnd w:id="113"/>
    </w:p>
    <w:p w14:paraId="3AF677A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Challenges on resource control in Programmable Infrastructures include:</w:t>
      </w:r>
    </w:p>
    <w:p w14:paraId="1C597041" w14:textId="77777777" w:rsidR="000D6F95" w:rsidRPr="000D6F95" w:rsidRDefault="000D6F95" w:rsidP="0034180F">
      <w:pPr>
        <w:numPr>
          <w:ilvl w:val="0"/>
          <w:numId w:val="8"/>
        </w:numPr>
        <w:spacing w:after="120" w:line="240" w:lineRule="auto"/>
        <w:jc w:val="both"/>
        <w:rPr>
          <w:rFonts w:ascii="Arial" w:hAnsi="Arial" w:cs="Arial"/>
          <w:color w:val="000000" w:themeColor="text1"/>
        </w:rPr>
      </w:pPr>
      <w:r w:rsidRPr="000D6F95">
        <w:rPr>
          <w:rFonts w:ascii="Arial" w:hAnsi="Arial" w:cs="Arial"/>
          <w:color w:val="000000" w:themeColor="text1"/>
        </w:rPr>
        <w:t>Resource control emerges as an initial glue that first allows operators to programme their infrastructures, i.e., as an initial new service that allows to allocate, monitor, execute and remove service elements on/from sets of nodes and links. To avoid vendor lock-in and to allow truly end-to-end slicing, it is exactly this glue that requires standardisation, and not any domain-specific management interface.</w:t>
      </w:r>
    </w:p>
    <w:p w14:paraId="2E3429A2" w14:textId="77777777" w:rsidR="000D6F95" w:rsidRPr="000D6F95" w:rsidRDefault="000D6F95" w:rsidP="0034180F">
      <w:pPr>
        <w:numPr>
          <w:ilvl w:val="0"/>
          <w:numId w:val="8"/>
        </w:numPr>
        <w:spacing w:after="120" w:line="240" w:lineRule="auto"/>
        <w:jc w:val="both"/>
        <w:rPr>
          <w:rFonts w:ascii="Arial" w:hAnsi="Arial" w:cs="Arial"/>
          <w:color w:val="000000" w:themeColor="text1"/>
        </w:rPr>
      </w:pPr>
      <w:r w:rsidRPr="000D6F95">
        <w:rPr>
          <w:rFonts w:ascii="Arial" w:hAnsi="Arial" w:cs="Arial"/>
          <w:color w:val="000000" w:themeColor="text1"/>
        </w:rPr>
        <w:t>Resource control must be able to reach out to all resources controllable by a tenant and be capable to check the states and operations of all service- or slice-specific elements on those resources. Besides, the realisation of the resource control itself should follow the insights from above, i.e., it must be distributed over all controllable nodes and must support elasticity of itself (reaching out to new elements, adaptability, including in structure, self-preservation, conflict awareness).</w:t>
      </w:r>
    </w:p>
    <w:p w14:paraId="222DF249" w14:textId="5E07D21A"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Because of the novel degree of decoupling of service elements from the infrastructure, the central problem of programmability is not to make a blueprint, but to be able to execute any requested blueprint on top of a shared, distributed infrastructure composed of different capacities, occupied by loads from other executed services or slices. Such a distributed guaranteed execution under contention and with concurrency is extremely challenging and, currently, can only be solved on very small scales.</w:t>
      </w:r>
    </w:p>
    <w:p w14:paraId="6D140DDA" w14:textId="77777777" w:rsidR="00C42C17" w:rsidRPr="000D6F95" w:rsidRDefault="00C42C17" w:rsidP="000D6F95">
      <w:pPr>
        <w:spacing w:after="120" w:line="240" w:lineRule="auto"/>
        <w:jc w:val="both"/>
        <w:rPr>
          <w:rFonts w:ascii="Arial" w:hAnsi="Arial" w:cs="Arial"/>
          <w:color w:val="000000" w:themeColor="text1"/>
        </w:rPr>
      </w:pPr>
    </w:p>
    <w:p w14:paraId="57B4AA78" w14:textId="1964C8C6" w:rsidR="000D6F95" w:rsidRDefault="000D6F95" w:rsidP="000D6F95">
      <w:pPr>
        <w:pStyle w:val="Heading2"/>
      </w:pPr>
      <w:bookmarkStart w:id="114" w:name="_Toc40879281"/>
      <w:bookmarkStart w:id="115" w:name="_Toc42177248"/>
      <w:bookmarkStart w:id="116" w:name="_Toc509511049"/>
      <w:r w:rsidRPr="000D6F95">
        <w:t>Re-Thinking the Data &amp; Forwarding Planes</w:t>
      </w:r>
      <w:bookmarkEnd w:id="114"/>
      <w:bookmarkEnd w:id="115"/>
    </w:p>
    <w:p w14:paraId="4A77211B" w14:textId="77777777" w:rsidR="00C42C17" w:rsidRPr="00C42C17" w:rsidRDefault="00C42C17" w:rsidP="00C42C17"/>
    <w:p w14:paraId="48FC902A" w14:textId="77777777" w:rsidR="000D6F95" w:rsidRPr="000D6F95" w:rsidRDefault="000D6F95" w:rsidP="00DA6395">
      <w:pPr>
        <w:pStyle w:val="Heading3"/>
      </w:pPr>
      <w:bookmarkStart w:id="117" w:name="_Toc40879282"/>
      <w:bookmarkStart w:id="118" w:name="_Toc42177249"/>
      <w:r w:rsidRPr="000D6F95">
        <w:t>Design Considerations for an Evolved Data &amp; Forwarding Plane</w:t>
      </w:r>
      <w:bookmarkEnd w:id="117"/>
      <w:bookmarkEnd w:id="118"/>
      <w:r w:rsidRPr="000D6F95" w:rsidDel="000832DD">
        <w:t xml:space="preserve"> </w:t>
      </w:r>
    </w:p>
    <w:p w14:paraId="1C337B8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The original design of the IP-centric data plane of the Internet focused on three key fundamentals (i.e., principles – key design choices), namely ensuring </w:t>
      </w:r>
      <w:r w:rsidRPr="000D6F95">
        <w:rPr>
          <w:rFonts w:ascii="Arial" w:hAnsi="Arial" w:cs="Arial"/>
          <w:i/>
          <w:color w:val="000000" w:themeColor="text1"/>
        </w:rPr>
        <w:t>global reachability</w:t>
      </w:r>
      <w:r w:rsidRPr="000D6F95">
        <w:rPr>
          <w:rFonts w:ascii="Arial" w:hAnsi="Arial" w:cs="Arial"/>
          <w:color w:val="000000" w:themeColor="text1"/>
        </w:rPr>
        <w:t xml:space="preserve"> through a </w:t>
      </w:r>
      <w:r w:rsidRPr="000D6F95">
        <w:rPr>
          <w:rFonts w:ascii="Arial" w:hAnsi="Arial" w:cs="Arial"/>
          <w:i/>
          <w:color w:val="000000" w:themeColor="text1"/>
        </w:rPr>
        <w:t>robust</w:t>
      </w:r>
      <w:r w:rsidRPr="000D6F95">
        <w:rPr>
          <w:rFonts w:ascii="Arial" w:hAnsi="Arial" w:cs="Arial"/>
          <w:color w:val="000000" w:themeColor="text1"/>
        </w:rPr>
        <w:t xml:space="preserve"> packet forwarding mechanism that would provide a </w:t>
      </w:r>
      <w:r w:rsidRPr="000D6F95">
        <w:rPr>
          <w:rFonts w:ascii="Arial" w:hAnsi="Arial" w:cs="Arial"/>
          <w:i/>
          <w:color w:val="000000" w:themeColor="text1"/>
        </w:rPr>
        <w:t>best effort</w:t>
      </w:r>
      <w:r w:rsidRPr="000D6F95">
        <w:rPr>
          <w:rFonts w:ascii="Arial" w:hAnsi="Arial" w:cs="Arial"/>
          <w:color w:val="000000" w:themeColor="text1"/>
        </w:rPr>
        <w:t xml:space="preserve"> service to </w:t>
      </w:r>
      <w:r w:rsidRPr="000D6F95">
        <w:rPr>
          <w:rFonts w:ascii="Arial" w:hAnsi="Arial" w:cs="Arial"/>
          <w:color w:val="000000" w:themeColor="text1"/>
        </w:rPr>
        <w:lastRenderedPageBreak/>
        <w:t xml:space="preserve">higher layers [C4-09]. Those higher layers would complement the basic mechanisms through aspects of, e.g., reliability, error control, but also support for specific service invocation models. </w:t>
      </w:r>
    </w:p>
    <w:p w14:paraId="7E1746A1" w14:textId="40CB3E1C"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From the discussion in Section 4.1, we derive a number of design considerations for data plane solutions that would ensure a continued support for the evolved services and interactions we have been seeing in the Internet, depicted in </w:t>
      </w:r>
      <w:r w:rsidRPr="000D6F95">
        <w:rPr>
          <w:rFonts w:ascii="Arial" w:hAnsi="Arial" w:cs="Arial"/>
          <w:color w:val="000000" w:themeColor="text1"/>
        </w:rPr>
        <w:fldChar w:fldCharType="begin"/>
      </w:r>
      <w:r w:rsidRPr="000D6F95">
        <w:rPr>
          <w:rFonts w:ascii="Arial" w:hAnsi="Arial" w:cs="Arial"/>
          <w:color w:val="000000" w:themeColor="text1"/>
        </w:rPr>
        <w:instrText xml:space="preserve"> REF _Ref40876247 \h </w:instrText>
      </w:r>
      <w:r w:rsidRPr="000D6F95">
        <w:rPr>
          <w:rFonts w:ascii="Arial" w:hAnsi="Arial" w:cs="Arial"/>
          <w:color w:val="000000" w:themeColor="text1"/>
        </w:rPr>
      </w:r>
      <w:r w:rsidRPr="000D6F95">
        <w:rPr>
          <w:rFonts w:ascii="Arial" w:hAnsi="Arial" w:cs="Arial"/>
          <w:color w:val="000000" w:themeColor="text1"/>
        </w:rPr>
        <w:fldChar w:fldCharType="separate"/>
      </w:r>
      <w:r w:rsidR="003F0180" w:rsidRPr="000D6F95">
        <w:rPr>
          <w:rFonts w:ascii="Arial" w:eastAsiaTheme="minorEastAsia" w:hAnsi="Arial" w:cs="Arial"/>
          <w:b/>
          <w:bCs/>
          <w:lang w:eastAsia="de-DE"/>
        </w:rPr>
        <w:t xml:space="preserve">Figure </w:t>
      </w:r>
      <w:r w:rsidR="003F0180">
        <w:rPr>
          <w:rFonts w:ascii="Arial" w:eastAsiaTheme="minorEastAsia" w:hAnsi="Arial" w:cs="Arial"/>
          <w:b/>
          <w:bCs/>
          <w:lang w:eastAsia="de-DE"/>
        </w:rPr>
        <w:t>4</w:t>
      </w:r>
      <w:r w:rsidR="003F0180" w:rsidRPr="000D6F95">
        <w:rPr>
          <w:rFonts w:ascii="Arial" w:eastAsiaTheme="minorEastAsia" w:hAnsi="Arial" w:cs="Arial"/>
          <w:b/>
          <w:bCs/>
          <w:lang w:eastAsia="de-DE"/>
        </w:rPr>
        <w:noBreakHyphen/>
      </w:r>
      <w:r w:rsidR="003F0180">
        <w:rPr>
          <w:rFonts w:ascii="Arial" w:eastAsiaTheme="minorEastAsia" w:hAnsi="Arial" w:cs="Arial"/>
          <w:b/>
          <w:bCs/>
          <w:noProof/>
          <w:lang w:eastAsia="de-DE"/>
        </w:rPr>
        <w:t>2</w:t>
      </w:r>
      <w:r w:rsidRPr="000D6F95">
        <w:rPr>
          <w:rFonts w:ascii="Arial" w:hAnsi="Arial" w:cs="Arial"/>
          <w:color w:val="000000" w:themeColor="text1"/>
        </w:rPr>
        <w:fldChar w:fldCharType="end"/>
      </w:r>
      <w:r w:rsidRPr="000D6F95">
        <w:rPr>
          <w:rFonts w:ascii="Arial" w:hAnsi="Arial" w:cs="Arial"/>
          <w:color w:val="000000" w:themeColor="text1"/>
        </w:rPr>
        <w:t>.</w:t>
      </w:r>
    </w:p>
    <w:p w14:paraId="5DFD8519" w14:textId="77777777" w:rsidR="000D6F95" w:rsidRPr="000D6F95" w:rsidRDefault="000D6F95" w:rsidP="000D6F95">
      <w:pPr>
        <w:keepNext/>
        <w:spacing w:after="120" w:line="240" w:lineRule="auto"/>
        <w:jc w:val="center"/>
        <w:rPr>
          <w:rFonts w:ascii="Arial" w:hAnsi="Arial" w:cs="Arial"/>
          <w:color w:val="000000" w:themeColor="text1"/>
        </w:rPr>
      </w:pPr>
      <w:r w:rsidRPr="000D6F95">
        <w:rPr>
          <w:rFonts w:ascii="Arial" w:hAnsi="Arial" w:cs="Arial"/>
          <w:b/>
          <w:bCs/>
          <w:noProof/>
          <w:color w:val="000000" w:themeColor="text1"/>
          <w:lang w:eastAsia="en-GB"/>
        </w:rPr>
        <w:drawing>
          <wp:inline distT="0" distB="0" distL="0" distR="0" wp14:anchorId="6ED7755D" wp14:editId="5ABE629A">
            <wp:extent cx="2668337" cy="1969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0908" cy="1978406"/>
                    </a:xfrm>
                    <a:prstGeom prst="rect">
                      <a:avLst/>
                    </a:prstGeom>
                    <a:noFill/>
                  </pic:spPr>
                </pic:pic>
              </a:graphicData>
            </a:graphic>
          </wp:inline>
        </w:drawing>
      </w:r>
    </w:p>
    <w:p w14:paraId="61E7FE99" w14:textId="2EB10350" w:rsidR="000D6F95" w:rsidRPr="000D6F95" w:rsidRDefault="000D6F95" w:rsidP="000D6F95">
      <w:pPr>
        <w:spacing w:before="120" w:after="200" w:line="240" w:lineRule="auto"/>
        <w:jc w:val="center"/>
        <w:rPr>
          <w:rFonts w:ascii="Arial" w:eastAsiaTheme="minorEastAsia" w:hAnsi="Arial" w:cs="Arial"/>
          <w:b/>
          <w:bCs/>
          <w:lang w:eastAsia="de-DE"/>
        </w:rPr>
      </w:pPr>
      <w:bookmarkStart w:id="119" w:name="_Ref40876247"/>
      <w:r w:rsidRPr="000D6F95">
        <w:rPr>
          <w:rFonts w:ascii="Arial" w:eastAsiaTheme="minorEastAsia" w:hAnsi="Arial" w:cs="Arial"/>
          <w:b/>
          <w:bCs/>
          <w:lang w:eastAsia="de-DE"/>
        </w:rPr>
        <w:t xml:space="preserve">Figure </w:t>
      </w:r>
      <w:r w:rsidR="00DA6395">
        <w:rPr>
          <w:rFonts w:ascii="Arial" w:eastAsiaTheme="minorEastAsia" w:hAnsi="Arial" w:cs="Arial"/>
          <w:b/>
          <w:bCs/>
          <w:lang w:eastAsia="de-DE"/>
        </w:rPr>
        <w:t>4</w:t>
      </w:r>
      <w:r w:rsidRPr="000D6F95">
        <w:rPr>
          <w:rFonts w:ascii="Arial" w:eastAsiaTheme="minorEastAsia" w:hAnsi="Arial" w:cs="Arial"/>
          <w:b/>
          <w:bCs/>
          <w:lang w:eastAsia="de-DE"/>
        </w:rPr>
        <w:noBreakHyphen/>
      </w:r>
      <w:r w:rsidRPr="000D6F95">
        <w:rPr>
          <w:rFonts w:ascii="Arial" w:eastAsiaTheme="minorEastAsia" w:hAnsi="Arial" w:cs="Arial"/>
          <w:b/>
          <w:bCs/>
          <w:lang w:eastAsia="de-DE"/>
        </w:rPr>
        <w:fldChar w:fldCharType="begin"/>
      </w:r>
      <w:r w:rsidRPr="000D6F95">
        <w:rPr>
          <w:rFonts w:ascii="Arial" w:eastAsiaTheme="minorEastAsia" w:hAnsi="Arial" w:cs="Arial"/>
          <w:b/>
          <w:bCs/>
          <w:lang w:eastAsia="de-DE"/>
        </w:rPr>
        <w:instrText xml:space="preserve"> SEQ Figure \* ARABIC \s 1 </w:instrText>
      </w:r>
      <w:r w:rsidRPr="000D6F95">
        <w:rPr>
          <w:rFonts w:ascii="Arial" w:eastAsiaTheme="minorEastAsia" w:hAnsi="Arial" w:cs="Arial"/>
          <w:b/>
          <w:bCs/>
          <w:lang w:eastAsia="de-DE"/>
        </w:rPr>
        <w:fldChar w:fldCharType="separate"/>
      </w:r>
      <w:r w:rsidR="003F0180">
        <w:rPr>
          <w:rFonts w:ascii="Arial" w:eastAsiaTheme="minorEastAsia" w:hAnsi="Arial" w:cs="Arial"/>
          <w:b/>
          <w:bCs/>
          <w:noProof/>
          <w:lang w:eastAsia="de-DE"/>
        </w:rPr>
        <w:t>2</w:t>
      </w:r>
      <w:r w:rsidRPr="000D6F95">
        <w:rPr>
          <w:rFonts w:ascii="Arial" w:eastAsiaTheme="minorEastAsia" w:hAnsi="Arial" w:cs="Arial"/>
          <w:b/>
          <w:bCs/>
          <w:noProof/>
          <w:lang w:eastAsia="de-DE"/>
        </w:rPr>
        <w:fldChar w:fldCharType="end"/>
      </w:r>
      <w:bookmarkEnd w:id="119"/>
      <w:r w:rsidRPr="000D6F95">
        <w:rPr>
          <w:rFonts w:ascii="Arial" w:eastAsiaTheme="minorEastAsia" w:hAnsi="Arial" w:cs="Arial"/>
          <w:b/>
          <w:bCs/>
          <w:lang w:eastAsia="de-DE"/>
        </w:rPr>
        <w:t xml:space="preserve"> Dataplane Evolution - Design Considerations</w:t>
      </w:r>
    </w:p>
    <w:p w14:paraId="1C1F30B7"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We exclude from our considerations the approach to </w:t>
      </w:r>
      <w:r w:rsidRPr="000D6F95">
        <w:rPr>
          <w:rFonts w:ascii="Arial" w:hAnsi="Arial" w:cs="Arial"/>
          <w:i/>
          <w:color w:val="000000" w:themeColor="text1"/>
          <w:lang w:eastAsia="de-DE"/>
        </w:rPr>
        <w:t>deployment of the solutions</w:t>
      </w:r>
      <w:r w:rsidRPr="000D6F95">
        <w:rPr>
          <w:rFonts w:ascii="Arial" w:hAnsi="Arial" w:cs="Arial"/>
          <w:color w:val="000000" w:themeColor="text1"/>
          <w:lang w:eastAsia="de-DE"/>
        </w:rPr>
        <w:t xml:space="preserve">, therefore not specifically addressing the possible </w:t>
      </w:r>
      <w:r w:rsidRPr="000D6F95">
        <w:rPr>
          <w:rFonts w:ascii="Arial" w:hAnsi="Arial" w:cs="Arial"/>
          <w:i/>
          <w:color w:val="000000" w:themeColor="text1"/>
          <w:lang w:eastAsia="de-DE"/>
        </w:rPr>
        <w:t>evolutionary</w:t>
      </w:r>
      <w:r w:rsidRPr="000D6F95">
        <w:rPr>
          <w:rFonts w:ascii="Arial" w:hAnsi="Arial" w:cs="Arial"/>
          <w:color w:val="000000" w:themeColor="text1"/>
          <w:lang w:eastAsia="de-DE"/>
        </w:rPr>
        <w:t xml:space="preserve"> vs </w:t>
      </w:r>
      <w:r w:rsidRPr="000D6F95">
        <w:rPr>
          <w:rFonts w:ascii="Arial" w:hAnsi="Arial" w:cs="Arial"/>
          <w:i/>
          <w:color w:val="000000" w:themeColor="text1"/>
          <w:lang w:eastAsia="de-DE"/>
        </w:rPr>
        <w:t>clean slate</w:t>
      </w:r>
      <w:r w:rsidRPr="000D6F95">
        <w:rPr>
          <w:rFonts w:ascii="Arial" w:hAnsi="Arial" w:cs="Arial"/>
          <w:color w:val="000000" w:themeColor="text1"/>
          <w:lang w:eastAsia="de-DE"/>
        </w:rPr>
        <w:t xml:space="preserve"> nature of re-thinking the data &amp; forwarding plane in order not to constrain the research albeit pointing out that the </w:t>
      </w:r>
      <w:r w:rsidRPr="000D6F95">
        <w:rPr>
          <w:rFonts w:ascii="Arial" w:hAnsi="Arial" w:cs="Arial"/>
          <w:i/>
          <w:color w:val="000000" w:themeColor="text1"/>
          <w:lang w:eastAsia="de-DE"/>
        </w:rPr>
        <w:t>feasibility of solutions</w:t>
      </w:r>
      <w:r w:rsidRPr="000D6F95">
        <w:rPr>
          <w:rFonts w:ascii="Arial" w:hAnsi="Arial" w:cs="Arial"/>
          <w:color w:val="000000" w:themeColor="text1"/>
          <w:lang w:eastAsia="de-DE"/>
        </w:rPr>
        <w:t xml:space="preserve"> will ultimately need to consider the evolutionary nature of any deployment in existing infrastructures.</w:t>
      </w:r>
    </w:p>
    <w:p w14:paraId="739C9CFE"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It is important to note that evolved data &amp; forwarding plane solutions do not need to necessarily address all considerations and we can already see examples for proposed solutions [C4-10][C4-11][C4-12][C4-13][C4-14][C4-15] considering certain aspects described here:</w:t>
      </w:r>
    </w:p>
    <w:p w14:paraId="5A3FA52C"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Dynamicity: </w:t>
      </w:r>
      <w:r w:rsidRPr="000D6F95">
        <w:rPr>
          <w:rFonts w:ascii="Arial" w:hAnsi="Arial" w:cs="Arial"/>
          <w:color w:val="000000" w:themeColor="text1"/>
        </w:rPr>
        <w:t xml:space="preserve">As observed in Section 4.1, many relationships are bound to become ever shorter lived, driven by </w:t>
      </w:r>
      <w:r w:rsidRPr="000D6F95">
        <w:rPr>
          <w:rFonts w:ascii="Arial" w:hAnsi="Arial" w:cs="Arial"/>
          <w:i/>
          <w:color w:val="000000" w:themeColor="text1"/>
        </w:rPr>
        <w:t>virtualization</w:t>
      </w:r>
      <w:r w:rsidRPr="000D6F95">
        <w:rPr>
          <w:rFonts w:ascii="Arial" w:hAnsi="Arial" w:cs="Arial"/>
          <w:color w:val="000000" w:themeColor="text1"/>
        </w:rPr>
        <w:t xml:space="preserve"> approaches, with the possibility of network resources to appear and disappear frequently. This introduces aspects of </w:t>
      </w:r>
      <w:r w:rsidRPr="000D6F95">
        <w:rPr>
          <w:rFonts w:ascii="Arial" w:hAnsi="Arial" w:cs="Arial"/>
          <w:i/>
          <w:color w:val="000000" w:themeColor="text1"/>
        </w:rPr>
        <w:t>dynamicity</w:t>
      </w:r>
      <w:r w:rsidRPr="000D6F95">
        <w:rPr>
          <w:rFonts w:ascii="Arial" w:hAnsi="Arial" w:cs="Arial"/>
          <w:color w:val="000000" w:themeColor="text1"/>
        </w:rPr>
        <w:t xml:space="preserve"> into the relations that significantly depart from the long-lived locator concept that underpins IP, which assumed a long-lived relation between a client and a </w:t>
      </w:r>
      <w:r w:rsidRPr="000D6F95">
        <w:rPr>
          <w:rFonts w:ascii="Arial" w:hAnsi="Arial" w:cs="Arial"/>
          <w:i/>
          <w:color w:val="000000" w:themeColor="text1"/>
        </w:rPr>
        <w:t>portal</w:t>
      </w:r>
      <w:r w:rsidRPr="000D6F95">
        <w:rPr>
          <w:rFonts w:ascii="Arial" w:hAnsi="Arial" w:cs="Arial"/>
          <w:color w:val="000000" w:themeColor="text1"/>
        </w:rPr>
        <w:t xml:space="preserve"> of information in the Internet. Instead, the assignment of forwarding relationships must align with the ability of the corresponding SW component to change relationships, or else the data plane will only inadequately support the advances we see in complex SW systems utilizing the Internet, e.g., through container-based micro-services.</w:t>
      </w:r>
    </w:p>
    <w:p w14:paraId="56B06E36"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Green efficiency: </w:t>
      </w:r>
      <w:r w:rsidRPr="000D6F95">
        <w:rPr>
          <w:rFonts w:ascii="Arial" w:hAnsi="Arial" w:cs="Arial"/>
          <w:color w:val="000000" w:themeColor="text1"/>
        </w:rPr>
        <w:t xml:space="preserve">While we recognize that many of our considerations can be and partially have been realized through a myriad of </w:t>
      </w:r>
      <w:r w:rsidRPr="000D6F95">
        <w:rPr>
          <w:rFonts w:ascii="Arial" w:hAnsi="Arial" w:cs="Arial"/>
          <w:i/>
          <w:color w:val="000000" w:themeColor="text1"/>
        </w:rPr>
        <w:t>add-ons</w:t>
      </w:r>
      <w:r w:rsidRPr="000D6F95">
        <w:rPr>
          <w:rFonts w:ascii="Arial" w:hAnsi="Arial" w:cs="Arial"/>
          <w:color w:val="000000" w:themeColor="text1"/>
        </w:rPr>
        <w:t xml:space="preserve">, </w:t>
      </w:r>
      <w:r w:rsidRPr="000D6F95">
        <w:rPr>
          <w:rFonts w:ascii="Arial" w:hAnsi="Arial" w:cs="Arial"/>
          <w:i/>
          <w:color w:val="000000" w:themeColor="text1"/>
        </w:rPr>
        <w:t>extensions</w:t>
      </w:r>
      <w:r w:rsidRPr="000D6F95">
        <w:rPr>
          <w:rFonts w:ascii="Arial" w:hAnsi="Arial" w:cs="Arial"/>
          <w:color w:val="000000" w:themeColor="text1"/>
        </w:rPr>
        <w:t xml:space="preserve"> to and </w:t>
      </w:r>
      <w:r w:rsidRPr="000D6F95">
        <w:rPr>
          <w:rFonts w:ascii="Arial" w:hAnsi="Arial" w:cs="Arial"/>
          <w:i/>
          <w:color w:val="000000" w:themeColor="text1"/>
        </w:rPr>
        <w:t>overlays</w:t>
      </w:r>
      <w:r w:rsidRPr="000D6F95">
        <w:rPr>
          <w:rFonts w:ascii="Arial" w:hAnsi="Arial" w:cs="Arial"/>
          <w:color w:val="000000" w:themeColor="text1"/>
        </w:rPr>
        <w:t xml:space="preserve"> on top of Internet protocols, we strongly believe that </w:t>
      </w:r>
      <w:r w:rsidRPr="000D6F95">
        <w:rPr>
          <w:rFonts w:ascii="Arial" w:hAnsi="Arial" w:cs="Arial"/>
          <w:i/>
          <w:color w:val="000000" w:themeColor="text1"/>
        </w:rPr>
        <w:t>green efficiency</w:t>
      </w:r>
      <w:r w:rsidRPr="000D6F95">
        <w:rPr>
          <w:rFonts w:ascii="Arial" w:hAnsi="Arial" w:cs="Arial"/>
          <w:color w:val="000000" w:themeColor="text1"/>
        </w:rPr>
        <w:t xml:space="preserve"> is a consideration that must be added to the design for an evolved data plane, even to the point where the selection of suitable mechanisms ought to include an </w:t>
      </w:r>
      <w:r w:rsidRPr="000D6F95">
        <w:rPr>
          <w:rFonts w:ascii="Arial" w:hAnsi="Arial" w:cs="Arial"/>
          <w:i/>
          <w:color w:val="000000" w:themeColor="text1"/>
        </w:rPr>
        <w:t>energy efficiency KPI</w:t>
      </w:r>
      <w:r w:rsidRPr="000D6F95">
        <w:rPr>
          <w:rFonts w:ascii="Arial" w:hAnsi="Arial" w:cs="Arial"/>
          <w:b/>
          <w:i/>
          <w:color w:val="000000" w:themeColor="text1"/>
        </w:rPr>
        <w:t xml:space="preserve"> </w:t>
      </w:r>
      <w:r w:rsidRPr="000D6F95">
        <w:rPr>
          <w:rFonts w:ascii="Arial" w:hAnsi="Arial" w:cs="Arial"/>
          <w:color w:val="000000" w:themeColor="text1"/>
        </w:rPr>
        <w:t xml:space="preserve">at the same level of today’s focus on performance KPIs such as throughput or delay. Overprovisioning and the aforementioned overlaying of solutions to improve on otherwise limited designs have played too long a role in communication networks for it to continue in the light of the increasing policy trends to fight against climate change, such as Europe’s Green Deal [C4-16]. While providing a flexibility in change (through yet another overlay), it has also led to complexity in management and the </w:t>
      </w:r>
      <w:r w:rsidRPr="000D6F95">
        <w:rPr>
          <w:rFonts w:ascii="Arial" w:hAnsi="Arial" w:cs="Arial"/>
          <w:i/>
          <w:color w:val="000000" w:themeColor="text1"/>
        </w:rPr>
        <w:t>inefficiencies</w:t>
      </w:r>
      <w:r w:rsidRPr="000D6F95">
        <w:rPr>
          <w:rFonts w:ascii="Arial" w:hAnsi="Arial" w:cs="Arial"/>
          <w:color w:val="000000" w:themeColor="text1"/>
        </w:rPr>
        <w:t xml:space="preserve"> caused through indirections over many shim layers that make up the final communication relation. This not only stands in the way of achieving true high throughput and low latency communication, required by many emerging services, but also drives the ratio of ICT in the energy consumption [C4-17].</w:t>
      </w:r>
    </w:p>
    <w:p w14:paraId="4980F6AB"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Qualitative Communication: </w:t>
      </w:r>
      <w:r w:rsidRPr="000D6F95">
        <w:rPr>
          <w:rFonts w:ascii="Arial" w:hAnsi="Arial" w:cs="Arial"/>
          <w:color w:val="000000" w:themeColor="text1"/>
        </w:rPr>
        <w:t xml:space="preserve">Relationships will not only become more dynamic in nature but also more complex in terms of </w:t>
      </w:r>
      <w:r w:rsidRPr="000D6F95">
        <w:rPr>
          <w:rFonts w:ascii="Arial" w:hAnsi="Arial" w:cs="Arial"/>
          <w:i/>
          <w:color w:val="000000" w:themeColor="text1"/>
        </w:rPr>
        <w:t>inter-dependencies</w:t>
      </w:r>
      <w:r w:rsidRPr="000D6F95">
        <w:rPr>
          <w:rFonts w:ascii="Arial" w:hAnsi="Arial" w:cs="Arial"/>
          <w:color w:val="000000" w:themeColor="text1"/>
        </w:rPr>
        <w:t xml:space="preserve">. The current model in the Internet </w:t>
      </w:r>
      <w:r w:rsidRPr="000D6F95">
        <w:rPr>
          <w:rFonts w:ascii="Arial" w:hAnsi="Arial" w:cs="Arial"/>
          <w:color w:val="000000" w:themeColor="text1"/>
        </w:rPr>
        <w:lastRenderedPageBreak/>
        <w:t xml:space="preserve">treats relationships at the application or session layer, realized through independent connections, managed through protocols like TCP and others, with separate resource management schemes. This leads to inefficiencies in cases where one sub-relationship is transferred well compared to the other, spending efforts on, e.g., error control, for a sub-relationship that is reduced in value due to reduced performance of another sub-relationship. The result is often overall loss of end user experience that ultimately decreases the value of the communication. This qualitative communication is crucial to be taken into account when designing data plane solutions in order to be able to optimize the use of resources spent on the overall relationship rather than the sub-parts of it. Leaving this handling purely to the application or session layer leads to inefficiencies of resource usage, which can be avoided through application awareness, e.g., additional in-packet metadata at a lower part of the data plane, expanding on existing concepts such as service function chaining (SFC) [C4-03] albeit for parallel not sequential transactions. </w:t>
      </w:r>
    </w:p>
    <w:p w14:paraId="7383CAEB"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bCs/>
          <w:color w:val="000000" w:themeColor="text1"/>
        </w:rPr>
        <w:t xml:space="preserve">Security </w:t>
      </w:r>
      <w:r w:rsidRPr="000D6F95">
        <w:rPr>
          <w:rFonts w:ascii="Arial" w:hAnsi="Arial" w:cs="Arial"/>
          <w:color w:val="000000" w:themeColor="text1"/>
        </w:rPr>
        <w:t xml:space="preserve">plays an important part in data plane mechanisms and the current Internet has well recognized this with security considerations having become essential in every protocol solution standardized, for instance, in the IETF. However, the fundamental of building </w:t>
      </w:r>
      <w:r w:rsidRPr="000D6F95">
        <w:rPr>
          <w:rFonts w:ascii="Arial" w:hAnsi="Arial" w:cs="Arial"/>
          <w:i/>
          <w:color w:val="000000" w:themeColor="text1"/>
        </w:rPr>
        <w:t>security on top of an otherwise unsecured packet forwarding</w:t>
      </w:r>
      <w:r w:rsidRPr="000D6F95">
        <w:rPr>
          <w:rFonts w:ascii="Arial" w:hAnsi="Arial" w:cs="Arial"/>
          <w:color w:val="000000" w:themeColor="text1"/>
        </w:rPr>
        <w:t xml:space="preserve"> has not changed, therefore focussing efforts on end-to-end security of the application-level content, but not the </w:t>
      </w:r>
      <w:r w:rsidRPr="000D6F95">
        <w:rPr>
          <w:rFonts w:ascii="Arial" w:hAnsi="Arial" w:cs="Arial"/>
          <w:i/>
          <w:color w:val="000000" w:themeColor="text1"/>
        </w:rPr>
        <w:t>security nor the privacy of the packet forwarding operation</w:t>
      </w:r>
      <w:r w:rsidRPr="000D6F95">
        <w:rPr>
          <w:rFonts w:ascii="Arial" w:hAnsi="Arial" w:cs="Arial"/>
          <w:color w:val="000000" w:themeColor="text1"/>
        </w:rPr>
        <w:t xml:space="preserve"> itself (who is talking to whom, compared to what is talked about). Consequently, this has enabled for long mechanisms such as IP geo-tracing as well as enabling spoofing and therefore denial of service attacks. Mitigating methods deployed are add-ons to the otherwise unsecured IP, require extra effort rather than basing themselves on an </w:t>
      </w:r>
      <w:r w:rsidRPr="000D6F95">
        <w:rPr>
          <w:rFonts w:ascii="Arial" w:hAnsi="Arial" w:cs="Arial"/>
          <w:i/>
          <w:color w:val="000000" w:themeColor="text1"/>
        </w:rPr>
        <w:t>intrinsically secure</w:t>
      </w:r>
      <w:r w:rsidRPr="000D6F95">
        <w:rPr>
          <w:rFonts w:ascii="Arial" w:hAnsi="Arial" w:cs="Arial"/>
          <w:color w:val="000000" w:themeColor="text1"/>
        </w:rPr>
        <w:t xml:space="preserve"> design per se where security of end points and networks alike is ensured together with the </w:t>
      </w:r>
      <w:r w:rsidRPr="000D6F95">
        <w:rPr>
          <w:rFonts w:ascii="Arial" w:hAnsi="Arial" w:cs="Arial"/>
          <w:i/>
          <w:color w:val="000000" w:themeColor="text1"/>
        </w:rPr>
        <w:t>privacy of the interaction</w:t>
      </w:r>
      <w:r w:rsidRPr="000D6F95">
        <w:rPr>
          <w:rFonts w:ascii="Arial" w:hAnsi="Arial" w:cs="Arial"/>
          <w:color w:val="000000" w:themeColor="text1"/>
        </w:rPr>
        <w:t xml:space="preserve"> between communicating end points, striking the right balance between accountability and anonymity. Decoupling “security appliances” from the analysis of events and policy-based decision-making is another aspect to consider. Tiny security-handling functionalities embedded into virtual entities should monitor events, collect information and transfer it to suitable functions (possibly based on AI/ML) capable of more powerful analysis and anomaly detection, which in turn would enforce policy based-decisions back to the local actuators.</w:t>
      </w:r>
    </w:p>
    <w:p w14:paraId="220CA08B"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noProof/>
          <w:color w:val="000000" w:themeColor="text1"/>
        </w:rPr>
        <w:t>Precision delivery</w:t>
      </w:r>
      <w:r w:rsidRPr="000D6F95">
        <w:rPr>
          <w:rFonts w:ascii="Arial" w:hAnsi="Arial" w:cs="Arial"/>
          <w:b/>
          <w:color w:val="000000" w:themeColor="text1"/>
        </w:rPr>
        <w:t xml:space="preserve">: </w:t>
      </w:r>
      <w:r w:rsidRPr="000D6F95">
        <w:rPr>
          <w:rFonts w:ascii="Arial" w:hAnsi="Arial" w:cs="Arial"/>
          <w:color w:val="000000" w:themeColor="text1"/>
        </w:rPr>
        <w:t xml:space="preserve">the best effort nature of the current IP suite does not suffice for a number of the new emerging services, e.g., for Beyond 5G. Therefore, it will need to be extended in order to capture new demands for specific performance characteristics, such as </w:t>
      </w:r>
      <w:r w:rsidRPr="000D6F95">
        <w:rPr>
          <w:rFonts w:ascii="Arial" w:hAnsi="Arial" w:cs="Arial"/>
          <w:i/>
          <w:color w:val="000000" w:themeColor="text1"/>
        </w:rPr>
        <w:t>strict delay and latency bounds</w:t>
      </w:r>
      <w:r w:rsidRPr="000D6F95">
        <w:rPr>
          <w:rFonts w:ascii="Arial" w:hAnsi="Arial" w:cs="Arial"/>
          <w:color w:val="000000" w:themeColor="text1"/>
        </w:rPr>
        <w:t xml:space="preserve"> for system control, human interaction and many other services as well as </w:t>
      </w:r>
      <w:r w:rsidRPr="000D6F95">
        <w:rPr>
          <w:rFonts w:ascii="Arial" w:hAnsi="Arial" w:cs="Arial"/>
          <w:i/>
          <w:color w:val="000000" w:themeColor="text1"/>
        </w:rPr>
        <w:t>on-time bounds</w:t>
      </w:r>
      <w:r w:rsidRPr="000D6F95">
        <w:rPr>
          <w:rFonts w:ascii="Arial" w:hAnsi="Arial" w:cs="Arial"/>
          <w:color w:val="000000" w:themeColor="text1"/>
        </w:rPr>
        <w:t>. This requires the control loops involved to ensure the specified performance requirements of various applications, particularly for access networks with widely varying performance characteristics such as wireless. Those control loops will also need to enable trading off latency at the control level against the necessary operations at the data plane.</w:t>
      </w:r>
    </w:p>
    <w:p w14:paraId="5977C20C"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Diverse Addressing: </w:t>
      </w:r>
      <w:r w:rsidRPr="000D6F95">
        <w:rPr>
          <w:rFonts w:ascii="Arial" w:hAnsi="Arial" w:cs="Arial"/>
          <w:color w:val="000000" w:themeColor="text1"/>
        </w:rPr>
        <w:t xml:space="preserve">While the universality of higher layer service concepts over a single addressing scheme has been praised as key for the Internet protocol, we assert that the support for </w:t>
      </w:r>
      <w:r w:rsidRPr="000D6F95">
        <w:rPr>
          <w:rFonts w:ascii="Arial" w:hAnsi="Arial" w:cs="Arial"/>
          <w:i/>
          <w:color w:val="000000" w:themeColor="text1"/>
        </w:rPr>
        <w:t>diverse addressing</w:t>
      </w:r>
      <w:r w:rsidRPr="000D6F95">
        <w:rPr>
          <w:rFonts w:ascii="Arial" w:hAnsi="Arial" w:cs="Arial"/>
          <w:color w:val="000000" w:themeColor="text1"/>
        </w:rPr>
        <w:t xml:space="preserve"> will need to replace this aspect of the current Internet in order to improve on efficiency when supporting the many new services, while still </w:t>
      </w:r>
      <w:r w:rsidRPr="000D6F95">
        <w:rPr>
          <w:rFonts w:ascii="Arial" w:hAnsi="Arial" w:cs="Arial"/>
          <w:i/>
          <w:color w:val="000000" w:themeColor="text1"/>
        </w:rPr>
        <w:t>ensuring the global reachability</w:t>
      </w:r>
      <w:r w:rsidRPr="000D6F95">
        <w:rPr>
          <w:rFonts w:ascii="Arial" w:hAnsi="Arial" w:cs="Arial"/>
          <w:color w:val="000000" w:themeColor="text1"/>
        </w:rPr>
        <w:t xml:space="preserve"> that the current Internet has achieved. This could lead to solutions for </w:t>
      </w:r>
      <w:r w:rsidRPr="000D6F95">
        <w:rPr>
          <w:rFonts w:ascii="Arial" w:hAnsi="Arial" w:cs="Arial"/>
          <w:i/>
          <w:color w:val="000000" w:themeColor="text1"/>
        </w:rPr>
        <w:t>optimized Internet-of-Things</w:t>
      </w:r>
      <w:r w:rsidRPr="000D6F95">
        <w:rPr>
          <w:rFonts w:ascii="Arial" w:hAnsi="Arial" w:cs="Arial"/>
          <w:color w:val="000000" w:themeColor="text1"/>
        </w:rPr>
        <w:t xml:space="preserve"> communication (with </w:t>
      </w:r>
      <w:r w:rsidRPr="000D6F95">
        <w:rPr>
          <w:rFonts w:ascii="Arial" w:hAnsi="Arial" w:cs="Arial"/>
          <w:i/>
          <w:color w:val="000000" w:themeColor="text1"/>
        </w:rPr>
        <w:t>smaller identifiers</w:t>
      </w:r>
      <w:r w:rsidRPr="000D6F95">
        <w:rPr>
          <w:rFonts w:ascii="Arial" w:hAnsi="Arial" w:cs="Arial"/>
          <w:color w:val="000000" w:themeColor="text1"/>
        </w:rPr>
        <w:t xml:space="preserve"> being used for efficiency purposes), while preserving inter-domain access to the IoT resources. As another example, instead of relying on an interaction between DNS and IP routing, adding initial latency to the service exchange (and leading to problems in future service invocation if service relations might dynamically change), research in, e.g., routing on labels [C4-18], information-centric networking [C4-19] and solutions on </w:t>
      </w:r>
      <w:r w:rsidRPr="000D6F95">
        <w:rPr>
          <w:rFonts w:ascii="Arial" w:hAnsi="Arial" w:cs="Arial"/>
          <w:i/>
          <w:color w:val="000000" w:themeColor="text1"/>
        </w:rPr>
        <w:t xml:space="preserve">semantic addressing </w:t>
      </w:r>
      <w:r w:rsidRPr="000D6F95">
        <w:rPr>
          <w:rFonts w:ascii="Arial" w:hAnsi="Arial" w:cs="Arial"/>
          <w:color w:val="000000" w:themeColor="text1"/>
        </w:rPr>
        <w:t xml:space="preserve">[C4-20] have shown that those latencies can be significantly reduced through name-based addressing, pushing name information to the far edge of the network as a trade-off (which can be accommodated through increasing availability of storage, even in mobile devices), while still scaling to significant network sizes, particularly in the recognition that much Internet </w:t>
      </w:r>
      <w:r w:rsidRPr="000D6F95">
        <w:rPr>
          <w:rFonts w:ascii="Arial" w:hAnsi="Arial" w:cs="Arial"/>
          <w:color w:val="000000" w:themeColor="text1"/>
        </w:rPr>
        <w:lastRenderedPageBreak/>
        <w:t xml:space="preserve">traffic is being localized, as discussed in Section 4.1. In addition, changes in named relations become merely an </w:t>
      </w:r>
      <w:r w:rsidRPr="000D6F95">
        <w:rPr>
          <w:rFonts w:ascii="Arial" w:hAnsi="Arial" w:cs="Arial"/>
          <w:i/>
          <w:color w:val="000000" w:themeColor="text1"/>
        </w:rPr>
        <w:t>ingress routing decision</w:t>
      </w:r>
      <w:r w:rsidRPr="000D6F95">
        <w:rPr>
          <w:rFonts w:ascii="Arial" w:hAnsi="Arial" w:cs="Arial"/>
          <w:color w:val="000000" w:themeColor="text1"/>
        </w:rPr>
        <w:t xml:space="preserve">, being removed as a burden from the DNS, for instance, therefore significantly </w:t>
      </w:r>
      <w:r w:rsidRPr="000D6F95">
        <w:rPr>
          <w:rFonts w:ascii="Arial" w:hAnsi="Arial" w:cs="Arial"/>
          <w:i/>
          <w:color w:val="000000" w:themeColor="text1"/>
        </w:rPr>
        <w:t>increasing flexibility</w:t>
      </w:r>
      <w:r w:rsidRPr="000D6F95">
        <w:rPr>
          <w:rFonts w:ascii="Arial" w:hAnsi="Arial" w:cs="Arial"/>
          <w:color w:val="000000" w:themeColor="text1"/>
        </w:rPr>
        <w:t xml:space="preserve"> in routing when the service instance serving a named relation is changing in the light of virtualization of service endpoints, as discussed in Section 4.1.</w:t>
      </w:r>
    </w:p>
    <w:p w14:paraId="625C201F"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t xml:space="preserve">The aforementioned considerations for </w:t>
      </w:r>
      <w:r w:rsidRPr="000D6F95">
        <w:rPr>
          <w:rFonts w:ascii="Arial" w:hAnsi="Arial" w:cstheme="minorHAnsi"/>
          <w:i/>
          <w:color w:val="000000" w:themeColor="text1"/>
        </w:rPr>
        <w:t>designing suitable packet delivery solutions</w:t>
      </w:r>
      <w:r w:rsidRPr="000D6F95">
        <w:rPr>
          <w:rFonts w:ascii="Arial" w:hAnsi="Arial" w:cstheme="minorHAnsi"/>
          <w:color w:val="000000" w:themeColor="text1"/>
        </w:rPr>
        <w:t xml:space="preserve"> need to furthermore consider the following aspects when </w:t>
      </w:r>
      <w:r w:rsidRPr="000D6F95">
        <w:rPr>
          <w:rFonts w:ascii="Arial" w:hAnsi="Arial" w:cstheme="minorHAnsi"/>
          <w:i/>
          <w:color w:val="000000" w:themeColor="text1"/>
        </w:rPr>
        <w:t>being realized for and deployed</w:t>
      </w:r>
      <w:r w:rsidRPr="000D6F95">
        <w:rPr>
          <w:rFonts w:ascii="Arial" w:hAnsi="Arial" w:cstheme="minorHAnsi"/>
          <w:color w:val="000000" w:themeColor="text1"/>
        </w:rPr>
        <w:t xml:space="preserve"> in the emerging communication infrastructure:</w:t>
      </w:r>
    </w:p>
    <w:p w14:paraId="03493655"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Manageability: </w:t>
      </w:r>
      <w:r w:rsidRPr="000D6F95">
        <w:rPr>
          <w:rFonts w:ascii="Arial" w:hAnsi="Arial" w:cs="Arial"/>
          <w:color w:val="000000" w:themeColor="text1"/>
        </w:rPr>
        <w:t>All the above characteristics will require suitable instrumentation to monitor and validate the delivery of promised assurance levels. Furthermore, telemetry capabilities, i.e., the process of measuring, correlating and distributing network information, are required (and will need to be enabled at the data and forwarding plane level) to gain the visibility of network behaviour to improve operational performance over conventional network Operations, Administration, and Management (OAM) techniques to enable full network automation.</w:t>
      </w:r>
    </w:p>
    <w:p w14:paraId="2AB61207" w14:textId="77777777" w:rsidR="000D6F95" w:rsidRPr="000D6F95" w:rsidRDefault="000D6F95" w:rsidP="00124439">
      <w:pPr>
        <w:numPr>
          <w:ilvl w:val="0"/>
          <w:numId w:val="11"/>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 xml:space="preserve">Programmability: </w:t>
      </w:r>
      <w:r w:rsidRPr="000D6F95">
        <w:rPr>
          <w:rFonts w:ascii="Arial" w:hAnsi="Arial" w:cs="Arial"/>
          <w:color w:val="000000" w:themeColor="text1"/>
        </w:rPr>
        <w:t>As per Section 4.3, respective owners (e.g. service providers) will need to be provided with the methods to dynamically govern all resources incl. the forwarding plane in order to rapidly and easily introduce new network services or to adapt to new enhanced and modified contexts. A higher programmability of the forwarding plane could be achieved, e.g., through insertion of programmable metadata in packet headers traversing the network. Such programmability particularly aims at providing the desired overall green efficiency by moving from HW to SW upgrades, including executable code injected into the execution environments of network elements in order to create the new functionality at runtime (in network compute) with the required characteristics (e.g. security).</w:t>
      </w:r>
    </w:p>
    <w:p w14:paraId="25DE6466" w14:textId="61ED73BD" w:rsidR="000D6F95" w:rsidRPr="00C42C17" w:rsidRDefault="000D6F95" w:rsidP="00124439">
      <w:pPr>
        <w:numPr>
          <w:ilvl w:val="0"/>
          <w:numId w:val="11"/>
        </w:numPr>
        <w:spacing w:after="120" w:line="240" w:lineRule="auto"/>
        <w:ind w:left="360"/>
        <w:contextualSpacing/>
        <w:jc w:val="both"/>
        <w:rPr>
          <w:rFonts w:ascii="Arial" w:hAnsi="Arial" w:cs="Arial"/>
          <w:b/>
          <w:color w:val="000000" w:themeColor="text1"/>
        </w:rPr>
      </w:pPr>
      <w:r w:rsidRPr="000D6F95">
        <w:rPr>
          <w:rFonts w:ascii="Arial" w:hAnsi="Arial" w:cs="Arial"/>
          <w:b/>
          <w:color w:val="000000" w:themeColor="text1"/>
        </w:rPr>
        <w:t xml:space="preserve">Slicing: </w:t>
      </w:r>
      <w:r w:rsidRPr="000D6F95">
        <w:rPr>
          <w:rFonts w:ascii="Arial" w:hAnsi="Arial" w:cs="Arial"/>
          <w:color w:val="000000" w:themeColor="text1"/>
        </w:rPr>
        <w:t>Resource management is discussed in details in Section 4.5. In the forwarding plane, it needs to promote easy and efficient execution of multiple and different types of delivery mechanisms, possibly each with different guarantees for KPIs/QoS/ stringent non-functional requirements of network services at a given time on the same infrastructure but across separate subsets of resources in the shared resource pool for realization of the desired functionality. Such “slices” may offer uniform capability interfaces to entities and network functions, abstracting the autonomous slice components, which may be loosely coupled, with different functional and non</w:t>
      </w:r>
      <w:r w:rsidRPr="000D6F95">
        <w:rPr>
          <w:rFonts w:ascii="Cambria Math" w:hAnsi="Cambria Math" w:cs="Cambria Math"/>
          <w:color w:val="000000" w:themeColor="text1"/>
        </w:rPr>
        <w:t>‐</w:t>
      </w:r>
      <w:r w:rsidRPr="000D6F95">
        <w:rPr>
          <w:rFonts w:ascii="Arial" w:hAnsi="Arial" w:cs="Arial"/>
          <w:color w:val="000000" w:themeColor="text1"/>
        </w:rPr>
        <w:t>functional behaviour. A challenge to address is the realization of large-scale and multi-domain data plane deployments in sliced environments, including aspects of identifying the participating resources being used.</w:t>
      </w:r>
    </w:p>
    <w:p w14:paraId="6D7E0F98" w14:textId="77777777" w:rsidR="00C42C17" w:rsidRPr="000D6F95" w:rsidRDefault="00C42C17" w:rsidP="00C42C17">
      <w:pPr>
        <w:spacing w:after="120" w:line="240" w:lineRule="auto"/>
        <w:contextualSpacing/>
        <w:jc w:val="both"/>
        <w:rPr>
          <w:rFonts w:ascii="Arial" w:hAnsi="Arial" w:cs="Arial"/>
          <w:b/>
          <w:color w:val="000000" w:themeColor="text1"/>
        </w:rPr>
      </w:pPr>
    </w:p>
    <w:p w14:paraId="5FBE5CF8" w14:textId="77777777" w:rsidR="000D6F95" w:rsidRPr="000D6F95" w:rsidRDefault="000D6F95" w:rsidP="00DA6395">
      <w:pPr>
        <w:pStyle w:val="Heading3"/>
      </w:pPr>
      <w:bookmarkStart w:id="120" w:name="_Toc40879283"/>
      <w:bookmarkStart w:id="121" w:name="_Toc42177250"/>
      <w:r w:rsidRPr="000D6F95">
        <w:t>Key Research Questions</w:t>
      </w:r>
      <w:bookmarkEnd w:id="120"/>
      <w:bookmarkEnd w:id="121"/>
    </w:p>
    <w:p w14:paraId="25016D9D"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t>The following research questions are not purely limited to the data and forwarding planes but address wider holistic systems aspects, leading to the following research challenges:</w:t>
      </w:r>
    </w:p>
    <w:p w14:paraId="42D6D981" w14:textId="77777777" w:rsidR="000D6F95" w:rsidRPr="000D6F95" w:rsidRDefault="000D6F95" w:rsidP="00124439">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Which layering in which part of the network?</w:t>
      </w:r>
      <w:r w:rsidRPr="000D6F95">
        <w:rPr>
          <w:rFonts w:ascii="Arial" w:hAnsi="Arial" w:cs="Arial"/>
          <w:color w:val="000000" w:themeColor="text1"/>
        </w:rPr>
        <w:t xml:space="preserve"> To cater to the often starkly different ‘scopes’ of communication, ranging from localized sensor communication over POP-based access to OTT services to truly global communication, the question on layering is crucial in the light of an </w:t>
      </w:r>
      <w:r w:rsidRPr="000D6F95">
        <w:rPr>
          <w:rFonts w:ascii="Arial" w:hAnsi="Arial" w:cs="Arial"/>
          <w:i/>
          <w:color w:val="000000" w:themeColor="text1"/>
        </w:rPr>
        <w:t>efficient/green</w:t>
      </w:r>
      <w:r w:rsidRPr="000D6F95">
        <w:rPr>
          <w:rFonts w:ascii="Arial" w:hAnsi="Arial" w:cs="Arial"/>
          <w:color w:val="000000" w:themeColor="text1"/>
        </w:rPr>
        <w:t xml:space="preserve"> implementation of the overall system. With the desire to support </w:t>
      </w:r>
      <w:r w:rsidRPr="000D6F95">
        <w:rPr>
          <w:rFonts w:ascii="Arial" w:hAnsi="Arial" w:cs="Arial"/>
          <w:i/>
          <w:color w:val="000000" w:themeColor="text1"/>
        </w:rPr>
        <w:t>diverse addressing</w:t>
      </w:r>
      <w:r w:rsidRPr="000D6F95">
        <w:rPr>
          <w:rFonts w:ascii="Arial" w:hAnsi="Arial" w:cs="Arial"/>
          <w:b/>
          <w:color w:val="000000" w:themeColor="text1"/>
        </w:rPr>
        <w:t xml:space="preserve"> </w:t>
      </w:r>
      <w:r w:rsidRPr="000D6F95">
        <w:rPr>
          <w:rFonts w:ascii="Arial" w:hAnsi="Arial" w:cs="Arial"/>
          <w:color w:val="000000" w:themeColor="text1"/>
        </w:rPr>
        <w:t xml:space="preserve">of the data plane, the question needs consideration as to </w:t>
      </w:r>
      <w:r w:rsidRPr="000D6F95">
        <w:rPr>
          <w:rFonts w:ascii="Arial" w:hAnsi="Arial" w:cs="Arial"/>
          <w:i/>
          <w:color w:val="000000" w:themeColor="text1"/>
        </w:rPr>
        <w:t xml:space="preserve">what layer best realizes the semantically different forwarding operation(s) most efficiently, taking into account not only the individual service itself but also the overall system efficiency from the perspective of resources that provide that service. </w:t>
      </w:r>
    </w:p>
    <w:p w14:paraId="47630FEA" w14:textId="77777777" w:rsidR="000D6F95" w:rsidRPr="000D6F95" w:rsidRDefault="000D6F95" w:rsidP="00124439">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is the role of soft architecting?</w:t>
      </w:r>
      <w:r w:rsidRPr="000D6F95">
        <w:rPr>
          <w:rFonts w:ascii="Arial" w:hAnsi="Arial" w:cs="Arial"/>
          <w:color w:val="000000" w:themeColor="text1"/>
        </w:rPr>
        <w:t xml:space="preserve"> With the proliferation of software-centric approaches to networking, allowing for a much higher degree of post-production as well as post-deployment programmability (cmp. Section 4.2), the question arises </w:t>
      </w:r>
      <w:r w:rsidRPr="000D6F95">
        <w:rPr>
          <w:rFonts w:ascii="Arial" w:hAnsi="Arial" w:cs="Arial"/>
          <w:i/>
          <w:color w:val="000000" w:themeColor="text1"/>
        </w:rPr>
        <w:t>what the deployed architecture really is</w:t>
      </w:r>
      <w:r w:rsidRPr="000D6F95">
        <w:rPr>
          <w:rFonts w:ascii="Arial" w:hAnsi="Arial" w:cs="Arial"/>
          <w:color w:val="000000" w:themeColor="text1"/>
        </w:rPr>
        <w:t xml:space="preserve"> or </w:t>
      </w:r>
      <w:r w:rsidRPr="000D6F95">
        <w:rPr>
          <w:rFonts w:ascii="Arial" w:hAnsi="Arial" w:cs="Arial"/>
          <w:i/>
          <w:color w:val="000000" w:themeColor="text1"/>
        </w:rPr>
        <w:t>if everything manifests its own (soft) architecture?</w:t>
      </w:r>
      <w:r w:rsidRPr="000D6F95">
        <w:rPr>
          <w:rFonts w:ascii="Arial" w:hAnsi="Arial" w:cs="Arial"/>
          <w:color w:val="000000" w:themeColor="text1"/>
        </w:rPr>
        <w:t xml:space="preserve"> Assuming such soft-architecting, as discussed in Section 4.3, the desire to agree on a common substrate, on top of which all such (soft) architectures reside, still remains, similar </w:t>
      </w:r>
      <w:r w:rsidRPr="000D6F95">
        <w:rPr>
          <w:rFonts w:ascii="Arial" w:hAnsi="Arial" w:cs="Arial"/>
          <w:color w:val="000000" w:themeColor="text1"/>
        </w:rPr>
        <w:lastRenderedPageBreak/>
        <w:t xml:space="preserve">to the origin of the Internet protocol albeit with a possibly different answer. Instead of the commonality being that of a common postal system between locations, such </w:t>
      </w:r>
      <w:r w:rsidRPr="000D6F95">
        <w:rPr>
          <w:rFonts w:ascii="Arial" w:hAnsi="Arial" w:cs="Arial"/>
          <w:i/>
          <w:color w:val="000000" w:themeColor="text1"/>
        </w:rPr>
        <w:t>commonality</w:t>
      </w:r>
      <w:r w:rsidRPr="000D6F95">
        <w:rPr>
          <w:rFonts w:ascii="Arial" w:hAnsi="Arial" w:cs="Arial"/>
          <w:color w:val="000000" w:themeColor="text1"/>
        </w:rPr>
        <w:t xml:space="preserve"> could be the interconnecting bus-like system between resources, where resource control becomes fundamental, while global transport and global routing degrade to applications, many of which can run in parallel. Any answer to that common substrate, however, should still provide the right set of fundamentals among those outlined in Section 4.4.1 that align with the services at hand. </w:t>
      </w:r>
      <w:r w:rsidRPr="000D6F95">
        <w:rPr>
          <w:rFonts w:ascii="Arial" w:hAnsi="Arial" w:cs="Arial"/>
          <w:i/>
          <w:color w:val="000000" w:themeColor="text1"/>
        </w:rPr>
        <w:t>In other words, while soft-architecting is a promising evolution path, ultimately, the considerations above need to be applied to and solved by the global “glue” at the resource layer, be it a control bus or the delivery system itself.</w:t>
      </w:r>
      <w:r w:rsidRPr="000D6F95">
        <w:rPr>
          <w:rFonts w:ascii="Arial" w:hAnsi="Arial" w:cs="Arial"/>
          <w:color w:val="000000" w:themeColor="text1"/>
        </w:rPr>
        <w:t xml:space="preserve"> A possible advantage of a solution based on a resource control is a clear set of and a better understanding of the requirements of the latter.</w:t>
      </w:r>
    </w:p>
    <w:p w14:paraId="3E666CFC" w14:textId="77777777" w:rsidR="000D6F95" w:rsidRPr="000D6F95" w:rsidRDefault="000D6F95" w:rsidP="00124439">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are the tussle boundaries of the overall system?</w:t>
      </w:r>
      <w:r w:rsidRPr="000D6F95">
        <w:rPr>
          <w:rFonts w:ascii="Arial" w:hAnsi="Arial" w:cs="Arial"/>
          <w:color w:val="000000" w:themeColor="text1"/>
        </w:rPr>
        <w:t xml:space="preserve"> Tussles [C4-21] are caused by interactions of players as defined through the interfaces of the overall systems, with each player often pursuing their individual interest. Understanding the boundaries of tussles, the mechanisms to express them and those to resolve them, is crucial for the overall working of the system. Much has been done to study the tussles of the Internet (and its main players) but postulating a system of high </w:t>
      </w:r>
      <w:r w:rsidRPr="000D6F95">
        <w:rPr>
          <w:rFonts w:ascii="Arial" w:hAnsi="Arial" w:cs="Arial"/>
          <w:i/>
          <w:color w:val="000000" w:themeColor="text1"/>
        </w:rPr>
        <w:t>dynamicity</w:t>
      </w:r>
      <w:r w:rsidRPr="000D6F95">
        <w:rPr>
          <w:rFonts w:ascii="Arial" w:hAnsi="Arial" w:cs="Arial"/>
          <w:color w:val="000000" w:themeColor="text1"/>
        </w:rPr>
        <w:t xml:space="preserve"> also postulates one of changing relations, particularly when it comes to </w:t>
      </w:r>
      <w:r w:rsidRPr="000D6F95">
        <w:rPr>
          <w:rFonts w:ascii="Arial" w:hAnsi="Arial" w:cs="Arial"/>
          <w:i/>
          <w:color w:val="000000" w:themeColor="text1"/>
        </w:rPr>
        <w:t>trusted</w:t>
      </w:r>
      <w:r w:rsidRPr="000D6F95">
        <w:rPr>
          <w:rFonts w:ascii="Arial" w:hAnsi="Arial" w:cs="Arial"/>
          <w:color w:val="000000" w:themeColor="text1"/>
        </w:rPr>
        <w:t xml:space="preserve"> relations. Enforcement through trusted third party is often a mechanism that will not do in such often ad-hoc relationships and </w:t>
      </w:r>
      <w:r w:rsidRPr="000D6F95">
        <w:rPr>
          <w:rFonts w:ascii="Arial" w:hAnsi="Arial" w:cs="Arial"/>
          <w:i/>
          <w:color w:val="000000" w:themeColor="text1"/>
        </w:rPr>
        <w:t>solutions will need to realize more suitable, equally dynamic and ad-hoc mechanisms to ensure an otherwise trustworthy execution of the overall system, while also preserving the privacy and ensuring the security of the individual participants.</w:t>
      </w:r>
      <w:r w:rsidRPr="000D6F95">
        <w:rPr>
          <w:rFonts w:ascii="Arial" w:hAnsi="Arial" w:cs="Arial"/>
          <w:color w:val="000000" w:themeColor="text1"/>
        </w:rPr>
        <w:t xml:space="preserve"> </w:t>
      </w:r>
    </w:p>
    <w:p w14:paraId="7A6FC560" w14:textId="7616B975" w:rsidR="000D6F95" w:rsidRDefault="000D6F95" w:rsidP="00124439">
      <w:pPr>
        <w:numPr>
          <w:ilvl w:val="0"/>
          <w:numId w:val="13"/>
        </w:numPr>
        <w:spacing w:after="120" w:line="240" w:lineRule="auto"/>
        <w:ind w:left="360"/>
        <w:contextualSpacing/>
        <w:jc w:val="both"/>
        <w:rPr>
          <w:rFonts w:ascii="Arial" w:hAnsi="Arial" w:cs="Arial"/>
          <w:color w:val="000000" w:themeColor="text1"/>
        </w:rPr>
      </w:pPr>
      <w:r w:rsidRPr="000D6F95">
        <w:rPr>
          <w:rFonts w:ascii="Arial" w:hAnsi="Arial" w:cs="Arial"/>
          <w:b/>
          <w:color w:val="000000" w:themeColor="text1"/>
        </w:rPr>
        <w:t>What data is required to make the data plane work (well)?</w:t>
      </w:r>
      <w:r w:rsidRPr="000D6F95">
        <w:rPr>
          <w:rFonts w:ascii="Arial" w:hAnsi="Arial" w:cs="Arial"/>
          <w:color w:val="000000" w:themeColor="text1"/>
        </w:rPr>
        <w:t xml:space="preserve"> Any data plane solution, including existing ones, works on a set of metadata, such as identifiers, as well as state, such as link data. While much of this data is vital for the basic operations realized in the data plane itself, it is also required for </w:t>
      </w:r>
      <w:r w:rsidRPr="000D6F95">
        <w:rPr>
          <w:rFonts w:ascii="Arial" w:hAnsi="Arial" w:cs="Arial"/>
          <w:i/>
          <w:color w:val="000000" w:themeColor="text1"/>
        </w:rPr>
        <w:t>control plane</w:t>
      </w:r>
      <w:r w:rsidRPr="000D6F95">
        <w:rPr>
          <w:rFonts w:ascii="Arial" w:hAnsi="Arial" w:cs="Arial"/>
          <w:color w:val="000000" w:themeColor="text1"/>
        </w:rPr>
        <w:t xml:space="preserve"> decisions (e.g., for load-depending resource allocations across the network) and for realizing </w:t>
      </w:r>
      <w:r w:rsidRPr="000D6F95">
        <w:rPr>
          <w:rFonts w:ascii="Arial" w:hAnsi="Arial" w:cs="Arial"/>
          <w:i/>
          <w:color w:val="000000" w:themeColor="text1"/>
        </w:rPr>
        <w:t>management goals</w:t>
      </w:r>
      <w:r w:rsidRPr="000D6F95">
        <w:rPr>
          <w:rFonts w:ascii="Arial" w:hAnsi="Arial" w:cs="Arial"/>
          <w:color w:val="000000" w:themeColor="text1"/>
        </w:rPr>
        <w:t xml:space="preserve"> (e.g., matching long term demand to supply information). With this in mind, data plane solutions must not focus solely on hitting the key fundamentals outlined in Section 4.4.1 but also enabling a fruitful interaction with the corresponding parts of the overall system that ensure the working beyond the pure transport of relationship information.</w:t>
      </w:r>
    </w:p>
    <w:p w14:paraId="60D5C32D" w14:textId="77777777" w:rsidR="00C42C17" w:rsidRDefault="00C42C17" w:rsidP="00C42C17">
      <w:pPr>
        <w:spacing w:after="120" w:line="240" w:lineRule="auto"/>
        <w:ind w:left="360"/>
        <w:contextualSpacing/>
        <w:jc w:val="both"/>
        <w:rPr>
          <w:rFonts w:ascii="Arial" w:hAnsi="Arial" w:cs="Arial"/>
          <w:color w:val="000000" w:themeColor="text1"/>
        </w:rPr>
      </w:pPr>
    </w:p>
    <w:p w14:paraId="2CF3FF2B" w14:textId="77777777" w:rsidR="000D6F95" w:rsidRPr="000D6F95" w:rsidRDefault="000D6F95" w:rsidP="00DA6395">
      <w:pPr>
        <w:pStyle w:val="Heading3"/>
      </w:pPr>
      <w:bookmarkStart w:id="122" w:name="_Toc40879284"/>
      <w:bookmarkStart w:id="123" w:name="_Toc42177251"/>
      <w:r w:rsidRPr="000D6F95">
        <w:t>Recommendations for Actions</w:t>
      </w:r>
      <w:bookmarkEnd w:id="122"/>
      <w:bookmarkEnd w:id="123"/>
    </w:p>
    <w:p w14:paraId="2790E1E0" w14:textId="77777777" w:rsidR="000D6F95" w:rsidRPr="000D6F95" w:rsidRDefault="000D6F95" w:rsidP="000D6F95">
      <w:pPr>
        <w:spacing w:after="120" w:line="240" w:lineRule="auto"/>
        <w:jc w:val="both"/>
        <w:rPr>
          <w:rFonts w:ascii="Arial" w:hAnsi="Arial" w:cstheme="minorHAnsi"/>
          <w:color w:val="000000" w:themeColor="text1"/>
        </w:rPr>
      </w:pPr>
      <w:r w:rsidRPr="000D6F95">
        <w:rPr>
          <w:rFonts w:ascii="Arial" w:hAnsi="Arial" w:cstheme="minorHAnsi"/>
          <w:color w:val="000000" w:themeColor="text1"/>
        </w:rPr>
        <w:t>The following list are suggestions for important actions towards realizing the research agenda for DP/FP evolution, not claiming to be exhaustive:</w:t>
      </w:r>
    </w:p>
    <w:p w14:paraId="7C360C43"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internationalized efforts</w:t>
      </w:r>
      <w:r w:rsidRPr="000D6F95">
        <w:rPr>
          <w:rFonts w:ascii="Arial" w:hAnsi="Arial" w:cs="Arial"/>
          <w:color w:val="000000" w:themeColor="text1"/>
        </w:rPr>
        <w:t xml:space="preserve">: given the challenge to evolve the data /forwarding planes, European efforts should liaise or even directly collaborate in internationalized research efforts, i.e., in the creation of solutions not just the exploitation in standards or OS communities. This could be realized through targeted </w:t>
      </w:r>
      <w:r w:rsidRPr="000D6F95">
        <w:rPr>
          <w:rFonts w:ascii="Arial" w:hAnsi="Arial" w:cs="Arial"/>
          <w:b/>
          <w:color w:val="000000" w:themeColor="text1"/>
        </w:rPr>
        <w:t>international calls</w:t>
      </w:r>
      <w:r w:rsidRPr="000D6F95">
        <w:rPr>
          <w:rFonts w:ascii="Arial" w:hAnsi="Arial" w:cs="Arial"/>
          <w:color w:val="000000" w:themeColor="text1"/>
        </w:rPr>
        <w:t xml:space="preserve"> (e.g., EU-China, EU-US, …) on data/forwarding planes technologies as well as through the creation of </w:t>
      </w:r>
      <w:r w:rsidRPr="000D6F95">
        <w:rPr>
          <w:rFonts w:ascii="Arial" w:hAnsi="Arial" w:cs="Arial"/>
          <w:b/>
          <w:color w:val="000000" w:themeColor="text1"/>
        </w:rPr>
        <w:t>international expert groups</w:t>
      </w:r>
      <w:r w:rsidRPr="000D6F95">
        <w:rPr>
          <w:rFonts w:ascii="Arial" w:hAnsi="Arial" w:cs="Arial"/>
          <w:color w:val="000000" w:themeColor="text1"/>
        </w:rPr>
        <w:t>, e.g., in coordination and support actions.</w:t>
      </w:r>
      <w:r w:rsidRPr="000D6F95" w:rsidDel="00DC2938">
        <w:rPr>
          <w:rFonts w:ascii="Arial" w:hAnsi="Arial" w:cs="Arial"/>
          <w:color w:val="000000" w:themeColor="text1"/>
        </w:rPr>
        <w:t xml:space="preserve"> </w:t>
      </w:r>
    </w:p>
    <w:p w14:paraId="408167E4"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experimentation</w:t>
      </w:r>
      <w:r w:rsidRPr="000D6F95">
        <w:rPr>
          <w:rFonts w:ascii="Arial" w:hAnsi="Arial" w:cs="Arial"/>
          <w:color w:val="000000" w:themeColor="text1"/>
        </w:rPr>
        <w:t xml:space="preserve">: although strong theoretical foundation is desired for any change of fundamental data/forwarding planes functionality, strong </w:t>
      </w:r>
      <w:r w:rsidRPr="000D6F95">
        <w:rPr>
          <w:rFonts w:ascii="Arial" w:hAnsi="Arial" w:cs="Arial"/>
          <w:b/>
          <w:color w:val="000000" w:themeColor="text1"/>
        </w:rPr>
        <w:t>experimental evidence</w:t>
      </w:r>
      <w:r w:rsidRPr="000D6F95">
        <w:rPr>
          <w:rFonts w:ascii="Arial" w:hAnsi="Arial" w:cs="Arial"/>
          <w:color w:val="000000" w:themeColor="text1"/>
        </w:rPr>
        <w:t xml:space="preserve"> and </w:t>
      </w:r>
      <w:r w:rsidRPr="000D6F95">
        <w:rPr>
          <w:rFonts w:ascii="Arial" w:hAnsi="Arial" w:cs="Arial"/>
          <w:b/>
          <w:color w:val="000000" w:themeColor="text1"/>
        </w:rPr>
        <w:t>large-scale open testbeds</w:t>
      </w:r>
      <w:r w:rsidRPr="000D6F95">
        <w:rPr>
          <w:rFonts w:ascii="Arial" w:hAnsi="Arial" w:cs="Arial"/>
          <w:color w:val="000000" w:themeColor="text1"/>
        </w:rPr>
        <w:t xml:space="preserve"> are crucial to show feasibility but also foster adoption through the operational community. This could be realized through an evolution of the original FIRE efforts or a similar trial phase as in 5GPPP. Open experimentation data/forwarding facilities are required for a large number of </w:t>
      </w:r>
      <w:r w:rsidRPr="000D6F95">
        <w:rPr>
          <w:rFonts w:ascii="Arial" w:hAnsi="Arial" w:cs="Arial"/>
          <w:b/>
          <w:color w:val="000000" w:themeColor="text1"/>
        </w:rPr>
        <w:t>third-party experimenters</w:t>
      </w:r>
      <w:r w:rsidRPr="000D6F95">
        <w:rPr>
          <w:rFonts w:ascii="Arial" w:hAnsi="Arial" w:cs="Arial"/>
          <w:color w:val="000000" w:themeColor="text1"/>
        </w:rPr>
        <w:t xml:space="preserve"> of promising solutions and possibilities for looking, e.g., beyond 5G - an Internet of experiments (IoE).</w:t>
      </w:r>
    </w:p>
    <w:p w14:paraId="3F7B71EA"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data/forwarding planes research repository</w:t>
      </w:r>
      <w:r w:rsidRPr="000D6F95">
        <w:rPr>
          <w:rFonts w:ascii="Arial" w:hAnsi="Arial" w:cs="Arial"/>
          <w:color w:val="000000" w:themeColor="text1"/>
        </w:rPr>
        <w:t xml:space="preserve">: in order to foster the adoption of evolved data plane technologies, experimentation (see item 2) will need to ensure </w:t>
      </w:r>
      <w:r w:rsidRPr="000D6F95">
        <w:rPr>
          <w:rFonts w:ascii="Arial" w:hAnsi="Arial" w:cs="Arial"/>
          <w:b/>
          <w:color w:val="000000" w:themeColor="text1"/>
        </w:rPr>
        <w:t>replicability</w:t>
      </w:r>
      <w:r w:rsidRPr="000D6F95">
        <w:rPr>
          <w:rFonts w:ascii="Arial" w:hAnsi="Arial" w:cs="Arial"/>
          <w:color w:val="000000" w:themeColor="text1"/>
        </w:rPr>
        <w:t xml:space="preserve"> in other, possibly pre-commercial or otherwise research, settings. This could be ensured through making evidence </w:t>
      </w:r>
      <w:r w:rsidRPr="000D6F95">
        <w:rPr>
          <w:rFonts w:ascii="Arial" w:hAnsi="Arial" w:cs="Arial"/>
          <w:b/>
          <w:color w:val="000000" w:themeColor="text1"/>
        </w:rPr>
        <w:t>data and code base availability</w:t>
      </w:r>
      <w:r w:rsidRPr="000D6F95">
        <w:rPr>
          <w:rFonts w:ascii="Arial" w:hAnsi="Arial" w:cs="Arial"/>
          <w:color w:val="000000" w:themeColor="text1"/>
        </w:rPr>
        <w:t xml:space="preserve"> mandatory for certain aspects of data plane research (e.g., for certain TRLs upwards), including </w:t>
      </w:r>
      <w:r w:rsidRPr="000D6F95">
        <w:rPr>
          <w:rFonts w:ascii="Arial" w:hAnsi="Arial" w:cs="Arial"/>
          <w:b/>
          <w:color w:val="000000" w:themeColor="text1"/>
        </w:rPr>
        <w:lastRenderedPageBreak/>
        <w:t>migration solutions</w:t>
      </w:r>
      <w:r w:rsidRPr="000D6F95">
        <w:rPr>
          <w:rFonts w:ascii="Arial" w:hAnsi="Arial" w:cs="Arial"/>
          <w:color w:val="000000" w:themeColor="text1"/>
        </w:rPr>
        <w:t xml:space="preserve"> that will allow legacy IP-based applications and IP-Services to be used with the new enabled forwarding plane capabilities.</w:t>
      </w:r>
    </w:p>
    <w:p w14:paraId="7DCE00E9"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color w:val="000000" w:themeColor="text1"/>
        </w:rPr>
        <w:t>Call for clean slate research</w:t>
      </w:r>
      <w:r w:rsidRPr="000D6F95">
        <w:rPr>
          <w:rFonts w:ascii="Arial" w:hAnsi="Arial" w:cs="Arial"/>
          <w:color w:val="000000" w:themeColor="text1"/>
        </w:rPr>
        <w:t xml:space="preserve">: following the argumentation in other efforts, such as FP7 FI, NSF FIND, the evolution of core Internet technologies requires a combination of an </w:t>
      </w:r>
      <w:r w:rsidRPr="000D6F95">
        <w:rPr>
          <w:rFonts w:ascii="Arial" w:hAnsi="Arial" w:cs="Arial"/>
          <w:b/>
          <w:color w:val="000000" w:themeColor="text1"/>
        </w:rPr>
        <w:t>evolutionary and revolutionary</w:t>
      </w:r>
      <w:r w:rsidRPr="000D6F95">
        <w:rPr>
          <w:rFonts w:ascii="Arial" w:hAnsi="Arial" w:cs="Arial"/>
          <w:color w:val="000000" w:themeColor="text1"/>
        </w:rPr>
        <w:t xml:space="preserve"> approach. This could be achieved through setting aside specific </w:t>
      </w:r>
      <w:r w:rsidRPr="000D6F95">
        <w:rPr>
          <w:rFonts w:ascii="Arial" w:hAnsi="Arial" w:cs="Arial"/>
          <w:b/>
          <w:color w:val="000000" w:themeColor="text1"/>
        </w:rPr>
        <w:t xml:space="preserve">clean slate </w:t>
      </w:r>
      <w:r w:rsidRPr="000D6F95">
        <w:rPr>
          <w:rFonts w:ascii="Arial" w:hAnsi="Arial" w:cs="Arial"/>
          <w:color w:val="000000" w:themeColor="text1"/>
        </w:rPr>
        <w:t>or greenfield funds for testing more revolutionary approaches to the data plane evolution.</w:t>
      </w:r>
    </w:p>
    <w:p w14:paraId="6305E1DB" w14:textId="77777777" w:rsidR="000D6F95" w:rsidRPr="000D6F95" w:rsidRDefault="000D6F95" w:rsidP="00124439">
      <w:pPr>
        <w:numPr>
          <w:ilvl w:val="0"/>
          <w:numId w:val="12"/>
        </w:numPr>
        <w:spacing w:after="120" w:line="240" w:lineRule="auto"/>
        <w:ind w:left="360"/>
        <w:contextualSpacing/>
        <w:jc w:val="both"/>
        <w:rPr>
          <w:rFonts w:ascii="Arial" w:hAnsi="Arial" w:cs="Arial"/>
          <w:color w:val="000000" w:themeColor="text1"/>
        </w:rPr>
      </w:pPr>
      <w:r w:rsidRPr="000D6F95">
        <w:rPr>
          <w:rFonts w:ascii="Arial" w:hAnsi="Arial" w:cs="Arial"/>
          <w:i/>
          <w:iCs/>
          <w:color w:val="000000" w:themeColor="text1"/>
        </w:rPr>
        <w:t>Call for funding data / forwarding planes research</w:t>
      </w:r>
      <w:r w:rsidRPr="000D6F95">
        <w:rPr>
          <w:rFonts w:ascii="Arial" w:hAnsi="Arial" w:cs="Arial"/>
          <w:color w:val="000000" w:themeColor="text1"/>
        </w:rPr>
        <w:t xml:space="preserve"> </w:t>
      </w:r>
      <w:r w:rsidRPr="000D6F95">
        <w:rPr>
          <w:rFonts w:ascii="Arial" w:hAnsi="Arial" w:cs="Arial"/>
          <w:i/>
          <w:color w:val="000000" w:themeColor="text1"/>
        </w:rPr>
        <w:t>in solutions</w:t>
      </w:r>
      <w:r w:rsidRPr="000D6F95">
        <w:rPr>
          <w:rFonts w:ascii="Arial" w:hAnsi="Arial" w:cs="Arial"/>
          <w:color w:val="000000" w:themeColor="text1"/>
        </w:rPr>
        <w:t xml:space="preserve"> along the considerations discussed in Section 4.4.1, such as those providing precision delivery in extension to existing best effort. </w:t>
      </w:r>
      <w:r w:rsidRPr="000D6F95">
        <w:rPr>
          <w:rFonts w:ascii="Arial" w:hAnsi="Arial" w:cs="Arial"/>
          <w:bCs/>
          <w:iCs/>
          <w:color w:val="000000" w:themeColor="text1"/>
        </w:rPr>
        <w:t>Examples for such research aspects</w:t>
      </w:r>
      <w:r w:rsidRPr="000D6F95">
        <w:rPr>
          <w:rFonts w:ascii="Arial" w:hAnsi="Arial" w:cs="Arial"/>
          <w:color w:val="000000" w:themeColor="text1"/>
        </w:rPr>
        <w:t xml:space="preserve"> are</w:t>
      </w:r>
    </w:p>
    <w:p w14:paraId="73B66818"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Precision packet delivery (with QoS) to extend/complement best effort delivery;</w:t>
      </w:r>
    </w:p>
    <w:p w14:paraId="37C4633F"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Intrinsically secure, i.e., authenticated and accountable, packet delivery;</w:t>
      </w:r>
    </w:p>
    <w:p w14:paraId="04202B8D"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Semantic routing, extending current endpoint-based routing for lower latency and higher flexibility delivery of service requests;</w:t>
      </w:r>
    </w:p>
    <w:p w14:paraId="61337485"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Deployment on tenant-specific (in-)network service functions;</w:t>
      </w:r>
    </w:p>
    <w:p w14:paraId="0E0A0A48" w14:textId="77777777" w:rsidR="000D6F95" w:rsidRP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Inter-connection of compute/storage resources at Layer2, with focus on customer access networks while interconnecting to Internet-based clouds;</w:t>
      </w:r>
    </w:p>
    <w:p w14:paraId="32391837" w14:textId="40ADAB1F" w:rsidR="000D6F95" w:rsidRDefault="000D6F95" w:rsidP="00124439">
      <w:pPr>
        <w:numPr>
          <w:ilvl w:val="1"/>
          <w:numId w:val="12"/>
        </w:numPr>
        <w:spacing w:after="120" w:line="240" w:lineRule="auto"/>
        <w:ind w:left="810"/>
        <w:contextualSpacing/>
        <w:jc w:val="both"/>
        <w:rPr>
          <w:rFonts w:ascii="Arial" w:hAnsi="Arial" w:cs="Arial"/>
          <w:color w:val="000000" w:themeColor="text1"/>
        </w:rPr>
      </w:pPr>
      <w:r w:rsidRPr="000D6F95">
        <w:rPr>
          <w:rFonts w:ascii="Arial" w:hAnsi="Arial" w:cs="Arial"/>
          <w:color w:val="000000" w:themeColor="text1"/>
        </w:rPr>
        <w:t>Programmability of forwarding under control triggered by management.</w:t>
      </w:r>
    </w:p>
    <w:p w14:paraId="618A8B71" w14:textId="77777777" w:rsidR="00C42C17" w:rsidRPr="000D6F95" w:rsidRDefault="00C42C17" w:rsidP="00C42C17">
      <w:pPr>
        <w:spacing w:after="120" w:line="240" w:lineRule="auto"/>
        <w:ind w:left="450"/>
        <w:contextualSpacing/>
        <w:jc w:val="both"/>
        <w:rPr>
          <w:rFonts w:ascii="Arial" w:hAnsi="Arial" w:cs="Arial"/>
          <w:color w:val="000000" w:themeColor="text1"/>
        </w:rPr>
      </w:pPr>
    </w:p>
    <w:p w14:paraId="5362C853" w14:textId="1FD0A4D0" w:rsidR="000D6F95" w:rsidRDefault="000D6F95" w:rsidP="000D6F95">
      <w:pPr>
        <w:pStyle w:val="Heading2"/>
        <w:rPr>
          <w:lang w:eastAsia="de-DE"/>
        </w:rPr>
      </w:pPr>
      <w:bookmarkStart w:id="124" w:name="_Toc40879285"/>
      <w:bookmarkStart w:id="125" w:name="_Toc42177252"/>
      <w:r w:rsidRPr="000D6F95">
        <w:rPr>
          <w:lang w:eastAsia="de-DE"/>
        </w:rPr>
        <w:t>Efficiency and Resource Management</w:t>
      </w:r>
      <w:bookmarkEnd w:id="116"/>
      <w:bookmarkEnd w:id="124"/>
      <w:bookmarkEnd w:id="125"/>
    </w:p>
    <w:p w14:paraId="224F8912" w14:textId="77777777" w:rsidR="00C42C17" w:rsidRPr="00C42C17" w:rsidRDefault="00C42C17" w:rsidP="00C42C17">
      <w:pPr>
        <w:rPr>
          <w:lang w:eastAsia="de-DE"/>
        </w:rPr>
      </w:pPr>
    </w:p>
    <w:p w14:paraId="0FAC09E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Efficiency in terms of managing the resource pool of a communication system is essential for controlling costs and therefore OPEX in offering communication services. With Total Cost of Ownership (TCO) becoming a major design target, e.g., for 5G, and the push for </w:t>
      </w:r>
      <w:r w:rsidRPr="000D6F95">
        <w:rPr>
          <w:rFonts w:ascii="Arial" w:hAnsi="Arial" w:cs="Arial"/>
          <w:i/>
          <w:color w:val="000000" w:themeColor="text1"/>
        </w:rPr>
        <w:t>sustainability</w:t>
      </w:r>
      <w:r w:rsidRPr="000D6F95">
        <w:rPr>
          <w:rFonts w:ascii="Arial" w:hAnsi="Arial" w:cs="Arial"/>
          <w:color w:val="000000" w:themeColor="text1"/>
        </w:rPr>
        <w:t xml:space="preserve"> of telecommunication infrastructures, the role of efficient resource management will increase significantly in future deployments. This translates to several new problem spaces, currently unaddressed, underestimated or completely overlooked in both the industry and academia.</w:t>
      </w:r>
    </w:p>
    <w:p w14:paraId="560465B0" w14:textId="77777777" w:rsidR="000D6F95" w:rsidRPr="000D6F95" w:rsidRDefault="000D6F95" w:rsidP="00DA6395">
      <w:pPr>
        <w:pStyle w:val="Heading3"/>
      </w:pPr>
      <w:bookmarkStart w:id="126" w:name="_Toc40350560"/>
      <w:bookmarkStart w:id="127" w:name="_Toc40879286"/>
      <w:bookmarkStart w:id="128" w:name="_Toc42177253"/>
      <w:r w:rsidRPr="000D6F95">
        <w:t>Network Slicing versus Network Capacity Planning</w:t>
      </w:r>
      <w:bookmarkEnd w:id="126"/>
      <w:bookmarkEnd w:id="127"/>
      <w:bookmarkEnd w:id="128"/>
    </w:p>
    <w:p w14:paraId="01BE066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As network slicing promises a sheer endless customisation of network-spread functionality, it becomes difficult to plan the capacity of network infrastructures in the same way as today. Whereas operators currently use their combined empirical knowledge regarding both infrastructure and the expected service (and its prices), network slicing turns this principle upside-down: while the infrastructure operator remains neutral to the service, the slice owner is expected to translate the </w:t>
      </w:r>
      <w:r w:rsidRPr="000D6F95">
        <w:rPr>
          <w:rFonts w:ascii="Arial" w:hAnsi="Arial" w:cs="Arial"/>
          <w:i/>
          <w:color w:val="000000" w:themeColor="text1"/>
        </w:rPr>
        <w:t>service to capacity requirements</w:t>
      </w:r>
      <w:r w:rsidRPr="000D6F95">
        <w:rPr>
          <w:rFonts w:ascii="Arial" w:hAnsi="Arial" w:cs="Arial"/>
          <w:color w:val="000000" w:themeColor="text1"/>
        </w:rPr>
        <w:t xml:space="preserve"> onto the infrastructure capabilities, an exercise that lacks a reliable general methodology. Incapable of correctly translating service to capacity requirements, slice owners are likely to engage in a cloud-like operation model: start small, then expand or reduce contracts as you go. The </w:t>
      </w:r>
      <w:r w:rsidRPr="000D6F95">
        <w:rPr>
          <w:rFonts w:ascii="Arial" w:hAnsi="Arial" w:cs="Arial"/>
          <w:i/>
          <w:color w:val="000000" w:themeColor="text1"/>
        </w:rPr>
        <w:t>elasticity of the slice therefore is a central requirement</w:t>
      </w:r>
      <w:r w:rsidRPr="000D6F95">
        <w:rPr>
          <w:rFonts w:ascii="Arial" w:hAnsi="Arial" w:cs="Arial"/>
          <w:color w:val="000000" w:themeColor="text1"/>
        </w:rPr>
        <w:t>. This fact together with the required radical reduction of the service creation time (from 90 days to 90 minutes, as, e.g., per 5GPPP KPIs) underlines the upcoming shift from planning of the infrastructure to continuous (and likely dynamically adapting) runtime operations on the latter. In simple terms, network planning and network slicing are misaligned, as the former, driven by the presumed physical deployment, operates within completely different time frames than the latter, which exhibits on-demand elasticity.</w:t>
      </w:r>
    </w:p>
    <w:p w14:paraId="7209563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Hence, </w:t>
      </w:r>
      <w:r w:rsidRPr="000D6F95">
        <w:rPr>
          <w:rFonts w:ascii="Arial" w:hAnsi="Arial" w:cs="Arial"/>
          <w:b/>
          <w:color w:val="000000" w:themeColor="text1"/>
        </w:rPr>
        <w:t>while the initial planning provides the larger operational bounds within which slicing can operate, it is the runtime (continuous, real-time, hot) management and control that determines the efficiency and therefore the costs of the sliced service</w:t>
      </w:r>
      <w:r w:rsidRPr="000D6F95">
        <w:rPr>
          <w:rFonts w:ascii="Arial" w:hAnsi="Arial" w:cs="Arial"/>
          <w:color w:val="000000" w:themeColor="text1"/>
        </w:rPr>
        <w:t>. If network slicing wants to succeed in the above sense, the employed technologies must embrace this change and provide mechanisms and practices that feed runtime control over a longer timeframe back into the planning and investment cycle for network infrastructure.</w:t>
      </w:r>
    </w:p>
    <w:p w14:paraId="6B3E6FC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Independently of scale, slicing renders the infrastructure usage and occupation much more diverse and more dynamic. This emphasises the requirement for continuous operation of the </w:t>
      </w:r>
      <w:r w:rsidRPr="000D6F95">
        <w:rPr>
          <w:rFonts w:ascii="Arial" w:hAnsi="Arial" w:cs="Arial"/>
          <w:color w:val="000000" w:themeColor="text1"/>
        </w:rPr>
        <w:lastRenderedPageBreak/>
        <w:t>real-time management or control, while infrastructure control and management are required to handle the dynamics in a new, currently unsupported manner. This includes handling node and service element loads, departures, additions, errors and the like.</w:t>
      </w:r>
    </w:p>
    <w:p w14:paraId="5552FB62"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Runtime management and control ultimately still drives the longer-term planning that we can see today in networks. Following our cloud analogy, the longer-term demand and supply pattern emerging from the many tenants of a data centre still drives the planning, and therefore investment patterns, for sufficient build-out of the cloud. Similar feedback must exist for slicing-based network infrastructure albeit situated in a many point-of-presence nature of resources, utilised over a possibly huge area of requirements on those resources.</w:t>
      </w:r>
    </w:p>
    <w:p w14:paraId="6B82D390" w14:textId="77777777" w:rsidR="000D6F95" w:rsidRPr="000D6F95" w:rsidRDefault="000D6F95" w:rsidP="00DA6395">
      <w:pPr>
        <w:pStyle w:val="Heading3"/>
      </w:pPr>
      <w:bookmarkStart w:id="129" w:name="_Toc40350561"/>
      <w:bookmarkStart w:id="130" w:name="_Toc40879287"/>
      <w:bookmarkStart w:id="131" w:name="_Toc42177254"/>
      <w:r w:rsidRPr="000D6F95">
        <w:t>Slicing Requires Conflict Resolution</w:t>
      </w:r>
      <w:bookmarkEnd w:id="129"/>
      <w:bookmarkEnd w:id="130"/>
      <w:bookmarkEnd w:id="131"/>
    </w:p>
    <w:p w14:paraId="14FB29E9"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To better support multi-tenancy and to allow efficient resource sharing, especially at bigger scales or facing known unknowns, </w:t>
      </w:r>
      <w:r w:rsidRPr="000D6F95">
        <w:rPr>
          <w:rFonts w:ascii="Arial" w:hAnsi="Arial" w:cs="Arial"/>
          <w:b/>
          <w:color w:val="000000" w:themeColor="text1"/>
        </w:rPr>
        <w:t>consistency and concurrency of slice allocations and slice executions should be addressed</w:t>
      </w:r>
      <w:r w:rsidRPr="000D6F95">
        <w:rPr>
          <w:rFonts w:ascii="Arial" w:hAnsi="Arial" w:cs="Arial"/>
          <w:color w:val="000000" w:themeColor="text1"/>
        </w:rPr>
        <w:t xml:space="preserve"> at the systemic scale in runtime. Indeed, concurrent resource-competing or semantically contradictory requests at either allocation time or during (elastic) execution must be dealt with to avoid partial slice operation, generally being useless and, hence, waste of resources, while requiring </w:t>
      </w:r>
      <w:r w:rsidRPr="000D6F95">
        <w:rPr>
          <w:rFonts w:ascii="Arial" w:hAnsi="Arial" w:cs="Arial"/>
          <w:b/>
          <w:color w:val="000000" w:themeColor="text1"/>
        </w:rPr>
        <w:t>novel mechanisms for networked garbage collection</w:t>
      </w:r>
      <w:r w:rsidRPr="000D6F95">
        <w:rPr>
          <w:rFonts w:ascii="Arial" w:hAnsi="Arial" w:cs="Arial"/>
          <w:color w:val="000000" w:themeColor="text1"/>
        </w:rPr>
        <w:t xml:space="preserve"> to free up any erroneous resource allocation during such conflict resolution.</w:t>
      </w:r>
    </w:p>
    <w:p w14:paraId="02838705"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While mechanisms exist for handling concurrency at individual component/node level, guaranteed slice allocations would require novel, system-wide mechanisms. Herein, fundamental systemic limits are to be properly addressed at large scale, since strong consistency of allocations (e.g., through consensus, atomic commit protocols with locking, etc.) might otherwise lead to a decrease of availability (starvation effects) and therefore reduce the supported dynamics in slice allocation and elasticity.</w:t>
      </w:r>
    </w:p>
    <w:p w14:paraId="0ADF8736"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Inspired by distributed database management systems and distributed Internet services, </w:t>
      </w:r>
      <w:r w:rsidRPr="000D6F95">
        <w:rPr>
          <w:rFonts w:ascii="Arial" w:hAnsi="Arial" w:cs="Arial"/>
          <w:b/>
          <w:color w:val="000000" w:themeColor="text1"/>
        </w:rPr>
        <w:t>novel research should consider multi-level guarantees for services and service-level redundancy</w:t>
      </w:r>
      <w:r w:rsidRPr="000D6F95">
        <w:rPr>
          <w:rFonts w:ascii="Arial" w:hAnsi="Arial" w:cs="Arial"/>
          <w:color w:val="000000" w:themeColor="text1"/>
        </w:rPr>
        <w:t>. In spite of the similarity, the central insight here is the difference in the definition of consistency for databases and systemic allocations: while databases treat replica of the same object (which makes concurrent writes to replica R1 and R2 problematic), systems work with redundant, independent objects (e.g., concurrent allocations on two equivalent yet different paths are non-problematic). Given the observed increase in systemic redundancy (e.g., network density, trend to regional data centres), this insight promises better scalability of guaranteed allocations without sacrificing availability. Hence,</w:t>
      </w:r>
      <w:r w:rsidRPr="000D6F95">
        <w:rPr>
          <w:rFonts w:ascii="Arial" w:hAnsi="Arial" w:cs="Arial"/>
          <w:b/>
          <w:color w:val="000000" w:themeColor="text1"/>
        </w:rPr>
        <w:t xml:space="preserve"> novel approaches could explore the suitability of concurrency-preserving schedules </w:t>
      </w:r>
      <w:r w:rsidRPr="000D6F95">
        <w:rPr>
          <w:rFonts w:ascii="Arial" w:hAnsi="Arial" w:cs="Arial"/>
          <w:color w:val="000000" w:themeColor="text1"/>
        </w:rPr>
        <w:t>(e.g., with commitment ordering)</w:t>
      </w:r>
      <w:r w:rsidRPr="000D6F95">
        <w:rPr>
          <w:rFonts w:ascii="Arial" w:hAnsi="Arial" w:cs="Arial"/>
          <w:b/>
          <w:color w:val="000000" w:themeColor="text1"/>
        </w:rPr>
        <w:t xml:space="preserve"> for programmable networked IT systems.</w:t>
      </w:r>
    </w:p>
    <w:p w14:paraId="3C52E588" w14:textId="77777777" w:rsidR="000D6F95" w:rsidRPr="000D6F95" w:rsidRDefault="000D6F95" w:rsidP="00DA6395">
      <w:pPr>
        <w:pStyle w:val="Heading3"/>
      </w:pPr>
      <w:bookmarkStart w:id="132" w:name="_Toc40350562"/>
      <w:bookmarkStart w:id="133" w:name="_Toc40879288"/>
      <w:bookmarkStart w:id="134" w:name="_Toc42177255"/>
      <w:r w:rsidRPr="000D6F95">
        <w:t>Elasticity: Slicing Efficiency Requires Runtime Scheduling</w:t>
      </w:r>
      <w:bookmarkEnd w:id="132"/>
      <w:bookmarkEnd w:id="133"/>
      <w:bookmarkEnd w:id="134"/>
    </w:p>
    <w:p w14:paraId="533C64BE"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When addressing efficiency, </w:t>
      </w:r>
      <w:r w:rsidRPr="000D6F95">
        <w:rPr>
          <w:rFonts w:ascii="Arial" w:hAnsi="Arial" w:cs="Arial"/>
          <w:i/>
          <w:color w:val="000000" w:themeColor="text1"/>
        </w:rPr>
        <w:t>Total Cost of Ownership</w:t>
      </w:r>
      <w:r w:rsidRPr="000D6F95">
        <w:rPr>
          <w:rFonts w:ascii="Arial" w:hAnsi="Arial" w:cs="Arial"/>
          <w:color w:val="000000" w:themeColor="text1"/>
        </w:rPr>
        <w:t xml:space="preserve"> KPI and </w:t>
      </w:r>
      <w:r w:rsidRPr="000D6F95">
        <w:rPr>
          <w:rFonts w:ascii="Arial" w:hAnsi="Arial" w:cs="Arial"/>
          <w:i/>
          <w:color w:val="000000" w:themeColor="text1"/>
        </w:rPr>
        <w:t>green ICT</w:t>
      </w:r>
      <w:r w:rsidRPr="000D6F95">
        <w:rPr>
          <w:rFonts w:ascii="Arial" w:hAnsi="Arial" w:cs="Arial"/>
          <w:b/>
          <w:color w:val="000000" w:themeColor="text1"/>
        </w:rPr>
        <w:t xml:space="preserve"> </w:t>
      </w:r>
      <w:r w:rsidRPr="000D6F95">
        <w:rPr>
          <w:rFonts w:ascii="Arial" w:hAnsi="Arial" w:cs="Arial"/>
          <w:color w:val="000000" w:themeColor="text1"/>
        </w:rPr>
        <w:t xml:space="preserve">become important aspects to consider. Given a slice blueprint, one must find suitable resources in the infrastructure and make a reasonable long-term allocation of the blueprint on the selected resources (as per slice lifecycle). This topic has received a considerable attention and is often referred to as </w:t>
      </w:r>
      <w:r w:rsidRPr="000D6F95">
        <w:rPr>
          <w:rFonts w:ascii="Arial" w:hAnsi="Arial" w:cs="Arial"/>
          <w:i/>
          <w:color w:val="000000" w:themeColor="text1"/>
        </w:rPr>
        <w:t>”virtual network embedding”,</w:t>
      </w:r>
      <w:r w:rsidRPr="000D6F95">
        <w:rPr>
          <w:rFonts w:ascii="Arial" w:hAnsi="Arial" w:cs="Arial"/>
          <w:color w:val="000000" w:themeColor="text1"/>
        </w:rPr>
        <w:t xml:space="preserve"> with both simplified greedy solutions and optimised heuristics (with tuneable sub-optimality bounds) being available. However, the overall resource allocation problem of network slicing is twofold, and the second part is unsolved, relating to the question of </w:t>
      </w:r>
      <w:r w:rsidRPr="000D6F95">
        <w:rPr>
          <w:rFonts w:ascii="Arial" w:hAnsi="Arial" w:cs="Arial"/>
          <w:i/>
          <w:color w:val="000000" w:themeColor="text1"/>
        </w:rPr>
        <w:t>elasticity of slices</w:t>
      </w:r>
      <w:r w:rsidRPr="000D6F95">
        <w:rPr>
          <w:rFonts w:ascii="Arial" w:hAnsi="Arial" w:cs="Arial"/>
          <w:color w:val="000000" w:themeColor="text1"/>
        </w:rPr>
        <w:t xml:space="preserve">. Indeed,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t>
      </w:r>
      <w:r w:rsidRPr="000D6F95">
        <w:rPr>
          <w:rFonts w:ascii="Arial" w:hAnsi="Arial" w:cs="Arial"/>
          <w:b/>
          <w:color w:val="000000" w:themeColor="text1"/>
        </w:rPr>
        <w:t>which of the suitable function-equivalent infrastructure resources should be involved into the treatment of an incoming flow</w:t>
      </w:r>
      <w:r w:rsidRPr="000D6F95">
        <w:rPr>
          <w:rFonts w:ascii="Arial" w:hAnsi="Arial" w:cs="Arial"/>
          <w:color w:val="000000" w:themeColor="text1"/>
        </w:rPr>
        <w:t>? Note that this cannot be solved within the slice, if the infrastructure owner promises (and sells) extra-functional properties of the allocated slice; in other words, such provisioning will be done in the infrastructure, transparently to the slice owner.</w:t>
      </w:r>
    </w:p>
    <w:p w14:paraId="4EF1AF7B" w14:textId="436ED2B1"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lastRenderedPageBreak/>
        <w:t xml:space="preserve">The answer to this question of </w:t>
      </w:r>
      <w:r w:rsidRPr="000D6F95">
        <w:rPr>
          <w:rFonts w:ascii="Arial" w:hAnsi="Arial" w:cs="Arial"/>
          <w:b/>
          <w:color w:val="000000" w:themeColor="text1"/>
        </w:rPr>
        <w:t>runtime service scheduling</w:t>
      </w:r>
      <w:r w:rsidRPr="000D6F95">
        <w:rPr>
          <w:rFonts w:ascii="Arial" w:hAnsi="Arial" w:cs="Arial"/>
          <w:color w:val="000000" w:themeColor="text1"/>
        </w:rPr>
        <w:t xml:space="preserve"> is paramount to address the TCO KPI, as solutions to this problem would allow to overprovision slices, without the need to overprovision the underlying infrastructure. The runtime service scheduling therefore is the answer to the questions of elastic and dynamic allocations, currently unsolved. Moreover, if an efficient solution to this problem can be found, network slices can and, for efficiency reasons, should be implemented as dynamically scheduled entities rather than exclusive reserved (and therefore possibly wasted) resource pools for tenant.</w:t>
      </w:r>
    </w:p>
    <w:p w14:paraId="0D95B54F" w14:textId="77777777" w:rsidR="00C42C17" w:rsidRPr="000D6F95" w:rsidRDefault="00C42C17" w:rsidP="000D6F95">
      <w:pPr>
        <w:spacing w:after="120" w:line="240" w:lineRule="auto"/>
        <w:jc w:val="both"/>
        <w:rPr>
          <w:rFonts w:ascii="Arial" w:hAnsi="Arial" w:cs="Arial"/>
          <w:color w:val="000000" w:themeColor="text1"/>
        </w:rPr>
      </w:pPr>
    </w:p>
    <w:p w14:paraId="28E5CF16" w14:textId="77777777" w:rsidR="000D6F95" w:rsidRPr="000D6F95" w:rsidRDefault="000D6F95" w:rsidP="00DA6395">
      <w:pPr>
        <w:pStyle w:val="Heading3"/>
      </w:pPr>
      <w:bookmarkStart w:id="135" w:name="_Toc40350563"/>
      <w:bookmarkStart w:id="136" w:name="_Toc40879289"/>
      <w:bookmarkStart w:id="137" w:name="_Toc42177256"/>
      <w:r w:rsidRPr="000D6F95">
        <w:t>Towards Green ICT</w:t>
      </w:r>
      <w:bookmarkEnd w:id="135"/>
      <w:bookmarkEnd w:id="136"/>
      <w:bookmarkEnd w:id="137"/>
    </w:p>
    <w:p w14:paraId="13464AD3"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In recent years, the </w:t>
      </w:r>
      <w:r w:rsidRPr="000D6F95">
        <w:rPr>
          <w:rFonts w:ascii="Arial" w:hAnsi="Arial" w:cs="Arial"/>
          <w:i/>
          <w:color w:val="000000" w:themeColor="text1"/>
        </w:rPr>
        <w:t>ecological conscience</w:t>
      </w:r>
      <w:r w:rsidRPr="000D6F95">
        <w:rPr>
          <w:rFonts w:ascii="Arial" w:hAnsi="Arial" w:cs="Arial"/>
          <w:color w:val="000000" w:themeColor="text1"/>
        </w:rPr>
        <w:t xml:space="preserve"> has generally increased in Europe. Backed by political and economic initiatives both by the Commission (e.g., Renewable Energy Directive, Green Deal) and the Member States (e.g., German </w:t>
      </w:r>
      <w:r w:rsidRPr="000D6F95">
        <w:rPr>
          <w:rFonts w:ascii="Arial" w:hAnsi="Arial" w:cs="Arial"/>
          <w:i/>
          <w:color w:val="000000" w:themeColor="text1"/>
        </w:rPr>
        <w:t>Energiewende</w:t>
      </w:r>
      <w:r w:rsidRPr="000D6F95">
        <w:rPr>
          <w:rFonts w:ascii="Arial" w:hAnsi="Arial" w:cs="Arial"/>
          <w:color w:val="000000" w:themeColor="text1"/>
        </w:rPr>
        <w:t xml:space="preserve">), the main trend is </w:t>
      </w:r>
      <w:r w:rsidRPr="000D6F95">
        <w:rPr>
          <w:rFonts w:ascii="Arial" w:hAnsi="Arial" w:cs="Arial"/>
          <w:i/>
          <w:color w:val="000000" w:themeColor="text1"/>
        </w:rPr>
        <w:t>to reduce the dependency on conventional energy sources</w:t>
      </w:r>
      <w:r w:rsidRPr="000D6F95">
        <w:rPr>
          <w:rFonts w:ascii="Arial" w:hAnsi="Arial" w:cs="Arial"/>
          <w:color w:val="000000" w:themeColor="text1"/>
        </w:rPr>
        <w:t xml:space="preserve"> (nuclear, fossil) </w:t>
      </w:r>
      <w:r w:rsidRPr="000D6F95">
        <w:rPr>
          <w:rFonts w:ascii="Arial" w:hAnsi="Arial" w:cs="Arial"/>
          <w:i/>
          <w:color w:val="000000" w:themeColor="text1"/>
        </w:rPr>
        <w:t>to the advantage of renewable energy supply</w:t>
      </w:r>
      <w:r w:rsidRPr="000D6F95">
        <w:rPr>
          <w:rFonts w:ascii="Arial" w:hAnsi="Arial" w:cs="Arial"/>
          <w:b/>
          <w:color w:val="000000" w:themeColor="text1"/>
        </w:rPr>
        <w:t xml:space="preserve"> </w:t>
      </w:r>
      <w:r w:rsidRPr="000D6F95">
        <w:rPr>
          <w:rFonts w:ascii="Arial" w:hAnsi="Arial" w:cs="Arial"/>
          <w:color w:val="000000" w:themeColor="text1"/>
        </w:rPr>
        <w:t xml:space="preserve">(wind, photovoltaics, hydroelectricity). Given the decreased flexibility in the energy production of the latter, </w:t>
      </w:r>
      <w:r w:rsidRPr="000D6F95">
        <w:rPr>
          <w:rFonts w:ascii="Arial" w:hAnsi="Arial" w:cs="Arial"/>
          <w:i/>
          <w:color w:val="000000" w:themeColor="text1"/>
        </w:rPr>
        <w:t>this shift must be accompanied by smart energy demand management functions</w:t>
      </w:r>
      <w:r w:rsidRPr="000D6F95">
        <w:rPr>
          <w:rFonts w:ascii="Arial" w:hAnsi="Arial" w:cs="Arial"/>
          <w:color w:val="000000" w:themeColor="text1"/>
        </w:rPr>
        <w:t>, resulting in a strong push for Smart Grids in the energy sector. That is where ICT is generally regarded as an important enabler (e.g., using 5G MTC and network slicing). However, swapping power sources does not address the power consumption of the consuming infrastructure as such.</w:t>
      </w:r>
    </w:p>
    <w:p w14:paraId="0AB12D3D"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Given the increased reliance of the society on ICT infrastructures, these have emerged as essential consumers. For instance, while 5G is 10 times more energy efficient than 4G in transmission, recent studies suggest that, by 2025, 5G alone can increase the anyhow growing energy demand in the data centres by up to 3,8 terawatt hours (TWh) in addition [C4-22]. Even though this effect is due to the increased “popularity” and not to a shortcoming of 5G per se, undeniably, </w:t>
      </w:r>
      <w:r w:rsidRPr="000D6F95">
        <w:rPr>
          <w:rFonts w:ascii="Arial" w:hAnsi="Arial" w:cs="Arial"/>
          <w:b/>
          <w:color w:val="000000" w:themeColor="text1"/>
        </w:rPr>
        <w:t>energy efficiency of data centres emerges as a central preoccupation for resource management</w:t>
      </w:r>
      <w:r w:rsidRPr="000D6F95">
        <w:rPr>
          <w:rFonts w:ascii="Arial" w:hAnsi="Arial" w:cs="Arial"/>
          <w:color w:val="000000" w:themeColor="text1"/>
        </w:rPr>
        <w:t>. While overprovisioning is a simple and popular method in networking (e.g., in fibre optics, it is a simple mechanism for both network development and service quality increase), overprovisioning is not a valid approach for the computing domain. Indeed, modern DCs reduce the required compute power for the same load, using DC-internal schedulers (e.g., Apache Mesos, Kubernetes K8).</w:t>
      </w:r>
    </w:p>
    <w:p w14:paraId="4A21338F"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Novel methods are required to overcome the limitation to a single DC and should embrace path and compute allocations together, in order to exploit infrastructure diversity. </w:t>
      </w:r>
      <w:r w:rsidRPr="000D6F95">
        <w:rPr>
          <w:rFonts w:ascii="Arial" w:hAnsi="Arial" w:cs="Arial"/>
          <w:b/>
          <w:color w:val="000000" w:themeColor="text1"/>
        </w:rPr>
        <w:t xml:space="preserve">Future research should explore and develop approaches to elastic resource management </w:t>
      </w:r>
      <w:r w:rsidRPr="000D6F95">
        <w:rPr>
          <w:rFonts w:ascii="Arial" w:hAnsi="Arial" w:cs="Arial"/>
          <w:color w:val="000000" w:themeColor="text1"/>
        </w:rPr>
        <w:t>in addition to the current trends limited to green energy power supply for data centres (using smart grid’s demand management) and the “recycling” of waste heat from the DC cooling systems. Such novel approaches could generally rely on elasticity mechanisms, i.e., runtime redirection of incoming service requests to best suitable infrastructure components with the goal of increasing the throughput on the same resource footprint. Preferred redirection to eco-powered components can be integrated into runtime service scheduling.</w:t>
      </w:r>
    </w:p>
    <w:p w14:paraId="76C3C9D7" w14:textId="274F9EBF"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This theme translates to the overall ICT sector and ICT infrastructures in that </w:t>
      </w:r>
      <w:r w:rsidRPr="000D6F95">
        <w:rPr>
          <w:rFonts w:ascii="Arial" w:hAnsi="Arial" w:cs="Arial"/>
          <w:b/>
          <w:color w:val="000000" w:themeColor="text1"/>
        </w:rPr>
        <w:t>green or sustainable ICT cannot be achieved without a profound consideration for resource management</w:t>
      </w:r>
      <w:r w:rsidRPr="000D6F95">
        <w:rPr>
          <w:rFonts w:ascii="Arial" w:hAnsi="Arial" w:cs="Arial"/>
          <w:color w:val="000000" w:themeColor="text1"/>
        </w:rPr>
        <w:t>. Given the steady increase in the dynamics and the diversity of services, pre-planning and fixed allocations of any kind (dedicated devices, pre-provisioning, long-term configurations, mapping to particular nodes, single points of failure) are doomed to overprovisioning, which, for the same service load, requires more resources to be deployed, maintained and powered up in the infrastructure. This wastes energy and is ultimately not sustainable.</w:t>
      </w:r>
    </w:p>
    <w:p w14:paraId="3489CFAE" w14:textId="53F6B02E" w:rsidR="00C42C17" w:rsidRDefault="00C42C17" w:rsidP="000D6F95">
      <w:pPr>
        <w:spacing w:after="120" w:line="240" w:lineRule="auto"/>
        <w:jc w:val="both"/>
        <w:rPr>
          <w:rFonts w:ascii="Arial" w:hAnsi="Arial" w:cs="Arial"/>
          <w:color w:val="000000" w:themeColor="text1"/>
        </w:rPr>
      </w:pPr>
    </w:p>
    <w:p w14:paraId="39D1B4B2" w14:textId="77777777" w:rsidR="00C42C17" w:rsidRPr="000D6F95" w:rsidRDefault="00C42C17" w:rsidP="000D6F95">
      <w:pPr>
        <w:spacing w:after="120" w:line="240" w:lineRule="auto"/>
        <w:jc w:val="both"/>
        <w:rPr>
          <w:rFonts w:ascii="Arial" w:hAnsi="Arial" w:cs="Arial"/>
          <w:color w:val="000000" w:themeColor="text1"/>
        </w:rPr>
      </w:pPr>
    </w:p>
    <w:p w14:paraId="50233597" w14:textId="77777777" w:rsidR="000D6F95" w:rsidRPr="000D6F95" w:rsidRDefault="000D6F95" w:rsidP="00DA6395">
      <w:pPr>
        <w:pStyle w:val="Heading3"/>
      </w:pPr>
      <w:bookmarkStart w:id="138" w:name="_Toc40879290"/>
      <w:bookmarkStart w:id="139" w:name="_Toc42177257"/>
      <w:r w:rsidRPr="000D6F95">
        <w:lastRenderedPageBreak/>
        <w:t>Research Challenges</w:t>
      </w:r>
      <w:bookmarkEnd w:id="138"/>
      <w:bookmarkEnd w:id="139"/>
    </w:p>
    <w:p w14:paraId="71CBBEB0"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On the opportunity side, </w:t>
      </w:r>
      <w:r w:rsidRPr="000D6F95">
        <w:rPr>
          <w:rFonts w:ascii="Arial" w:hAnsi="Arial" w:cs="Arial"/>
          <w:b/>
          <w:color w:val="000000" w:themeColor="text1"/>
        </w:rPr>
        <w:t>programmable ICT infrastructures increase the degrees of freedom</w:t>
      </w:r>
      <w:r w:rsidRPr="000D6F95">
        <w:rPr>
          <w:rFonts w:ascii="Arial" w:hAnsi="Arial" w:cs="Arial"/>
          <w:color w:val="000000" w:themeColor="text1"/>
        </w:rPr>
        <w:t xml:space="preserve"> in service-to-infrastructure mapping and, therefore, </w:t>
      </w:r>
      <w:r w:rsidRPr="000D6F95">
        <w:rPr>
          <w:rFonts w:ascii="Arial" w:hAnsi="Arial" w:cs="Arial"/>
          <w:b/>
          <w:color w:val="000000" w:themeColor="text1"/>
        </w:rPr>
        <w:t>could yield more sustainability both in time (flexibility) and in energy (elasticity)</w:t>
      </w:r>
      <w:r w:rsidRPr="000D6F95">
        <w:rPr>
          <w:rFonts w:ascii="Arial" w:hAnsi="Arial" w:cs="Arial"/>
          <w:color w:val="000000" w:themeColor="text1"/>
        </w:rPr>
        <w:t>. On the challenges side however, the mixed compute/ storage/ networking environments, even under the assumption of pervasive controllability, require suitable solutions with respect to resource management: the heterogeneity of resources makes it harder to rely on single mechanisms, as different domains apply their own approaches internally, and often do not exhibit this knowledge externally. Also, a given unique approach will likely not fit the requirements of different resource types. Besides, the scale of the overall infrastructure makes it hard to rely on any consistent, up-to-date picture of the current consumption vs. load, as described above.</w:t>
      </w:r>
    </w:p>
    <w:p w14:paraId="305F682A"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Challenges in this area can be summarised in the following:</w:t>
      </w:r>
    </w:p>
    <w:p w14:paraId="572BE168" w14:textId="77777777" w:rsidR="000D6F95" w:rsidRP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question of runtime service scheduling in programmable ICT systems is paramount, as it permits both to provide superior extra functional properties of the supported allocations (“slices”) and to lower the Total Cost of Ownership. Indeed, the TCO of a slicing implementation using only fixed-quota assignments (meaning that the sum of the resources consumed by all slice instances will define the necessary infrastructure resource footprint) would be horrible, roughly comparable to hardware slicing. </w:t>
      </w:r>
      <w:r w:rsidRPr="000D6F95">
        <w:rPr>
          <w:rFonts w:ascii="Arial" w:hAnsi="Arial" w:cs="Arial"/>
          <w:b/>
          <w:color w:val="000000" w:themeColor="text1"/>
          <w:lang w:eastAsia="de-DE"/>
        </w:rPr>
        <w:t xml:space="preserve">The dynamic resource assignment problem, </w:t>
      </w:r>
      <w:r w:rsidRPr="000D6F95">
        <w:rPr>
          <w:rFonts w:ascii="Arial" w:hAnsi="Arial" w:cs="Arial"/>
          <w:color w:val="000000" w:themeColor="text1"/>
          <w:lang w:eastAsia="de-DE"/>
        </w:rPr>
        <w:t>as a quest for a more efficient infrastructure sharing, including computing, networking and energy resources,</w:t>
      </w:r>
      <w:r w:rsidRPr="000D6F95">
        <w:rPr>
          <w:rFonts w:ascii="Arial" w:hAnsi="Arial" w:cs="Arial"/>
          <w:b/>
          <w:color w:val="000000" w:themeColor="text1"/>
          <w:lang w:eastAsia="de-DE"/>
        </w:rPr>
        <w:t xml:space="preserve"> is difficult because of heterogeneity, partial or outdated information, its runtime nature and the absence of any central party or mechanism </w:t>
      </w:r>
      <w:r w:rsidRPr="000D6F95">
        <w:rPr>
          <w:rFonts w:ascii="Arial" w:hAnsi="Arial" w:cs="Arial"/>
          <w:color w:val="000000" w:themeColor="text1"/>
          <w:lang w:eastAsia="de-DE"/>
        </w:rPr>
        <w:t>(like ordering or synchronized clocks).</w:t>
      </w:r>
    </w:p>
    <w:p w14:paraId="49733DEE" w14:textId="77777777" w:rsidR="000D6F95" w:rsidRP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answer to the job scheduling in large networked systems requires a lot of fundamental research, such as leveraging existing solutions from data centre research and applying them at network scale with multitenancy and concurrency. Suitable </w:t>
      </w:r>
      <w:r w:rsidRPr="000D6F95">
        <w:rPr>
          <w:rFonts w:ascii="Arial" w:hAnsi="Arial" w:cs="Arial"/>
          <w:b/>
          <w:color w:val="000000" w:themeColor="text1"/>
          <w:lang w:eastAsia="de-DE"/>
        </w:rPr>
        <w:t>conflict handling mechanisms are required</w:t>
      </w:r>
      <w:r w:rsidRPr="000D6F95">
        <w:rPr>
          <w:rFonts w:ascii="Arial" w:hAnsi="Arial" w:cs="Arial"/>
          <w:color w:val="000000" w:themeColor="text1"/>
          <w:lang w:eastAsia="de-DE"/>
        </w:rPr>
        <w:t xml:space="preserve"> here, especially if guaranteed execution is required. Utilizing insights from distributed systems research, </w:t>
      </w:r>
      <w:r w:rsidRPr="000D6F95">
        <w:rPr>
          <w:rFonts w:ascii="Arial" w:hAnsi="Arial" w:cs="Arial"/>
          <w:b/>
          <w:color w:val="000000" w:themeColor="text1"/>
          <w:lang w:eastAsia="de-DE"/>
        </w:rPr>
        <w:t>the major goal should not be optimality, but rather improved efficiency</w:t>
      </w:r>
      <w:r w:rsidRPr="000D6F95">
        <w:rPr>
          <w:rFonts w:ascii="Arial" w:hAnsi="Arial" w:cs="Arial"/>
          <w:color w:val="000000" w:themeColor="text1"/>
          <w:lang w:eastAsia="de-DE"/>
        </w:rPr>
        <w:t xml:space="preserve">: given the size of the infrastructure, </w:t>
      </w:r>
      <w:r w:rsidRPr="000D6F95">
        <w:rPr>
          <w:rFonts w:ascii="Arial" w:hAnsi="Arial" w:cs="Arial"/>
          <w:i/>
          <w:color w:val="000000" w:themeColor="text1"/>
          <w:lang w:eastAsia="de-DE"/>
        </w:rPr>
        <w:t>1 % efficiency increase might translate to hundreds of millions of Euros/Watts/additional users</w:t>
      </w:r>
      <w:r w:rsidRPr="000D6F95">
        <w:rPr>
          <w:rFonts w:ascii="Arial" w:hAnsi="Arial" w:cs="Arial"/>
          <w:color w:val="000000" w:themeColor="text1"/>
          <w:lang w:eastAsia="de-DE"/>
        </w:rPr>
        <w:t xml:space="preserve">/etc. Given the assumption of sub-optimality, novel </w:t>
      </w:r>
      <w:r w:rsidRPr="000D6F95">
        <w:rPr>
          <w:rFonts w:ascii="Arial" w:hAnsi="Arial" w:cs="Arial"/>
          <w:b/>
          <w:color w:val="000000" w:themeColor="text1"/>
          <w:lang w:eastAsia="de-DE"/>
        </w:rPr>
        <w:t>mechanisms for networked garbage collection can be considered</w:t>
      </w:r>
      <w:r w:rsidRPr="000D6F95">
        <w:rPr>
          <w:rFonts w:ascii="Arial" w:hAnsi="Arial" w:cs="Arial"/>
          <w:color w:val="000000" w:themeColor="text1"/>
          <w:lang w:eastAsia="de-DE"/>
        </w:rPr>
        <w:t>.</w:t>
      </w:r>
    </w:p>
    <w:p w14:paraId="651BA38F" w14:textId="7A29BF9D" w:rsidR="000D6F95" w:rsidRDefault="000D6F95" w:rsidP="0034180F">
      <w:pPr>
        <w:numPr>
          <w:ilvl w:val="0"/>
          <w:numId w:val="8"/>
        </w:num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elasticity of slicing has to propagate towards subscriber level and even application level. For instance, an application could use different slices during its session in order to best utilise the network as well as to provide superior quality of service with respect to slice offerings. In the view similar to application-driven networking, an application could also explicitly ask for a “slice” suitable to its needs. This rules out any pre-provisioning and can only be reasonably implemented in public infrastructures like the telecommunication networks, if the provision of the slices is highly dynamic yet resilient. Thus, </w:t>
      </w:r>
      <w:r w:rsidRPr="000D6F95">
        <w:rPr>
          <w:rFonts w:ascii="Arial" w:hAnsi="Arial" w:cs="Arial"/>
          <w:b/>
          <w:color w:val="000000" w:themeColor="text1"/>
          <w:lang w:eastAsia="de-DE"/>
        </w:rPr>
        <w:t>application requirements need not only signalling but also suitable translation to constraints, under which the slicing control can operate to meet the applications’ needs</w:t>
      </w:r>
      <w:r w:rsidRPr="000D6F95">
        <w:rPr>
          <w:rFonts w:ascii="Arial" w:hAnsi="Arial" w:cs="Arial"/>
          <w:color w:val="000000" w:themeColor="text1"/>
          <w:lang w:eastAsia="de-DE"/>
        </w:rPr>
        <w:t>.</w:t>
      </w:r>
    </w:p>
    <w:p w14:paraId="2EA8EC0A" w14:textId="77777777" w:rsidR="00C42C17" w:rsidRPr="000D6F95" w:rsidRDefault="00C42C17" w:rsidP="00C42C17">
      <w:pPr>
        <w:spacing w:after="120" w:line="240" w:lineRule="auto"/>
        <w:ind w:left="720"/>
        <w:jc w:val="both"/>
        <w:rPr>
          <w:rFonts w:ascii="Arial" w:hAnsi="Arial" w:cs="Arial"/>
          <w:color w:val="000000" w:themeColor="text1"/>
          <w:lang w:eastAsia="de-DE"/>
        </w:rPr>
      </w:pPr>
    </w:p>
    <w:p w14:paraId="705E8574" w14:textId="442C5719" w:rsidR="000D6F95" w:rsidRDefault="000D6F95" w:rsidP="002C7431">
      <w:pPr>
        <w:pStyle w:val="Heading2"/>
        <w:rPr>
          <w:lang w:eastAsia="de-DE"/>
        </w:rPr>
      </w:pPr>
      <w:bookmarkStart w:id="140" w:name="_Toc509511050"/>
      <w:bookmarkStart w:id="141" w:name="_Toc40879291"/>
      <w:bookmarkStart w:id="142" w:name="_Toc42177258"/>
      <w:r w:rsidRPr="000D6F95">
        <w:rPr>
          <w:lang w:eastAsia="de-DE"/>
        </w:rPr>
        <w:t>AI/ML-based System Evolution</w:t>
      </w:r>
      <w:bookmarkEnd w:id="140"/>
      <w:bookmarkEnd w:id="141"/>
      <w:bookmarkEnd w:id="142"/>
    </w:p>
    <w:p w14:paraId="74163C9C" w14:textId="77777777" w:rsidR="00C42C17" w:rsidRPr="00C42C17" w:rsidRDefault="00C42C17" w:rsidP="00C42C17">
      <w:pPr>
        <w:rPr>
          <w:lang w:eastAsia="de-DE"/>
        </w:rPr>
      </w:pPr>
    </w:p>
    <w:p w14:paraId="7532B18B" w14:textId="77777777" w:rsidR="000D6F95" w:rsidRP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t xml:space="preserve">Utilizing knowledge gained over a longer time is well-established in the industry. OTT services have long been using AI/ML techniques, albeit operating largely on data sets derived from the services and their users directly. At the level of improving network operations, self-* solutions have advocated the use of operational insights to adapt network functionality without intervention from either human operators or users. </w:t>
      </w:r>
    </w:p>
    <w:p w14:paraId="34D20BD2" w14:textId="288988B2" w:rsidR="000D6F95" w:rsidRDefault="000D6F95" w:rsidP="000D6F95">
      <w:pPr>
        <w:spacing w:after="120" w:line="240" w:lineRule="auto"/>
        <w:jc w:val="both"/>
        <w:rPr>
          <w:rFonts w:ascii="Arial" w:hAnsi="Arial" w:cs="Arial"/>
          <w:color w:val="000000" w:themeColor="text1"/>
        </w:rPr>
      </w:pPr>
      <w:r w:rsidRPr="000D6F95">
        <w:rPr>
          <w:rFonts w:ascii="Arial" w:hAnsi="Arial" w:cs="Arial"/>
          <w:color w:val="000000" w:themeColor="text1"/>
        </w:rPr>
        <w:lastRenderedPageBreak/>
        <w:t xml:space="preserve">Given the vast amount of data available in complex network environments albeit in a distributed fashion, AI/ML is well suited to produce new insights into emerging behaviour patterns in such distributed environments. To this end, suitable AI/ML techniques are applied, provided as a service capability towards (a) </w:t>
      </w:r>
      <w:r w:rsidRPr="000D6F95">
        <w:rPr>
          <w:rFonts w:ascii="Arial" w:hAnsi="Arial" w:cs="Arial"/>
          <w:i/>
          <w:color w:val="000000" w:themeColor="text1"/>
        </w:rPr>
        <w:t>operations of networks</w:t>
      </w:r>
      <w:r w:rsidRPr="000D6F95">
        <w:rPr>
          <w:rFonts w:ascii="Arial" w:hAnsi="Arial" w:cs="Arial"/>
          <w:color w:val="000000" w:themeColor="text1"/>
        </w:rPr>
        <w:t xml:space="preserve"> and (b) </w:t>
      </w:r>
      <w:r w:rsidRPr="000D6F95">
        <w:rPr>
          <w:rFonts w:ascii="Arial" w:hAnsi="Arial" w:cs="Arial"/>
          <w:i/>
          <w:color w:val="000000" w:themeColor="text1"/>
        </w:rPr>
        <w:t>improvements of service provisioning and functionality</w:t>
      </w:r>
      <w:r w:rsidRPr="000D6F95">
        <w:rPr>
          <w:rFonts w:ascii="Arial" w:hAnsi="Arial" w:cs="Arial"/>
          <w:color w:val="000000" w:themeColor="text1"/>
        </w:rPr>
        <w:t xml:space="preserve"> itself. In other words, we see a strong evolution of future networks from a mere communication and computing infrastructure to an integral part of the overall knowledge pool that can be used to improve functioning of networks and services alike; </w:t>
      </w:r>
      <w:r w:rsidRPr="000D6F95">
        <w:rPr>
          <w:rFonts w:ascii="Arial" w:hAnsi="Arial" w:cs="Arial"/>
          <w:i/>
          <w:color w:val="000000" w:themeColor="text1"/>
        </w:rPr>
        <w:t>AI-as-a-Service (AIaaS)</w:t>
      </w:r>
      <w:r w:rsidRPr="000D6F95">
        <w:rPr>
          <w:rFonts w:ascii="Arial" w:hAnsi="Arial" w:cs="Arial"/>
          <w:color w:val="000000" w:themeColor="text1"/>
        </w:rPr>
        <w:t xml:space="preserve"> provides this capability in a prosumer-centric notion. </w:t>
      </w:r>
    </w:p>
    <w:p w14:paraId="3F4DDA7F" w14:textId="77777777" w:rsidR="00C42C17" w:rsidRPr="000D6F95" w:rsidRDefault="00C42C17" w:rsidP="000D6F95">
      <w:pPr>
        <w:spacing w:after="120" w:line="240" w:lineRule="auto"/>
        <w:jc w:val="both"/>
        <w:rPr>
          <w:rFonts w:ascii="Arial" w:hAnsi="Arial" w:cs="Arial"/>
          <w:color w:val="000000" w:themeColor="text1"/>
        </w:rPr>
      </w:pPr>
    </w:p>
    <w:p w14:paraId="791C4789" w14:textId="77777777" w:rsidR="000D6F95" w:rsidRPr="000D6F95" w:rsidRDefault="000D6F95" w:rsidP="00DA6395">
      <w:pPr>
        <w:pStyle w:val="Heading3"/>
      </w:pPr>
      <w:bookmarkStart w:id="143" w:name="_Toc40879292"/>
      <w:bookmarkStart w:id="144" w:name="_Toc42177259"/>
      <w:r w:rsidRPr="000D6F95">
        <w:t>Proliferation of AIaaS in Network Operations</w:t>
      </w:r>
      <w:bookmarkEnd w:id="143"/>
      <w:bookmarkEnd w:id="144"/>
    </w:p>
    <w:p w14:paraId="4CF14137"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We foresee </w:t>
      </w:r>
      <w:r w:rsidRPr="000D6F95">
        <w:rPr>
          <w:rFonts w:ascii="Arial" w:hAnsi="Arial" w:cs="Arial"/>
          <w:color w:val="000000" w:themeColor="text1"/>
          <w:lang w:val="en-US" w:eastAsia="de-DE"/>
        </w:rPr>
        <w:t>AI/ML playing an increasingly important role in network management</w:t>
      </w:r>
      <w:r w:rsidRPr="000D6F95">
        <w:rPr>
          <w:rFonts w:ascii="Arial" w:hAnsi="Arial" w:cs="Arial"/>
          <w:b/>
          <w:i/>
          <w:color w:val="000000" w:themeColor="text1"/>
          <w:lang w:val="en-US" w:eastAsia="de-DE"/>
        </w:rPr>
        <w:t>,</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with the aim of reducing costs, increasing productivity, deriving more value, and improving customer experience. A range of learning techniques can be used to predict the behaviour of the network and its users to better provision resources</w:t>
      </w:r>
      <w:r w:rsidRPr="000D6F95">
        <w:rPr>
          <w:rFonts w:ascii="Arial" w:hAnsi="Arial" w:cs="Arial"/>
          <w:b/>
          <w:i/>
          <w:color w:val="000000" w:themeColor="text1"/>
          <w:lang w:val="en-US" w:eastAsia="de-DE"/>
        </w:rPr>
        <w:t xml:space="preserve"> </w:t>
      </w:r>
      <w:r w:rsidRPr="000D6F95">
        <w:rPr>
          <w:rFonts w:ascii="Arial" w:hAnsi="Arial" w:cs="Arial"/>
          <w:color w:val="000000" w:themeColor="text1"/>
          <w:lang w:val="en-US" w:eastAsia="de-DE"/>
        </w:rPr>
        <w:t xml:space="preserve">by avoiding today’s typical over-dimensioning. In terms of OPEX optimization, where energy consumption is one of the major cost items for network operators, AI/ML will leverage </w:t>
      </w:r>
      <w:r w:rsidRPr="000D6F95">
        <w:rPr>
          <w:rFonts w:ascii="Arial" w:hAnsi="Arial" w:cs="Arial"/>
          <w:b/>
          <w:i/>
          <w:color w:val="000000" w:themeColor="text1"/>
          <w:lang w:val="en-US" w:eastAsia="de-DE"/>
        </w:rPr>
        <w:t>“</w:t>
      </w:r>
      <w:r w:rsidRPr="000D6F95">
        <w:rPr>
          <w:rFonts w:ascii="Arial" w:hAnsi="Arial" w:cs="Arial"/>
          <w:i/>
          <w:color w:val="000000" w:themeColor="text1"/>
          <w:lang w:val="en-US" w:eastAsia="de-DE"/>
        </w:rPr>
        <w:t>data lakes</w:t>
      </w:r>
      <w:r w:rsidRPr="000D6F95">
        <w:rPr>
          <w:rFonts w:ascii="Arial" w:hAnsi="Arial" w:cs="Arial"/>
          <w:b/>
          <w:i/>
          <w:color w:val="000000" w:themeColor="text1"/>
          <w:lang w:val="en-US" w:eastAsia="de-DE"/>
        </w:rPr>
        <w:t>”</w:t>
      </w:r>
      <w:r w:rsidRPr="000D6F95">
        <w:rPr>
          <w:rFonts w:ascii="Arial" w:hAnsi="Arial" w:cs="Arial"/>
          <w:color w:val="000000" w:themeColor="text1"/>
          <w:lang w:val="en-US" w:eastAsia="de-DE"/>
        </w:rPr>
        <w:t xml:space="preserve"> to analyze performance and optimize energy consumption versus quality of service. </w:t>
      </w:r>
      <w:r w:rsidRPr="000D6F95">
        <w:rPr>
          <w:rFonts w:ascii="Arial" w:hAnsi="Arial" w:cs="Arial"/>
          <w:color w:val="000000" w:themeColor="text1"/>
        </w:rPr>
        <w:t>We furthermore see a strong alignment with the move towards fully virtualized network functions, where AI/ML capabilities are utilized to ensure reliable controllability in a fully automated manner, specifically to</w:t>
      </w:r>
      <w:r w:rsidRPr="000D6F95">
        <w:rPr>
          <w:rFonts w:ascii="Arial" w:hAnsi="Arial" w:cs="Arial"/>
          <w:color w:val="000000" w:themeColor="text1"/>
          <w:lang w:eastAsia="de-DE"/>
        </w:rPr>
        <w:t>:</w:t>
      </w:r>
    </w:p>
    <w:p w14:paraId="5E5FAAED"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Instantiate a complete end-to-end network that includes, e.g., the RAN, mobile core, other forms of access networks (DSL, etc.), transport network, as well as the Data Network. This network may be logically separate and/or isolated for certain aspects like services, users, etc.</w:t>
      </w:r>
    </w:p>
    <w:p w14:paraId="172D3F09"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Extend such an instantiated network by computationally and storage resources where suitable, spanning from edge computing to backoffice data centres. </w:t>
      </w:r>
    </w:p>
    <w:p w14:paraId="3DD7F631"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Incrementally deploy network services in the operator's network (or elsewhere) in logically separated and/or isolated manner from the other already deployed services.</w:t>
      </w:r>
    </w:p>
    <w:p w14:paraId="210C78F0"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Deploy and provide network services to other operators and/or service providers when requested, via open interfaces. This way, other operators and/or service providers can re-sell/extend the provided network services.</w:t>
      </w:r>
    </w:p>
    <w:p w14:paraId="76885F6F"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Realize fast lifecycle management (LCM), automatically triggered based on vendor-independent FCAPS management.</w:t>
      </w:r>
    </w:p>
    <w:p w14:paraId="68C213C4"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Instantiate new components into a live production network in a plug-and-play manner.</w:t>
      </w:r>
    </w:p>
    <w:p w14:paraId="787D3C83" w14:textId="77777777" w:rsidR="000D6F95" w:rsidRPr="000D6F95" w:rsidRDefault="000D6F95" w:rsidP="000D6F95">
      <w:pPr>
        <w:numPr>
          <w:ilvl w:val="0"/>
          <w:numId w:val="3"/>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Terminate one or more network slices or service(s).</w:t>
      </w:r>
    </w:p>
    <w:p w14:paraId="77876685"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AI/ML-based network control – as a way to implement fully automated Smart Networks – seem like a must for future networks rather than a nice-to-have. To wit, the scale of deployments made possible by function virtualisation, the extreme split in micro or atomic functions and the proliferation of more and more functions at the edge create network deployments of unprecedented complexity, challenging to manage and control with current decision support tools. Down the road, we see a need to overcome the current juxtaposition of conventional </w:t>
      </w:r>
      <w:r w:rsidRPr="000D6F95">
        <w:rPr>
          <w:rFonts w:ascii="Arial" w:hAnsi="Arial" w:cs="Arial"/>
          <w:i/>
          <w:iCs/>
          <w:color w:val="000000" w:themeColor="text1"/>
          <w:lang w:eastAsia="de-DE"/>
        </w:rPr>
        <w:t>model-based</w:t>
      </w:r>
      <w:r w:rsidRPr="000D6F95">
        <w:rPr>
          <w:rFonts w:ascii="Arial" w:hAnsi="Arial" w:cs="Arial"/>
          <w:color w:val="000000" w:themeColor="text1"/>
          <w:lang w:eastAsia="de-DE"/>
        </w:rPr>
        <w:t xml:space="preserve"> approaches (who have, after all, driven the Internet for decades) with still untested but promising </w:t>
      </w:r>
      <w:r w:rsidRPr="000D6F95">
        <w:rPr>
          <w:rFonts w:ascii="Arial" w:hAnsi="Arial" w:cs="Arial"/>
          <w:i/>
          <w:iCs/>
          <w:color w:val="000000" w:themeColor="text1"/>
          <w:lang w:eastAsia="de-DE"/>
        </w:rPr>
        <w:t>data-driven</w:t>
      </w:r>
      <w:r w:rsidRPr="000D6F95">
        <w:rPr>
          <w:rFonts w:ascii="Arial" w:hAnsi="Arial" w:cs="Arial"/>
          <w:color w:val="000000" w:themeColor="text1"/>
          <w:lang w:eastAsia="de-DE"/>
        </w:rPr>
        <w:t xml:space="preserve"> approaches and come up with integrated, hybrid solutions. Possibly, data-drivenness could compensate for fuzziness and uncertainty while model-driven approaches could provide a solid operational foundation. </w:t>
      </w:r>
    </w:p>
    <w:p w14:paraId="2075031D"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The system challenge here is to develop a future network with </w:t>
      </w:r>
      <w:r w:rsidRPr="000D6F95">
        <w:rPr>
          <w:rFonts w:ascii="Arial" w:hAnsi="Arial" w:cs="Arial"/>
          <w:i/>
          <w:color w:val="000000" w:themeColor="text1"/>
          <w:lang w:eastAsia="de-DE"/>
        </w:rPr>
        <w:t>Full Automation</w:t>
      </w:r>
      <w:r w:rsidRPr="000D6F95">
        <w:rPr>
          <w:rFonts w:ascii="Arial" w:hAnsi="Arial" w:cs="Arial"/>
          <w:color w:val="000000" w:themeColor="text1"/>
          <w:lang w:eastAsia="de-DE"/>
        </w:rPr>
        <w:t xml:space="preserve">, which reduces and tries to eliminate any human intervention. In principle, such automation can be achieved, once exact behaviour of all components is understood and expressed in a suitable model. In practice, however, for the highly complex and interwoven system outlined here, such a full-model description is not feasible, rendering </w:t>
      </w:r>
      <w:r w:rsidRPr="000D6F95">
        <w:rPr>
          <w:rFonts w:ascii="Arial" w:hAnsi="Arial" w:cs="Arial"/>
          <w:i/>
          <w:iCs/>
          <w:color w:val="000000" w:themeColor="text1"/>
          <w:lang w:eastAsia="de-DE"/>
        </w:rPr>
        <w:t>model-driven</w:t>
      </w:r>
      <w:r w:rsidRPr="000D6F95">
        <w:rPr>
          <w:rFonts w:ascii="Arial" w:hAnsi="Arial" w:cs="Arial"/>
          <w:color w:val="000000" w:themeColor="text1"/>
          <w:lang w:eastAsia="de-DE"/>
        </w:rPr>
        <w:t xml:space="preserve"> automation and control impractical. For such situations, data-driven approaches leveraging powerful AI/ML systems might come to the rescue. One challenge here is to determine which data to use for what control aspect, using which AI algorithm. For example, there is a challenge that AI/ML is seamlessly applied </w:t>
      </w:r>
      <w:r w:rsidRPr="000D6F95">
        <w:rPr>
          <w:rFonts w:ascii="Arial" w:hAnsi="Arial" w:cs="Arial"/>
          <w:color w:val="000000" w:themeColor="text1"/>
          <w:lang w:eastAsia="de-DE"/>
        </w:rPr>
        <w:lastRenderedPageBreak/>
        <w:t>to network control, to run automated operations of network functions, network slices, transport networks, in an end-to-end scope.</w:t>
      </w:r>
    </w:p>
    <w:p w14:paraId="440540AF" w14:textId="7A647C48" w:rsid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Moreover, a thoroughly integrated AI scheme would open up new venues, how to think about operating a network in general. For example, suppose good to very good predictions (load, failures) were available. Then, the possibility arises to implement predictive behaviours in the network, to make available a network control intelligence capable of mitigating failures, the usage load, etc. and quickly adapt network configuration to be always available at the target performance levels requested by the applications. Basically, we could switch from closed-loop control to open-loop control (</w:t>
      </w:r>
      <w:r w:rsidRPr="000D6F95">
        <w:rPr>
          <w:rFonts w:ascii="Arial" w:hAnsi="Arial" w:cs="Arial"/>
          <w:color w:val="000000" w:themeColor="text1"/>
        </w:rPr>
        <w:t>or, at least, to receding horizon control – also sometimes termed “open-loop feedback control” – where the optimizing control strategy is recomputed in the light of new observations leading to new predictions over a forward shifting time horizon).</w:t>
      </w:r>
      <w:r w:rsidRPr="000D6F95">
        <w:rPr>
          <w:rFonts w:ascii="Arial" w:hAnsi="Arial" w:cs="Arial"/>
          <w:color w:val="000000" w:themeColor="text1"/>
          <w:lang w:eastAsia="de-DE"/>
        </w:rPr>
        <w:t xml:space="preserve"> </w:t>
      </w:r>
    </w:p>
    <w:p w14:paraId="7C00C2B9" w14:textId="77777777" w:rsidR="00C42C17" w:rsidRPr="000D6F95" w:rsidRDefault="00C42C17" w:rsidP="000D6F95">
      <w:pPr>
        <w:spacing w:after="120" w:line="240" w:lineRule="auto"/>
        <w:jc w:val="both"/>
        <w:rPr>
          <w:rFonts w:ascii="Arial" w:hAnsi="Arial" w:cs="Arial"/>
          <w:color w:val="000000" w:themeColor="text1"/>
          <w:lang w:eastAsia="de-DE"/>
        </w:rPr>
      </w:pPr>
    </w:p>
    <w:p w14:paraId="188F488D" w14:textId="77777777" w:rsidR="000D6F95" w:rsidRPr="000D6F95" w:rsidRDefault="000D6F95" w:rsidP="00DA6395">
      <w:pPr>
        <w:pStyle w:val="Heading3"/>
        <w:rPr>
          <w:lang w:eastAsia="de-DE"/>
        </w:rPr>
      </w:pPr>
      <w:bookmarkStart w:id="145" w:name="_Toc40879293"/>
      <w:bookmarkStart w:id="146" w:name="_Toc42177260"/>
      <w:r w:rsidRPr="000D6F95">
        <w:rPr>
          <w:lang w:eastAsia="de-DE"/>
        </w:rPr>
        <w:t>AIaaS Proliferation in Service Provisioning</w:t>
      </w:r>
      <w:bookmarkEnd w:id="145"/>
      <w:bookmarkEnd w:id="146"/>
    </w:p>
    <w:p w14:paraId="4BDF0DEE"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 xml:space="preserve">Beyond the use of AI/ML for improving on network operations directly, AI/ML </w:t>
      </w:r>
      <w:r w:rsidRPr="000D6F95">
        <w:rPr>
          <w:rFonts w:ascii="Arial" w:hAnsi="Arial" w:cs="Arial"/>
          <w:color w:val="000000" w:themeColor="text1"/>
          <w:lang w:val="en-US" w:eastAsia="de-DE"/>
        </w:rPr>
        <w:t>will enable innovative features when provisioning</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future digital services</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for homes, businesses, government, transport, manufacturing smart cities and other verticals. At the same time, we expect a significant increase in the amount of machine-to-machine (sensor) communication monitoring smart cities, Industry 4.0, smart energy, etc. These changed traffic patterns will drive</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the move of computational and memory/storage resources from huge data centres towards the edge of the network, therefore impacting network designs to support this move. New services powered by AI/ML</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 xml:space="preserve">may also bring significant socio-economic impacts together with improved sustainability models for Network Operators. For prosumers, we foresee the proliferation of </w:t>
      </w:r>
      <w:r w:rsidRPr="000D6F95">
        <w:rPr>
          <w:rFonts w:ascii="Arial" w:hAnsi="Arial" w:cs="Arial"/>
          <w:i/>
          <w:color w:val="000000" w:themeColor="text1"/>
          <w:lang w:val="en-US" w:eastAsia="de-DE"/>
        </w:rPr>
        <w:t>personal data platforms</w:t>
      </w:r>
      <w:r w:rsidRPr="000D6F95">
        <w:rPr>
          <w:rFonts w:ascii="Arial" w:hAnsi="Arial" w:cs="Arial"/>
          <w:color w:val="000000" w:themeColor="text1"/>
          <w:lang w:val="en-US" w:eastAsia="de-DE"/>
        </w:rPr>
        <w:t xml:space="preserve"> that are tightly connected with network services, allowing Internet users to control their data.</w:t>
      </w:r>
    </w:p>
    <w:p w14:paraId="472652F4" w14:textId="48F27E1A" w:rsid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val="en-US" w:eastAsia="de-DE"/>
        </w:rPr>
        <w:t xml:space="preserve">Key to reaping these benefits lies in </w:t>
      </w:r>
      <w:r w:rsidRPr="000D6F95">
        <w:rPr>
          <w:rFonts w:ascii="Arial" w:hAnsi="Arial" w:cs="Arial"/>
          <w:color w:val="000000" w:themeColor="text1"/>
          <w:lang w:eastAsia="de-DE"/>
        </w:rPr>
        <w:t>utilizing the knowledge derived from the vast pool of network data</w:t>
      </w:r>
      <w:r w:rsidRPr="000D6F95">
        <w:rPr>
          <w:rFonts w:ascii="Arial" w:hAnsi="Arial" w:cs="Arial"/>
          <w:b/>
          <w:i/>
          <w:color w:val="000000" w:themeColor="text1"/>
          <w:lang w:eastAsia="de-DE"/>
        </w:rPr>
        <w:t xml:space="preserve"> </w:t>
      </w:r>
      <w:r w:rsidRPr="000D6F95">
        <w:rPr>
          <w:rFonts w:ascii="Arial" w:hAnsi="Arial" w:cs="Arial"/>
          <w:color w:val="000000" w:themeColor="text1"/>
          <w:lang w:eastAsia="de-DE"/>
        </w:rPr>
        <w:t xml:space="preserve">in the services provided over the future telecommunication infrastructure but also utilizing the </w:t>
      </w:r>
      <w:r w:rsidRPr="000D6F95">
        <w:rPr>
          <w:rFonts w:ascii="Arial" w:hAnsi="Arial" w:cs="Arial"/>
          <w:i/>
          <w:color w:val="000000" w:themeColor="text1"/>
          <w:lang w:eastAsia="de-DE"/>
        </w:rPr>
        <w:t>highly distributed processing capability</w:t>
      </w:r>
      <w:r w:rsidRPr="000D6F95">
        <w:rPr>
          <w:rFonts w:ascii="Arial" w:hAnsi="Arial" w:cs="Arial"/>
          <w:color w:val="000000" w:themeColor="text1"/>
          <w:lang w:eastAsia="de-DE"/>
        </w:rPr>
        <w:t xml:space="preserve"> that an AIaaS offering would provide. It is crucial to also understand the impact of M2M traffic, generating e.g., smart city data, etc., which will shape system designs. Both aspects drive the </w:t>
      </w:r>
      <w:r w:rsidRPr="000D6F95">
        <w:rPr>
          <w:rFonts w:ascii="Arial" w:hAnsi="Arial" w:cs="Arial"/>
          <w:i/>
          <w:color w:val="000000" w:themeColor="text1"/>
          <w:lang w:eastAsia="de-DE"/>
        </w:rPr>
        <w:t>provisioning of data into the system</w:t>
      </w:r>
      <w:r w:rsidRPr="000D6F95">
        <w:rPr>
          <w:rFonts w:ascii="Arial" w:hAnsi="Arial" w:cs="Arial"/>
          <w:b/>
          <w:i/>
          <w:color w:val="000000" w:themeColor="text1"/>
          <w:lang w:eastAsia="de-DE"/>
        </w:rPr>
        <w:t xml:space="preserve"> </w:t>
      </w:r>
      <w:r w:rsidRPr="000D6F95">
        <w:rPr>
          <w:rFonts w:ascii="Arial" w:hAnsi="Arial" w:cs="Arial"/>
          <w:color w:val="000000" w:themeColor="text1"/>
          <w:lang w:eastAsia="de-DE"/>
        </w:rPr>
        <w:t xml:space="preserve">as well as </w:t>
      </w:r>
      <w:r w:rsidRPr="000D6F95">
        <w:rPr>
          <w:rFonts w:ascii="Arial" w:hAnsi="Arial" w:cs="Arial"/>
          <w:i/>
          <w:color w:val="000000" w:themeColor="text1"/>
          <w:lang w:eastAsia="de-DE"/>
        </w:rPr>
        <w:t>complementing processing capability</w:t>
      </w:r>
      <w:r w:rsidRPr="000D6F95">
        <w:rPr>
          <w:rFonts w:ascii="Arial" w:hAnsi="Arial" w:cs="Arial"/>
          <w:color w:val="000000" w:themeColor="text1"/>
          <w:lang w:eastAsia="de-DE"/>
        </w:rPr>
        <w:t xml:space="preserve"> of the network with service-level ones. With this, we see AIaaS capabilities of the infrastructure merge with those capabilities at the data and processing level that vertical customers will bring to the table. As a consequence, we see an </w:t>
      </w:r>
      <w:r w:rsidRPr="000D6F95">
        <w:rPr>
          <w:rFonts w:ascii="Arial" w:hAnsi="Arial" w:cs="Arial"/>
          <w:i/>
          <w:color w:val="000000" w:themeColor="text1"/>
          <w:lang w:eastAsia="de-DE"/>
        </w:rPr>
        <w:t>emerging data marketplace</w:t>
      </w:r>
      <w:r w:rsidRPr="000D6F95">
        <w:rPr>
          <w:rFonts w:ascii="Arial" w:hAnsi="Arial" w:cs="Arial"/>
          <w:color w:val="000000" w:themeColor="text1"/>
          <w:lang w:eastAsia="de-DE"/>
        </w:rPr>
        <w:t xml:space="preserve"> that goes beyond raw data (such as location traces) but is lifted to knowledge and insights provided by network operators to its service provider customers. For instance, radio measurements at the deep level of small-cell base stations can provide insights on physical objects that in turn can be utilized by service providers for consumer-facing services that would have otherwise required dedicated hardware deployments or other means of realization. However, key to making an AIaaS useful for service providers, clear and open interfaces, both for data provisioning but also the reasoning logic, are required. Furthermore, </w:t>
      </w:r>
      <w:r w:rsidRPr="000D6F95">
        <w:rPr>
          <w:rFonts w:ascii="Arial" w:hAnsi="Arial" w:cs="Arial"/>
          <w:i/>
          <w:color w:val="000000" w:themeColor="text1"/>
          <w:lang w:eastAsia="de-DE"/>
        </w:rPr>
        <w:t>control over the distribution of and access rights</w:t>
      </w:r>
      <w:r w:rsidRPr="000D6F95">
        <w:rPr>
          <w:rFonts w:ascii="Arial" w:hAnsi="Arial" w:cs="Arial"/>
          <w:color w:val="000000" w:themeColor="text1"/>
          <w:lang w:eastAsia="de-DE"/>
        </w:rPr>
        <w:t xml:space="preserve"> to both data and processing is crucial for the alignment with privacy regulations that both network operators and service providers will need to adhere to.  </w:t>
      </w:r>
    </w:p>
    <w:p w14:paraId="19DC98FE" w14:textId="77777777" w:rsidR="00C42C17" w:rsidRPr="000D6F95" w:rsidRDefault="00C42C17" w:rsidP="000D6F95">
      <w:pPr>
        <w:spacing w:after="120" w:line="240" w:lineRule="auto"/>
        <w:jc w:val="both"/>
        <w:rPr>
          <w:rFonts w:ascii="Arial" w:hAnsi="Arial" w:cs="Arial"/>
          <w:color w:val="000000" w:themeColor="text1"/>
          <w:lang w:eastAsia="de-DE"/>
        </w:rPr>
      </w:pPr>
    </w:p>
    <w:p w14:paraId="24493F45" w14:textId="77777777" w:rsidR="000D6F95" w:rsidRPr="000D6F95" w:rsidRDefault="000D6F95" w:rsidP="00DA6395">
      <w:pPr>
        <w:pStyle w:val="Heading3"/>
        <w:rPr>
          <w:lang w:eastAsia="de-DE"/>
        </w:rPr>
      </w:pPr>
      <w:bookmarkStart w:id="147" w:name="_Toc40879294"/>
      <w:bookmarkStart w:id="148" w:name="_Toc42177261"/>
      <w:r w:rsidRPr="000D6F95">
        <w:rPr>
          <w:lang w:eastAsia="de-DE"/>
        </w:rPr>
        <w:t>Related Research Challenges</w:t>
      </w:r>
      <w:bookmarkEnd w:id="147"/>
      <w:bookmarkEnd w:id="148"/>
    </w:p>
    <w:p w14:paraId="290D11BC"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While such AI/ML-driven or self-driving networking can start using existing AI and ML protocols, algorithms and approaches, it will gradually require network-specific adaptations in several regards. Below are some of the challenges we can identify in pursuing an AIaaS vision:</w:t>
      </w:r>
    </w:p>
    <w:p w14:paraId="756E20B3" w14:textId="77777777" w:rsidR="000D6F95" w:rsidRPr="000D6F95" w:rsidRDefault="000D6F95" w:rsidP="00124439">
      <w:pPr>
        <w:numPr>
          <w:ilvl w:val="0"/>
          <w:numId w:val="66"/>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One aspect is the </w:t>
      </w:r>
      <w:r w:rsidRPr="000D6F95">
        <w:rPr>
          <w:rFonts w:ascii="Arial" w:hAnsi="Arial" w:cs="Arial"/>
          <w:b/>
          <w:color w:val="000000" w:themeColor="text1"/>
          <w:lang w:eastAsia="de-DE"/>
        </w:rPr>
        <w:t>availability of network-typical and network-characteristic</w:t>
      </w:r>
      <w:r w:rsidRPr="000D6F95">
        <w:rPr>
          <w:rFonts w:ascii="Arial" w:hAnsi="Arial" w:cs="Arial"/>
          <w:color w:val="000000" w:themeColor="text1"/>
          <w:lang w:eastAsia="de-DE"/>
        </w:rPr>
        <w:t xml:space="preserve"> </w:t>
      </w:r>
      <w:r w:rsidRPr="000D6F95">
        <w:rPr>
          <w:rFonts w:ascii="Arial" w:hAnsi="Arial" w:cs="Arial"/>
          <w:b/>
          <w:color w:val="000000" w:themeColor="text1"/>
          <w:lang w:eastAsia="de-DE"/>
        </w:rPr>
        <w:t>datasets</w:t>
      </w:r>
      <w:r w:rsidRPr="000D6F95">
        <w:rPr>
          <w:rFonts w:ascii="Arial" w:hAnsi="Arial" w:cs="Arial"/>
          <w:color w:val="000000" w:themeColor="text1"/>
          <w:lang w:eastAsia="de-DE"/>
        </w:rPr>
        <w:t xml:space="preserve"> for training and validation. There is no commonly agreed reference dataset to use in research or development to compare different approaches against each other, nor is there </w:t>
      </w:r>
      <w:r w:rsidRPr="000D6F95">
        <w:rPr>
          <w:rFonts w:ascii="Arial" w:hAnsi="Arial" w:cs="Arial"/>
          <w:color w:val="000000" w:themeColor="text1"/>
          <w:lang w:eastAsia="de-DE"/>
        </w:rPr>
        <w:lastRenderedPageBreak/>
        <w:t>a good understanding which data is actually needed to drive an AI/ML scheme, which features need to be extracted from an operational network.</w:t>
      </w:r>
    </w:p>
    <w:p w14:paraId="1CE97734"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Similarly, current experience shows that the </w:t>
      </w:r>
      <w:r w:rsidRPr="000D6F95">
        <w:rPr>
          <w:rFonts w:ascii="Arial" w:hAnsi="Arial" w:cs="Arial"/>
          <w:b/>
          <w:color w:val="000000" w:themeColor="text1"/>
          <w:lang w:eastAsia="de-DE"/>
        </w:rPr>
        <w:t>procedures to train and validate</w:t>
      </w:r>
      <w:r w:rsidRPr="000D6F95">
        <w:rPr>
          <w:rFonts w:ascii="Arial" w:hAnsi="Arial" w:cs="Arial"/>
          <w:color w:val="000000" w:themeColor="text1"/>
          <w:lang w:eastAsia="de-DE"/>
        </w:rPr>
        <w:t xml:space="preserve"> AI/ML algorithms and the architectures they use are mostly focused on static pattern recognition (e.g., images, sounds, diagnostics of fixed analysis data…) and are therefore not well adapted to the nature of dynamic networks. We need schemes suitable for changing environments, changing number of users, changing topology, etc. – properties not typically found in popular ML algorithms. </w:t>
      </w:r>
    </w:p>
    <w:p w14:paraId="438EC940"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Even with suitable datasets and algorithms in place, </w:t>
      </w:r>
      <w:r w:rsidRPr="000D6F95">
        <w:rPr>
          <w:rFonts w:ascii="Arial" w:hAnsi="Arial" w:cs="Arial"/>
          <w:b/>
          <w:color w:val="000000" w:themeColor="text1"/>
          <w:lang w:eastAsia="de-DE"/>
        </w:rPr>
        <w:t>there is the need to extend</w:t>
      </w:r>
      <w:r w:rsidRPr="000D6F95" w:rsidDel="00681263">
        <w:rPr>
          <w:rFonts w:ascii="Arial" w:hAnsi="Arial" w:cs="Arial"/>
          <w:b/>
          <w:color w:val="000000" w:themeColor="text1"/>
          <w:lang w:eastAsia="de-DE"/>
        </w:rPr>
        <w:t xml:space="preserve"> </w:t>
      </w:r>
      <w:r w:rsidRPr="000D6F95">
        <w:rPr>
          <w:rFonts w:ascii="Arial" w:hAnsi="Arial" w:cs="Arial"/>
          <w:b/>
          <w:color w:val="000000" w:themeColor="text1"/>
          <w:lang w:eastAsia="de-DE"/>
        </w:rPr>
        <w:t xml:space="preserve">the currently mostly centralized AI/ML algorithms to be distributed </w:t>
      </w:r>
      <w:r w:rsidRPr="000D6F95">
        <w:rPr>
          <w:rFonts w:ascii="Arial" w:hAnsi="Arial" w:cs="Arial"/>
          <w:color w:val="000000" w:themeColor="text1"/>
          <w:lang w:eastAsia="de-DE"/>
        </w:rPr>
        <w:t xml:space="preserve">to accommodate the distributed deployment in (often multi-domain and multi-technology) networks. This, in turn, will introduce challenges to ensure </w:t>
      </w:r>
      <w:r w:rsidRPr="000D6F95">
        <w:rPr>
          <w:rFonts w:ascii="Arial" w:hAnsi="Arial" w:cs="Arial"/>
          <w:i/>
          <w:color w:val="000000" w:themeColor="text1"/>
          <w:lang w:eastAsia="de-DE"/>
        </w:rPr>
        <w:t>scalability, consistency, consensus</w:t>
      </w:r>
      <w:r w:rsidRPr="000D6F95">
        <w:rPr>
          <w:rFonts w:ascii="Arial" w:hAnsi="Arial" w:cs="Arial"/>
          <w:color w:val="000000" w:themeColor="text1"/>
          <w:lang w:eastAsia="de-DE"/>
        </w:rPr>
        <w:t xml:space="preserve"> and </w:t>
      </w:r>
      <w:r w:rsidRPr="000D6F95">
        <w:rPr>
          <w:rFonts w:ascii="Arial" w:hAnsi="Arial" w:cs="Arial"/>
          <w:i/>
          <w:color w:val="000000" w:themeColor="text1"/>
          <w:lang w:eastAsia="de-DE"/>
        </w:rPr>
        <w:t>convergence</w:t>
      </w:r>
      <w:r w:rsidRPr="000D6F95">
        <w:rPr>
          <w:rFonts w:ascii="Arial" w:hAnsi="Arial" w:cs="Arial"/>
          <w:color w:val="000000" w:themeColor="text1"/>
          <w:lang w:eastAsia="de-DE"/>
        </w:rPr>
        <w:t xml:space="preserve"> of both data as well as reasoning in such distributed environment, while privacy regulations will mandate auditable solutions. Complementing this need for supporting the distributed realization of AIaaS is the opportunity provided by the move towards </w:t>
      </w:r>
      <w:r w:rsidRPr="000D6F95">
        <w:rPr>
          <w:rFonts w:ascii="Arial" w:hAnsi="Arial" w:cs="Arial"/>
          <w:i/>
          <w:color w:val="000000" w:themeColor="text1"/>
          <w:lang w:eastAsia="de-DE"/>
        </w:rPr>
        <w:t>Edge and Fog Computing</w:t>
      </w:r>
      <w:r w:rsidRPr="000D6F95">
        <w:rPr>
          <w:rFonts w:ascii="Arial" w:hAnsi="Arial" w:cs="Arial"/>
          <w:b/>
          <w:color w:val="000000" w:themeColor="text1"/>
          <w:lang w:eastAsia="de-DE"/>
        </w:rPr>
        <w:t xml:space="preserve"> </w:t>
      </w:r>
      <w:r w:rsidRPr="000D6F95">
        <w:rPr>
          <w:rFonts w:ascii="Arial" w:hAnsi="Arial" w:cs="Arial"/>
          <w:color w:val="000000" w:themeColor="text1"/>
          <w:lang w:eastAsia="de-DE"/>
        </w:rPr>
        <w:t xml:space="preserve">that we can already see in 5G. This opens the opportunity to complement the resources of cloud computing data centres to analyse the expected vast amount of network data; it could even do so while better adhering to privacy demands through </w:t>
      </w:r>
      <w:r w:rsidRPr="000D6F95">
        <w:rPr>
          <w:rFonts w:ascii="Arial" w:hAnsi="Arial" w:cs="Arial"/>
          <w:i/>
          <w:color w:val="000000" w:themeColor="text1"/>
          <w:lang w:eastAsia="de-DE"/>
        </w:rPr>
        <w:t>localizing the processing</w:t>
      </w:r>
      <w:r w:rsidRPr="000D6F95">
        <w:rPr>
          <w:rFonts w:ascii="Arial" w:hAnsi="Arial" w:cs="Arial"/>
          <w:color w:val="000000" w:themeColor="text1"/>
          <w:lang w:eastAsia="de-DE"/>
        </w:rPr>
        <w:t xml:space="preserve"> of raw data.</w:t>
      </w:r>
    </w:p>
    <w:p w14:paraId="57CB8167"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In such a scenario, there are trade-offs between data volume to be transported vs. localized or distributed energy consumption and computational capacity; latency for training vs. latency for action; questions about ensemble learning when locally learned insights should be merged and generalized. For both learning and control in ML, we need a </w:t>
      </w:r>
      <w:r w:rsidRPr="000D6F95">
        <w:rPr>
          <w:rFonts w:ascii="Arial" w:hAnsi="Arial" w:cs="Arial"/>
          <w:bCs/>
          <w:i/>
          <w:color w:val="000000" w:themeColor="text1"/>
          <w:lang w:eastAsia="de-DE"/>
        </w:rPr>
        <w:t>meta-control</w:t>
      </w:r>
      <w:r w:rsidRPr="000D6F95">
        <w:rPr>
          <w:rFonts w:ascii="Arial" w:hAnsi="Arial" w:cs="Arial"/>
          <w:b/>
          <w:bCs/>
          <w:color w:val="000000" w:themeColor="text1"/>
          <w:lang w:eastAsia="de-DE"/>
        </w:rPr>
        <w:t xml:space="preserve"> </w:t>
      </w:r>
      <w:r w:rsidRPr="000D6F95">
        <w:rPr>
          <w:rFonts w:ascii="Arial" w:hAnsi="Arial" w:cs="Arial"/>
          <w:bCs/>
          <w:color w:val="000000" w:themeColor="text1"/>
          <w:lang w:eastAsia="de-DE"/>
        </w:rPr>
        <w:t>that allows for</w:t>
      </w:r>
      <w:r w:rsidRPr="000D6F95">
        <w:rPr>
          <w:rFonts w:ascii="Arial" w:hAnsi="Arial" w:cs="Arial"/>
          <w:b/>
          <w:bCs/>
          <w:color w:val="000000" w:themeColor="text1"/>
          <w:lang w:eastAsia="de-DE"/>
        </w:rPr>
        <w:t xml:space="preserve"> </w:t>
      </w:r>
      <w:r w:rsidRPr="000D6F95">
        <w:rPr>
          <w:rFonts w:ascii="Arial" w:hAnsi="Arial" w:cs="Arial"/>
          <w:color w:val="000000" w:themeColor="text1"/>
          <w:lang w:eastAsia="de-DE"/>
        </w:rPr>
        <w:t xml:space="preserve">deciding, which data is fed into a learning scheme, where and which learned models are distributed to which place in the network for taking control decisions. This is similar to provisioning micro-services in general. However, it might have quite different data-rate/computational/latency/resiliency requirements compared to an application-level microservice. In other words, </w:t>
      </w:r>
      <w:r w:rsidRPr="000D6F95">
        <w:rPr>
          <w:rFonts w:ascii="Arial" w:hAnsi="Arial" w:cs="Arial"/>
          <w:i/>
          <w:color w:val="000000" w:themeColor="text1"/>
          <w:lang w:eastAsia="de-DE"/>
        </w:rPr>
        <w:t>AIaaS will need its own control plane logic</w:t>
      </w:r>
      <w:r w:rsidRPr="000D6F95">
        <w:rPr>
          <w:rFonts w:ascii="Arial" w:hAnsi="Arial" w:cs="Arial"/>
          <w:color w:val="000000" w:themeColor="text1"/>
          <w:lang w:eastAsia="de-DE"/>
        </w:rPr>
        <w:t xml:space="preserve"> built upon the control plane capabilities of the infrastructure itself.</w:t>
      </w:r>
    </w:p>
    <w:p w14:paraId="35302E80"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Meta-control immediately raises the question of self-application: </w:t>
      </w:r>
      <w:r w:rsidRPr="000D6F95">
        <w:rPr>
          <w:rFonts w:ascii="Arial" w:hAnsi="Arial" w:cs="Arial"/>
          <w:b/>
          <w:color w:val="000000" w:themeColor="text1"/>
          <w:lang w:eastAsia="de-DE"/>
        </w:rPr>
        <w:t>can ML be used to decide on ML</w:t>
      </w:r>
      <w:r w:rsidRPr="000D6F95">
        <w:rPr>
          <w:rFonts w:ascii="Arial" w:hAnsi="Arial" w:cs="Arial"/>
          <w:color w:val="000000" w:themeColor="text1"/>
          <w:lang w:eastAsia="de-DE"/>
        </w:rPr>
        <w:t xml:space="preserve">? This idea is currently gaining ground in the Auto-ML community, where ML is used to learn hyperparameters of ML. Here, we need ML to learn, how to apply ML to a network. Clearly, there is considerable risk of oscillations, feedback loops, etc. </w:t>
      </w:r>
    </w:p>
    <w:p w14:paraId="1474B56D"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The </w:t>
      </w:r>
      <w:r w:rsidRPr="000D6F95">
        <w:rPr>
          <w:rFonts w:ascii="Arial" w:hAnsi="Arial" w:cs="Arial"/>
          <w:b/>
          <w:color w:val="000000" w:themeColor="text1"/>
          <w:lang w:eastAsia="de-DE"/>
        </w:rPr>
        <w:t xml:space="preserve">scope of AI/ML schemes will also need to be investigated. </w:t>
      </w:r>
      <w:r w:rsidRPr="000D6F95">
        <w:rPr>
          <w:rFonts w:ascii="Arial" w:hAnsi="Arial" w:cs="Arial"/>
          <w:color w:val="000000" w:themeColor="text1"/>
          <w:lang w:eastAsia="de-DE"/>
        </w:rPr>
        <w:t>One possible, perhaps naïve approach is to have one set of AI functions/data sets that is applied only to a segregated, intra-service based scheme (“</w:t>
      </w:r>
      <w:r w:rsidRPr="000D6F95">
        <w:rPr>
          <w:rFonts w:ascii="Arial" w:hAnsi="Arial" w:cs="Arial"/>
          <w:i/>
          <w:color w:val="000000" w:themeColor="text1"/>
          <w:lang w:eastAsia="de-DE"/>
        </w:rPr>
        <w:t>sliced AI</w:t>
      </w:r>
      <w:r w:rsidRPr="000D6F95">
        <w:rPr>
          <w:rFonts w:ascii="Arial" w:hAnsi="Arial" w:cs="Arial"/>
          <w:color w:val="000000" w:themeColor="text1"/>
          <w:lang w:eastAsia="de-DE"/>
        </w:rPr>
        <w:t>”), which is easy to realize and ensures data privacy, but squanders possible optimization potential. Removing redundancy and going to a cross-service, cross-network, integrated AI/ML (“</w:t>
      </w:r>
      <w:r w:rsidRPr="000D6F95">
        <w:rPr>
          <w:rFonts w:ascii="Arial" w:hAnsi="Arial" w:cs="Arial"/>
          <w:i/>
          <w:color w:val="000000" w:themeColor="text1"/>
          <w:lang w:eastAsia="de-DE"/>
        </w:rPr>
        <w:t>integrated AI</w:t>
      </w:r>
      <w:r w:rsidRPr="000D6F95">
        <w:rPr>
          <w:rFonts w:ascii="Arial" w:hAnsi="Arial" w:cs="Arial"/>
          <w:color w:val="000000" w:themeColor="text1"/>
          <w:lang w:eastAsia="de-DE"/>
        </w:rPr>
        <w:t>”) scheme is promising, yet fraught with complex design choices.</w:t>
      </w:r>
    </w:p>
    <w:p w14:paraId="5C60D0AA"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val="en-US" w:eastAsia="de-DE"/>
        </w:rPr>
      </w:pPr>
      <w:r w:rsidRPr="000D6F95">
        <w:rPr>
          <w:rFonts w:ascii="Arial" w:hAnsi="Arial" w:cs="Arial"/>
          <w:color w:val="000000" w:themeColor="text1"/>
          <w:lang w:eastAsia="de-DE"/>
        </w:rPr>
        <w:t>Given the increasing multi-domain and multi-technology deployment of infrastructure</w:t>
      </w:r>
      <w:r w:rsidRPr="000D6F95">
        <w:rPr>
          <w:rFonts w:ascii="Arial" w:hAnsi="Arial" w:cs="Arial"/>
          <w:color w:val="000000" w:themeColor="text1"/>
          <w:lang w:val="en-US" w:eastAsia="de-DE"/>
        </w:rPr>
        <w:t xml:space="preserve">, AIaaS will require the capability for </w:t>
      </w:r>
      <w:r w:rsidRPr="000D6F95">
        <w:rPr>
          <w:rFonts w:ascii="Arial" w:hAnsi="Arial" w:cs="Arial"/>
          <w:i/>
          <w:color w:val="000000" w:themeColor="text1"/>
          <w:lang w:val="en-US" w:eastAsia="de-DE"/>
        </w:rPr>
        <w:t>multi-domain orchestration</w:t>
      </w:r>
      <w:r w:rsidRPr="000D6F95">
        <w:rPr>
          <w:rFonts w:ascii="Arial" w:hAnsi="Arial" w:cs="Arial"/>
          <w:color w:val="000000" w:themeColor="text1"/>
          <w:lang w:val="en-US" w:eastAsia="de-DE"/>
        </w:rPr>
        <w:t xml:space="preserve"> of distributed processing, meaning end-to-end interoperability is a must (cmp. Sections 4.2, 4.3). This requires greater standardization efforts and further progress in the functional architectures. </w:t>
      </w:r>
    </w:p>
    <w:p w14:paraId="09320132" w14:textId="49C0EC27" w:rsid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Furthermore, </w:t>
      </w:r>
      <w:r w:rsidRPr="000D6F95">
        <w:rPr>
          <w:rFonts w:ascii="Arial" w:hAnsi="Arial" w:cs="Arial"/>
          <w:b/>
          <w:color w:val="000000" w:themeColor="text1"/>
          <w:lang w:eastAsia="de-DE"/>
        </w:rPr>
        <w:t>aspects related to security</w:t>
      </w:r>
      <w:r w:rsidRPr="000D6F95">
        <w:rPr>
          <w:rFonts w:ascii="Arial" w:hAnsi="Arial" w:cs="Arial"/>
          <w:color w:val="000000" w:themeColor="text1"/>
          <w:lang w:eastAsia="de-DE"/>
        </w:rPr>
        <w:t xml:space="preserve"> beyond the conventional application of AI as a tool, e.g., ensuring data flow provenance and distribution within the system, and dealing with AI-enhanced (-amplified or even -rooted) attacks are essential.</w:t>
      </w:r>
    </w:p>
    <w:p w14:paraId="09305EBA" w14:textId="77777777" w:rsidR="00C42C17" w:rsidRPr="000D6F95" w:rsidRDefault="00C42C17" w:rsidP="00C42C17">
      <w:pPr>
        <w:spacing w:after="120" w:line="240" w:lineRule="auto"/>
        <w:ind w:left="360"/>
        <w:contextualSpacing/>
        <w:jc w:val="both"/>
        <w:rPr>
          <w:rFonts w:ascii="Arial" w:hAnsi="Arial" w:cs="Arial"/>
          <w:color w:val="000000" w:themeColor="text1"/>
          <w:lang w:eastAsia="de-DE"/>
        </w:rPr>
      </w:pPr>
    </w:p>
    <w:p w14:paraId="5E64A32B" w14:textId="77777777" w:rsidR="000D6F95" w:rsidRPr="000D6F95" w:rsidRDefault="000D6F95" w:rsidP="00DA6395">
      <w:pPr>
        <w:pStyle w:val="Heading3"/>
        <w:rPr>
          <w:lang w:eastAsia="de-DE"/>
        </w:rPr>
      </w:pPr>
      <w:bookmarkStart w:id="149" w:name="_Toc40879295"/>
      <w:bookmarkStart w:id="150" w:name="_Toc42177262"/>
      <w:r w:rsidRPr="000D6F95">
        <w:rPr>
          <w:lang w:eastAsia="de-DE"/>
        </w:rPr>
        <w:t>Recommendations for Future Actions</w:t>
      </w:r>
      <w:bookmarkEnd w:id="149"/>
      <w:bookmarkEnd w:id="150"/>
    </w:p>
    <w:p w14:paraId="55D497D0"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Based on the challenges above, we recommend research into the following aspects</w:t>
      </w:r>
      <w:r w:rsidRPr="000D6F95">
        <w:rPr>
          <w:rFonts w:ascii="Arial" w:hAnsi="Arial" w:cs="Arial"/>
          <w:color w:val="000000" w:themeColor="text1"/>
          <w:lang w:val="en-US" w:eastAsia="de-DE"/>
        </w:rPr>
        <w:t>:</w:t>
      </w:r>
    </w:p>
    <w:p w14:paraId="57D0F5AE"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making </w:t>
      </w:r>
      <w:r w:rsidRPr="000D6F95">
        <w:rPr>
          <w:rFonts w:ascii="Arial" w:hAnsi="Arial" w:cs="Arial"/>
          <w:b/>
          <w:color w:val="000000" w:themeColor="text1"/>
          <w:lang w:eastAsia="de-DE"/>
        </w:rPr>
        <w:t>available network-characteristic datasets</w:t>
      </w:r>
      <w:r w:rsidRPr="000D6F95">
        <w:rPr>
          <w:rFonts w:ascii="Arial" w:hAnsi="Arial" w:cs="Arial"/>
          <w:color w:val="000000" w:themeColor="text1"/>
          <w:lang w:eastAsia="de-DE"/>
        </w:rPr>
        <w:t xml:space="preserve"> for training and validation;</w:t>
      </w:r>
    </w:p>
    <w:p w14:paraId="066DFC5D"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agreed procedures to </w:t>
      </w:r>
      <w:r w:rsidRPr="000D6F95">
        <w:rPr>
          <w:rFonts w:ascii="Arial" w:hAnsi="Arial" w:cs="Arial"/>
          <w:b/>
          <w:color w:val="000000" w:themeColor="text1"/>
          <w:lang w:eastAsia="de-DE"/>
        </w:rPr>
        <w:t>train and validate</w:t>
      </w:r>
      <w:r w:rsidRPr="000D6F95">
        <w:rPr>
          <w:rFonts w:ascii="Arial" w:hAnsi="Arial" w:cs="Arial"/>
          <w:color w:val="000000" w:themeColor="text1"/>
          <w:lang w:eastAsia="de-DE"/>
        </w:rPr>
        <w:t xml:space="preserve"> the AI/ML algorithms;</w:t>
      </w:r>
    </w:p>
    <w:p w14:paraId="447741B1"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lastRenderedPageBreak/>
        <w:t>distribution of AI/ML algorithms</w:t>
      </w:r>
      <w:r w:rsidRPr="000D6F95">
        <w:rPr>
          <w:rFonts w:ascii="Arial" w:hAnsi="Arial" w:cs="Arial"/>
          <w:color w:val="000000" w:themeColor="text1"/>
          <w:lang w:eastAsia="de-DE"/>
        </w:rPr>
        <w:t xml:space="preserve"> instead of using centralized AI/ML algorithms, in order to apply AI/ML to a network, considering placement and distribution of AI/ML functions within a network;</w:t>
      </w:r>
    </w:p>
    <w:p w14:paraId="2E200F33"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t>meta-control procedures</w:t>
      </w:r>
      <w:r w:rsidRPr="000D6F95">
        <w:rPr>
          <w:rFonts w:ascii="Arial" w:hAnsi="Arial" w:cs="Arial"/>
          <w:color w:val="000000" w:themeColor="text1"/>
          <w:lang w:eastAsia="de-DE"/>
        </w:rPr>
        <w:t xml:space="preserve"> applied for learning and control in AI/ML to decide which data is fed into a learning scheme;</w:t>
      </w:r>
    </w:p>
    <w:p w14:paraId="1EF3E096"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eastAsia="de-DE"/>
        </w:rPr>
        <w:t xml:space="preserve">integration with AI/ML </w:t>
      </w:r>
      <w:r w:rsidRPr="000D6F95">
        <w:rPr>
          <w:rFonts w:ascii="Arial" w:hAnsi="Arial" w:cs="Arial"/>
          <w:b/>
          <w:color w:val="000000" w:themeColor="text1"/>
          <w:lang w:val="en-US" w:eastAsia="de-DE"/>
        </w:rPr>
        <w:t>features provided at the edge of the network</w:t>
      </w:r>
      <w:r w:rsidRPr="000D6F95">
        <w:rPr>
          <w:rFonts w:ascii="Arial" w:hAnsi="Arial" w:cs="Arial"/>
          <w:color w:val="000000" w:themeColor="text1"/>
          <w:lang w:val="en-US" w:eastAsia="de-DE"/>
        </w:rPr>
        <w:t>, e.g., when provisioning future digital services for homes, businesses, government, transport, manufacturing smart cities and other verticals;</w:t>
      </w:r>
    </w:p>
    <w:p w14:paraId="0CFB91CB"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Cs/>
          <w:color w:val="000000" w:themeColor="text1"/>
          <w:lang w:eastAsia="de-DE"/>
        </w:rPr>
        <w:t>devise architectures, approaches and algorithms for</w:t>
      </w:r>
      <w:r w:rsidRPr="000D6F95">
        <w:rPr>
          <w:rFonts w:ascii="Arial" w:hAnsi="Arial" w:cs="Arial"/>
          <w:b/>
          <w:color w:val="000000" w:themeColor="text1"/>
          <w:lang w:eastAsia="de-DE"/>
        </w:rPr>
        <w:t xml:space="preserve"> sliced vs. integrated AIaaS</w:t>
      </w:r>
      <w:r w:rsidRPr="000D6F95">
        <w:rPr>
          <w:rFonts w:ascii="Arial" w:hAnsi="Arial" w:cs="Arial"/>
          <w:b/>
          <w:i/>
          <w:color w:val="000000" w:themeColor="text1"/>
          <w:lang w:eastAsia="de-DE"/>
        </w:rPr>
        <w:t>;</w:t>
      </w:r>
    </w:p>
    <w:p w14:paraId="2A14CE2C"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development of use cases</w:t>
      </w:r>
      <w:r w:rsidRPr="000D6F95">
        <w:rPr>
          <w:rFonts w:ascii="Arial" w:hAnsi="Arial" w:cs="Arial"/>
          <w:color w:val="000000" w:themeColor="text1"/>
          <w:lang w:val="en-US" w:eastAsia="de-DE"/>
        </w:rPr>
        <w:t xml:space="preserve"> for new services powered by AI/ML at the network and service provider level;</w:t>
      </w:r>
    </w:p>
    <w:p w14:paraId="7B363503"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development of network management techniques</w:t>
      </w:r>
      <w:r w:rsidRPr="000D6F95">
        <w:rPr>
          <w:rFonts w:ascii="Arial" w:hAnsi="Arial" w:cs="Arial"/>
          <w:color w:val="000000" w:themeColor="text1"/>
          <w:lang w:val="en-US" w:eastAsia="de-DE"/>
        </w:rPr>
        <w:t xml:space="preserve"> embracing the AI/ML predictions;</w:t>
      </w:r>
    </w:p>
    <w:p w14:paraId="699CBBC8"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b/>
          <w:color w:val="000000" w:themeColor="text1"/>
          <w:lang w:val="en-US" w:eastAsia="de-DE"/>
        </w:rPr>
        <w:t>support performance analysis and optimization</w:t>
      </w:r>
      <w:r w:rsidRPr="000D6F95">
        <w:rPr>
          <w:rFonts w:ascii="Arial" w:hAnsi="Arial" w:cs="Arial"/>
          <w:color w:val="000000" w:themeColor="text1"/>
          <w:lang w:val="en-US" w:eastAsia="de-DE"/>
        </w:rPr>
        <w:t xml:space="preserve"> methods for energy consumption versus quality of service analysis, e.g., through an AI/ML enabled “data lake” approach;</w:t>
      </w:r>
    </w:p>
    <w:p w14:paraId="3CDCE610"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val="en-US" w:eastAsia="de-DE"/>
        </w:rPr>
        <w:t xml:space="preserve">support for new AIaaS services and applications that require, e.g., </w:t>
      </w:r>
      <w:r w:rsidRPr="000D6F95">
        <w:rPr>
          <w:rFonts w:ascii="Arial" w:hAnsi="Arial" w:cs="Arial"/>
          <w:b/>
          <w:color w:val="000000" w:themeColor="text1"/>
          <w:lang w:val="en-US" w:eastAsia="de-DE"/>
        </w:rPr>
        <w:t>multi-domain orchestration</w:t>
      </w:r>
      <w:r w:rsidRPr="000D6F95">
        <w:rPr>
          <w:rFonts w:ascii="Arial" w:hAnsi="Arial" w:cs="Arial"/>
          <w:color w:val="000000" w:themeColor="text1"/>
          <w:lang w:val="en-US" w:eastAsia="de-DE"/>
        </w:rPr>
        <w:t xml:space="preserve"> of distributed processing and end-to-end interoperability;</w:t>
      </w:r>
    </w:p>
    <w:p w14:paraId="0172B7B4"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val="en-US" w:eastAsia="de-DE"/>
        </w:rPr>
        <w:t xml:space="preserve">address of </w:t>
      </w:r>
      <w:r w:rsidRPr="000D6F95">
        <w:rPr>
          <w:rFonts w:ascii="Arial" w:hAnsi="Arial" w:cs="Arial"/>
          <w:b/>
          <w:color w:val="000000" w:themeColor="text1"/>
          <w:lang w:val="en-US" w:eastAsia="de-DE"/>
        </w:rPr>
        <w:t>security and privacy challenges</w:t>
      </w:r>
      <w:r w:rsidRPr="000D6F95">
        <w:rPr>
          <w:rFonts w:ascii="Arial" w:hAnsi="Arial" w:cs="Arial"/>
          <w:color w:val="000000" w:themeColor="text1"/>
          <w:lang w:val="en-US" w:eastAsia="de-DE"/>
        </w:rPr>
        <w:t xml:space="preserve"> with evolving regulation;</w:t>
      </w:r>
    </w:p>
    <w:p w14:paraId="28FE173C" w14:textId="77777777" w:rsidR="000D6F95" w:rsidRP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support the </w:t>
      </w:r>
      <w:r w:rsidRPr="000D6F95">
        <w:rPr>
          <w:rFonts w:ascii="Arial" w:hAnsi="Arial" w:cs="Arial"/>
          <w:b/>
          <w:color w:val="000000" w:themeColor="text1"/>
          <w:lang w:eastAsia="de-DE"/>
        </w:rPr>
        <w:t>provisioning of data</w:t>
      </w:r>
      <w:r w:rsidRPr="000D6F95">
        <w:rPr>
          <w:rFonts w:ascii="Arial" w:hAnsi="Arial" w:cs="Arial"/>
          <w:color w:val="000000" w:themeColor="text1"/>
          <w:lang w:eastAsia="de-DE"/>
        </w:rPr>
        <w:t xml:space="preserve"> required for AI/ML learning phases, particularly from network infrastructure functions;</w:t>
      </w:r>
    </w:p>
    <w:p w14:paraId="36CE1E08" w14:textId="49D9435F" w:rsidR="000D6F95" w:rsidRDefault="000D6F95" w:rsidP="00124439">
      <w:pPr>
        <w:numPr>
          <w:ilvl w:val="0"/>
          <w:numId w:val="67"/>
        </w:numPr>
        <w:spacing w:after="120" w:line="240" w:lineRule="auto"/>
        <w:contextualSpacing/>
        <w:jc w:val="both"/>
        <w:rPr>
          <w:rFonts w:ascii="Arial" w:hAnsi="Arial" w:cs="Arial"/>
          <w:color w:val="000000" w:themeColor="text1"/>
          <w:lang w:eastAsia="de-DE"/>
        </w:rPr>
      </w:pPr>
      <w:r w:rsidRPr="000D6F95">
        <w:rPr>
          <w:rFonts w:ascii="Arial" w:hAnsi="Arial" w:cs="Arial"/>
          <w:color w:val="000000" w:themeColor="text1"/>
          <w:lang w:eastAsia="de-DE"/>
        </w:rPr>
        <w:t xml:space="preserve">address the </w:t>
      </w:r>
      <w:r w:rsidRPr="000D6F95">
        <w:rPr>
          <w:rFonts w:ascii="Arial" w:hAnsi="Arial" w:cs="Arial"/>
          <w:b/>
          <w:color w:val="000000" w:themeColor="text1"/>
          <w:lang w:eastAsia="de-DE"/>
        </w:rPr>
        <w:t>scaling requirements</w:t>
      </w:r>
      <w:r w:rsidRPr="000D6F95">
        <w:rPr>
          <w:rFonts w:ascii="Arial" w:hAnsi="Arial" w:cs="Arial"/>
          <w:color w:val="000000" w:themeColor="text1"/>
          <w:lang w:eastAsia="de-DE"/>
        </w:rPr>
        <w:t>, e.g., through partitioning mechanisms, to enable efficient AI/ML data processing to provide timely responses required by AIaaS solutions.</w:t>
      </w:r>
    </w:p>
    <w:p w14:paraId="2EFA7A8A" w14:textId="77777777" w:rsidR="00C42C17" w:rsidRPr="000D6F95" w:rsidRDefault="00C42C17" w:rsidP="00C42C17">
      <w:pPr>
        <w:spacing w:after="120" w:line="240" w:lineRule="auto"/>
        <w:ind w:left="360"/>
        <w:contextualSpacing/>
        <w:jc w:val="both"/>
        <w:rPr>
          <w:rFonts w:ascii="Arial" w:hAnsi="Arial" w:cs="Arial"/>
          <w:color w:val="000000" w:themeColor="text1"/>
          <w:lang w:eastAsia="de-DE"/>
        </w:rPr>
      </w:pPr>
    </w:p>
    <w:p w14:paraId="1C62F7F5" w14:textId="0705B814" w:rsidR="000D6F95" w:rsidRDefault="000D6F95" w:rsidP="002C7431">
      <w:pPr>
        <w:pStyle w:val="Heading2"/>
        <w:rPr>
          <w:lang w:eastAsia="de-DE"/>
        </w:rPr>
      </w:pPr>
      <w:bookmarkStart w:id="151" w:name="_Toc509511052"/>
      <w:bookmarkStart w:id="152" w:name="_Toc40879296"/>
      <w:bookmarkStart w:id="153" w:name="_Toc42177263"/>
      <w:r w:rsidRPr="000D6F95">
        <w:rPr>
          <w:lang w:eastAsia="de-DE"/>
        </w:rPr>
        <w:t>Deep Edge, Terminal and IoT Device Integration</w:t>
      </w:r>
      <w:bookmarkEnd w:id="151"/>
      <w:bookmarkEnd w:id="152"/>
      <w:bookmarkEnd w:id="153"/>
    </w:p>
    <w:p w14:paraId="0173831A" w14:textId="77777777" w:rsidR="00C42C17" w:rsidRPr="00C42C17" w:rsidRDefault="00C42C17" w:rsidP="00C42C17">
      <w:pPr>
        <w:rPr>
          <w:lang w:eastAsia="de-DE"/>
        </w:rPr>
      </w:pPr>
    </w:p>
    <w:p w14:paraId="1BCF221C"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Architecturally, the ‘deep edge’ with its IoT as well as end user or vertical industry devices well integrates into the vision of Section 4.2 by becoming part of the common resource pool, provided as a non-decomposable set of resources by some edge entity, such as an end user, industrial site owner, or a building owner. Following the ‘ownership through control’ mantra, described in Section 4.3.1, we therefore envision tenant-specific resource usage to expand into the deep edge with the same control and data plane considerations, as discussed in Sections 4.3 and 4.4 respectively, and resource management considerations, as discussed in Section 4.5, applying to all those resources. In other words, in principle, we see aspects of controllability of those edge resources to equally apply together with the general programmability for the realization of compute tasks as well as for data and forwarding plane operations through those resources.</w:t>
      </w:r>
    </w:p>
    <w:p w14:paraId="745C572C"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 xml:space="preserve">However, some edge resources might not directly fit into this vision. For instance, IoT will introduce particular, service-dedicated, possibly intelligent yet resource-constrained </w:t>
      </w:r>
      <w:r w:rsidRPr="000D6F95">
        <w:rPr>
          <w:rFonts w:ascii="Arial" w:hAnsi="Arial" w:cs="Arial"/>
          <w:color w:val="000000" w:themeColor="text1"/>
          <w:lang w:eastAsia="de-DE"/>
        </w:rPr>
        <w:t>components (micro-electronic, battery driven components), which will need a particular consideration for the integration with the rest of the system. Indeed, such IoT components and devices might impose additional requirements on, e.g., volatility and longevity, punctual presence at any moment, persistence, generality, capacities, connectivity, interfaces and APIs from/towards the system. Hence, they might not support direct integration and require particular solutions instead (e.g., gateways or subsystems).</w:t>
      </w:r>
      <w:r w:rsidRPr="000D6F95">
        <w:rPr>
          <w:rFonts w:ascii="Arial" w:hAnsi="Arial" w:cs="Arial"/>
          <w:b/>
          <w:color w:val="000000" w:themeColor="text1"/>
          <w:lang w:eastAsia="de-DE"/>
        </w:rPr>
        <w:t xml:space="preserve"> </w:t>
      </w:r>
    </w:p>
    <w:p w14:paraId="15892C5F" w14:textId="77777777" w:rsidR="000D6F95" w:rsidRPr="000D6F95" w:rsidRDefault="000D6F95" w:rsidP="000D6F95">
      <w:pPr>
        <w:spacing w:after="120" w:line="240" w:lineRule="auto"/>
        <w:jc w:val="both"/>
        <w:rPr>
          <w:rFonts w:ascii="Arial" w:hAnsi="Arial" w:cs="Arial"/>
          <w:color w:val="000000" w:themeColor="text1"/>
          <w:lang w:eastAsia="de-DE"/>
        </w:rPr>
      </w:pPr>
      <w:r w:rsidRPr="000D6F95">
        <w:rPr>
          <w:rFonts w:ascii="Arial" w:hAnsi="Arial" w:cs="Arial"/>
          <w:color w:val="000000" w:themeColor="text1"/>
          <w:lang w:eastAsia="de-DE"/>
        </w:rPr>
        <w:t xml:space="preserve">Generally, edge resources often provide human- or generally task-centric input and output capabilities, expressed in a plethora of sensory capabilities, situational awareness, quality of experience perception, which make these resources very useful for integration into the overall vertical application. This yields a </w:t>
      </w:r>
      <w:r w:rsidRPr="000D6F95">
        <w:rPr>
          <w:rFonts w:ascii="Arial" w:hAnsi="Arial" w:cs="Arial"/>
          <w:i/>
          <w:color w:val="000000" w:themeColor="text1"/>
          <w:lang w:eastAsia="de-DE"/>
        </w:rPr>
        <w:t xml:space="preserve">richness </w:t>
      </w:r>
      <w:r w:rsidRPr="000D6F95">
        <w:rPr>
          <w:rFonts w:ascii="Arial" w:hAnsi="Arial" w:cs="Arial"/>
          <w:color w:val="000000" w:themeColor="text1"/>
          <w:lang w:eastAsia="de-DE"/>
        </w:rPr>
        <w:t xml:space="preserve">of resources that is challenging when being integrated into a common resource worldview. Unlike the emerging COTS (customer-off-the-shelf) platform basis in other parts of the communication system, e.g., in the core, the edge provides a more </w:t>
      </w:r>
      <w:r w:rsidRPr="000D6F95">
        <w:rPr>
          <w:rFonts w:ascii="Arial" w:hAnsi="Arial" w:cs="Arial"/>
          <w:i/>
          <w:color w:val="000000" w:themeColor="text1"/>
          <w:lang w:eastAsia="de-DE"/>
        </w:rPr>
        <w:t>diversified and heterogeneous environment</w:t>
      </w:r>
      <w:r w:rsidRPr="000D6F95">
        <w:rPr>
          <w:rFonts w:ascii="Arial" w:hAnsi="Arial" w:cs="Arial"/>
          <w:color w:val="000000" w:themeColor="text1"/>
          <w:lang w:eastAsia="de-DE"/>
        </w:rPr>
        <w:t xml:space="preserve"> with many device platforms and their supported local connectivity technologies (e.g., WiFi, BT, LiFi, and others), all of which are provided through a plethora of programming environments. </w:t>
      </w:r>
      <w:r w:rsidRPr="000D6F95">
        <w:rPr>
          <w:rFonts w:ascii="Arial" w:hAnsi="Arial" w:cs="Arial"/>
          <w:b/>
          <w:color w:val="000000" w:themeColor="text1"/>
          <w:lang w:eastAsia="de-DE"/>
        </w:rPr>
        <w:t xml:space="preserve">Future research will need to </w:t>
      </w:r>
      <w:r w:rsidRPr="000D6F95">
        <w:rPr>
          <w:rFonts w:ascii="Arial" w:hAnsi="Arial" w:cs="Arial"/>
          <w:b/>
          <w:color w:val="000000" w:themeColor="text1"/>
          <w:lang w:eastAsia="de-DE"/>
        </w:rPr>
        <w:lastRenderedPageBreak/>
        <w:t>develop a suitable common model of system-wide representation akin to ‘device drivers’ in existing computing platforms.</w:t>
      </w:r>
      <w:r w:rsidRPr="000D6F95">
        <w:rPr>
          <w:rFonts w:ascii="Arial" w:hAnsi="Arial" w:cs="Arial"/>
          <w:color w:val="000000" w:themeColor="text1"/>
          <w:lang w:eastAsia="de-DE"/>
        </w:rPr>
        <w:t xml:space="preserve"> </w:t>
      </w:r>
    </w:p>
    <w:p w14:paraId="4A77F5E1" w14:textId="77777777" w:rsidR="000D6F95" w:rsidRPr="000D6F95" w:rsidRDefault="000D6F95" w:rsidP="000D6F95">
      <w:pPr>
        <w:spacing w:after="120" w:line="240" w:lineRule="auto"/>
        <w:jc w:val="both"/>
        <w:rPr>
          <w:rFonts w:ascii="Arial" w:hAnsi="Arial" w:cs="Arial"/>
          <w:b/>
          <w:color w:val="000000" w:themeColor="text1"/>
          <w:u w:val="single"/>
          <w:lang w:eastAsia="de-DE"/>
        </w:rPr>
      </w:pPr>
      <w:r w:rsidRPr="000D6F95">
        <w:rPr>
          <w:rFonts w:ascii="Arial" w:hAnsi="Arial" w:cs="Arial"/>
          <w:color w:val="000000" w:themeColor="text1"/>
          <w:lang w:eastAsia="de-DE"/>
        </w:rPr>
        <w:t xml:space="preserve">This resource richness at the edge, however, often comes with a </w:t>
      </w:r>
      <w:r w:rsidRPr="000D6F95">
        <w:rPr>
          <w:rFonts w:ascii="Arial" w:hAnsi="Arial" w:cs="Arial"/>
          <w:b/>
          <w:color w:val="000000" w:themeColor="text1"/>
          <w:lang w:eastAsia="de-DE"/>
        </w:rPr>
        <w:t>limitation</w:t>
      </w:r>
      <w:r w:rsidRPr="000D6F95">
        <w:rPr>
          <w:rFonts w:ascii="Arial" w:hAnsi="Arial" w:cs="Arial"/>
          <w:color w:val="000000" w:themeColor="text1"/>
          <w:lang w:eastAsia="de-DE"/>
        </w:rPr>
        <w:t xml:space="preserve"> </w:t>
      </w:r>
      <w:r w:rsidRPr="000D6F95">
        <w:rPr>
          <w:rFonts w:ascii="Arial" w:hAnsi="Arial" w:cs="Arial"/>
          <w:b/>
          <w:color w:val="000000" w:themeColor="text1"/>
          <w:lang w:eastAsia="de-DE"/>
        </w:rPr>
        <w:t>in capability</w:t>
      </w:r>
      <w:r w:rsidRPr="000D6F95">
        <w:rPr>
          <w:rFonts w:ascii="Arial" w:hAnsi="Arial" w:cs="Arial"/>
          <w:color w:val="000000" w:themeColor="text1"/>
          <w:lang w:eastAsia="de-DE"/>
        </w:rPr>
        <w:t xml:space="preserve">, e.g., in terms of available processing cores in smartphones that can be utilized in the common resource pool. Given that devices at the edge exhibit a high heterogeneity ranging from a simplistic sensor and IoT devices to edge data centres, other typical limitations include energy/battery, form factors, human-machine interface, storage, physical security. This stands in stark contrast to the perceived limitless resource capabilities in data centres as well as core networks and, therefore, impacts the </w:t>
      </w:r>
      <w:r w:rsidRPr="000D6F95">
        <w:rPr>
          <w:rFonts w:ascii="Arial" w:hAnsi="Arial" w:cs="Arial"/>
          <w:i/>
          <w:color w:val="000000" w:themeColor="text1"/>
          <w:lang w:eastAsia="de-DE"/>
        </w:rPr>
        <w:t>decomposition</w:t>
      </w:r>
      <w:r w:rsidRPr="000D6F95">
        <w:rPr>
          <w:rFonts w:ascii="Arial" w:hAnsi="Arial" w:cs="Arial"/>
          <w:color w:val="000000" w:themeColor="text1"/>
          <w:lang w:eastAsia="de-DE"/>
        </w:rPr>
        <w:t xml:space="preserve"> of computational tasks over a resource pool that is geographically and physically limited. As a consequence, the aforementioned </w:t>
      </w:r>
      <w:r w:rsidRPr="000D6F95">
        <w:rPr>
          <w:rFonts w:ascii="Arial" w:hAnsi="Arial" w:cs="Arial"/>
          <w:i/>
          <w:color w:val="000000" w:themeColor="text1"/>
          <w:lang w:eastAsia="de-DE"/>
        </w:rPr>
        <w:t>controllability</w:t>
      </w:r>
      <w:r w:rsidRPr="000D6F95">
        <w:rPr>
          <w:rFonts w:ascii="Arial" w:hAnsi="Arial" w:cs="Arial"/>
          <w:color w:val="000000" w:themeColor="text1"/>
          <w:lang w:eastAsia="de-DE"/>
        </w:rPr>
        <w:t xml:space="preserve"> will need to be ensured through the realization of a suitable </w:t>
      </w:r>
      <w:r w:rsidRPr="000D6F95">
        <w:rPr>
          <w:rFonts w:ascii="Arial" w:hAnsi="Arial" w:cs="Arial"/>
          <w:i/>
          <w:color w:val="000000" w:themeColor="text1"/>
          <w:lang w:eastAsia="de-DE"/>
        </w:rPr>
        <w:t>control agent</w:t>
      </w:r>
      <w:r w:rsidRPr="000D6F95">
        <w:rPr>
          <w:rFonts w:ascii="Arial" w:hAnsi="Arial" w:cs="Arial"/>
          <w:color w:val="000000" w:themeColor="text1"/>
          <w:lang w:eastAsia="de-DE"/>
        </w:rPr>
        <w:t xml:space="preserve"> that integrates the (edge) resource pool into the larger system but also interfaces with the (edge) resource pool to adequately govern the resource usage in the light of the resource-specific characteristics in terms of constraints and dynamicity. Here, research into the </w:t>
      </w:r>
      <w:r w:rsidRPr="000D6F95">
        <w:rPr>
          <w:rFonts w:ascii="Arial" w:hAnsi="Arial" w:cs="Arial"/>
          <w:i/>
          <w:color w:val="000000" w:themeColor="text1"/>
          <w:lang w:eastAsia="de-DE"/>
        </w:rPr>
        <w:t>minimal requirements</w:t>
      </w:r>
      <w:r w:rsidRPr="000D6F95">
        <w:rPr>
          <w:rFonts w:ascii="Arial" w:hAnsi="Arial" w:cs="Arial"/>
          <w:color w:val="000000" w:themeColor="text1"/>
          <w:lang w:eastAsia="de-DE"/>
        </w:rPr>
        <w:t xml:space="preserve"> in terms of processing and communication needs and the realization of those requirements as </w:t>
      </w:r>
      <w:r w:rsidRPr="000D6F95">
        <w:rPr>
          <w:rFonts w:ascii="Arial" w:hAnsi="Arial" w:cs="Arial"/>
          <w:i/>
          <w:color w:val="000000" w:themeColor="text1"/>
          <w:lang w:eastAsia="de-DE"/>
        </w:rPr>
        <w:t>novel control agent realizations</w:t>
      </w:r>
      <w:r w:rsidRPr="000D6F95">
        <w:rPr>
          <w:rFonts w:ascii="Arial" w:hAnsi="Arial" w:cs="Arial"/>
          <w:color w:val="000000" w:themeColor="text1"/>
          <w:lang w:eastAsia="de-DE"/>
        </w:rPr>
        <w:t xml:space="preserve"> will need to ensure that integration into the overall control fabric of the larger system to align with our vision of a smart network as laid out in Section 4.2. Furthermore, </w:t>
      </w:r>
      <w:r w:rsidRPr="000D6F95">
        <w:rPr>
          <w:rFonts w:ascii="Arial" w:hAnsi="Arial" w:cs="Arial"/>
          <w:i/>
          <w:color w:val="000000" w:themeColor="text1"/>
          <w:lang w:eastAsia="de-DE"/>
        </w:rPr>
        <w:t>resource scheduling</w:t>
      </w:r>
      <w:r w:rsidRPr="000D6F95">
        <w:rPr>
          <w:rFonts w:ascii="Arial" w:hAnsi="Arial" w:cs="Arial"/>
          <w:color w:val="000000" w:themeColor="text1"/>
          <w:lang w:eastAsia="de-DE"/>
        </w:rPr>
        <w:t xml:space="preserve"> requires extra consideration in the presence of potential resource scarcity, particularly when combining specific input/output capabilities into the scheduling decision. Scarcity may be increased when utilizing specialized resources, such as GPUs or NPUs, rather than general purposes ones. We may also find that </w:t>
      </w:r>
      <w:r w:rsidRPr="000D6F95">
        <w:rPr>
          <w:rFonts w:ascii="Arial" w:hAnsi="Arial" w:cs="Arial"/>
          <w:i/>
          <w:color w:val="000000" w:themeColor="text1"/>
          <w:lang w:eastAsia="de-DE"/>
        </w:rPr>
        <w:t>locality of the resources</w:t>
      </w:r>
      <w:r w:rsidRPr="000D6F95">
        <w:rPr>
          <w:rFonts w:ascii="Arial" w:hAnsi="Arial" w:cs="Arial"/>
          <w:color w:val="000000" w:themeColor="text1"/>
          <w:lang w:eastAsia="de-DE"/>
        </w:rPr>
        <w:t xml:space="preserve"> becomes crucial when applying policies for, e.g., localized processing for privacy reasons. Scheduling solutions are required that provide suitable trade-offs between moving data to functions or vice versa, possibly under locality constraints. Ultimately, a scheduling decision in favour of one tenant may result in detrimental performance of another, calling for solutions to resource scheduling that likely extend beyond those operating on a large pool of resources with uniform capabilities. </w:t>
      </w:r>
      <w:r w:rsidRPr="000D6F95">
        <w:rPr>
          <w:rFonts w:ascii="Arial" w:hAnsi="Arial" w:cs="Arial"/>
          <w:b/>
          <w:color w:val="000000" w:themeColor="text1"/>
          <w:lang w:eastAsia="de-DE"/>
        </w:rPr>
        <w:t xml:space="preserve">Future research will need to address these edge-specific constraints through suitable scheduling mechanisms that take those constraints into account, while relying on edge-specific control agents enabling the enforcement of the policies underlying the scheduling solutions. </w:t>
      </w:r>
    </w:p>
    <w:p w14:paraId="77208982" w14:textId="77777777" w:rsidR="000D6F95" w:rsidRPr="000D6F95" w:rsidRDefault="000D6F95" w:rsidP="000D6F95">
      <w:pPr>
        <w:spacing w:after="120" w:line="240" w:lineRule="auto"/>
        <w:jc w:val="both"/>
        <w:rPr>
          <w:rFonts w:ascii="Arial" w:hAnsi="Arial" w:cs="Arial"/>
          <w:color w:val="000000" w:themeColor="text1"/>
          <w:u w:val="single"/>
          <w:lang w:eastAsia="de-DE"/>
        </w:rPr>
      </w:pPr>
      <w:r w:rsidRPr="000D6F95">
        <w:rPr>
          <w:rFonts w:ascii="Arial" w:hAnsi="Arial" w:cs="Arial"/>
          <w:color w:val="000000" w:themeColor="text1"/>
          <w:lang w:eastAsia="de-DE"/>
        </w:rPr>
        <w:t xml:space="preserve">The </w:t>
      </w:r>
      <w:r w:rsidRPr="000D6F95">
        <w:rPr>
          <w:rFonts w:ascii="Arial" w:hAnsi="Arial" w:cs="Arial"/>
          <w:i/>
          <w:color w:val="000000" w:themeColor="text1"/>
          <w:lang w:eastAsia="de-DE"/>
        </w:rPr>
        <w:t>dynamicity</w:t>
      </w:r>
      <w:r w:rsidRPr="000D6F95">
        <w:rPr>
          <w:rFonts w:ascii="Arial" w:hAnsi="Arial" w:cs="Arial"/>
          <w:color w:val="000000" w:themeColor="text1"/>
          <w:lang w:eastAsia="de-DE"/>
        </w:rPr>
        <w:t xml:space="preserve"> of (edge) resources is another aspect to deal with as an edge-specific constraint. While edge infrastructure, such as in an industrial site, can obviously be very well managed and long-lived, we also foresee edge resources of a much higher </w:t>
      </w:r>
      <w:r w:rsidRPr="000D6F95">
        <w:rPr>
          <w:rFonts w:ascii="Arial" w:hAnsi="Arial" w:cs="Arial"/>
          <w:i/>
          <w:color w:val="000000" w:themeColor="text1"/>
          <w:lang w:eastAsia="de-DE"/>
        </w:rPr>
        <w:t>volatility</w:t>
      </w:r>
      <w:r w:rsidRPr="000D6F95">
        <w:rPr>
          <w:rFonts w:ascii="Arial" w:hAnsi="Arial" w:cs="Arial"/>
          <w:color w:val="000000" w:themeColor="text1"/>
          <w:lang w:eastAsia="de-DE"/>
        </w:rPr>
        <w:t xml:space="preserve">, particularly when considering end-user provided resources, therefore creating a </w:t>
      </w:r>
      <w:r w:rsidRPr="000D6F95">
        <w:rPr>
          <w:rFonts w:ascii="Arial" w:hAnsi="Arial" w:cs="Arial"/>
          <w:i/>
          <w:color w:val="000000" w:themeColor="text1"/>
          <w:lang w:eastAsia="de-DE"/>
        </w:rPr>
        <w:t>limitation in availability</w:t>
      </w:r>
      <w:r w:rsidRPr="000D6F95">
        <w:rPr>
          <w:rFonts w:ascii="Arial" w:hAnsi="Arial" w:cs="Arial"/>
          <w:color w:val="000000" w:themeColor="text1"/>
          <w:lang w:eastAsia="de-DE"/>
        </w:rPr>
        <w:t xml:space="preserve"> in contrast to, e.g., long-lived data centres. Those resources could be switched off, temporarily disconnected or simply become unavailable, e.g., if linked to human behaviours or policies (such as “do not make my phone available, if battery drops below 15%”). From a control perspective, </w:t>
      </w:r>
      <w:r w:rsidRPr="000D6F95">
        <w:rPr>
          <w:rFonts w:ascii="Arial" w:hAnsi="Arial" w:cs="Arial"/>
          <w:i/>
          <w:color w:val="000000" w:themeColor="text1"/>
          <w:lang w:eastAsia="de-DE"/>
        </w:rPr>
        <w:t>maintaining the basic control fabric</w:t>
      </w:r>
      <w:r w:rsidRPr="000D6F95">
        <w:rPr>
          <w:rFonts w:ascii="Arial" w:hAnsi="Arial" w:cs="Arial"/>
          <w:color w:val="000000" w:themeColor="text1"/>
          <w:lang w:eastAsia="de-DE"/>
        </w:rPr>
        <w:t xml:space="preserve"> needs to take such dynamicity into account, while the </w:t>
      </w:r>
      <w:r w:rsidRPr="000D6F95">
        <w:rPr>
          <w:rFonts w:ascii="Arial" w:hAnsi="Arial" w:cs="Arial"/>
          <w:i/>
          <w:color w:val="000000" w:themeColor="text1"/>
          <w:lang w:eastAsia="de-DE"/>
        </w:rPr>
        <w:t>scheduling</w:t>
      </w:r>
      <w:r w:rsidRPr="000D6F95">
        <w:rPr>
          <w:rFonts w:ascii="Arial" w:hAnsi="Arial" w:cs="Arial"/>
          <w:color w:val="000000" w:themeColor="text1"/>
          <w:lang w:eastAsia="de-DE"/>
        </w:rPr>
        <w:t xml:space="preserve"> will need to react to disappearing and reappearing resources alike to operate at a defined optimum of resource usage. From a data plane perspective, volatile resources need consideration when </w:t>
      </w:r>
      <w:r w:rsidRPr="000D6F95">
        <w:rPr>
          <w:rFonts w:ascii="Arial" w:hAnsi="Arial" w:cs="Arial"/>
          <w:i/>
          <w:color w:val="000000" w:themeColor="text1"/>
          <w:lang w:eastAsia="de-DE"/>
        </w:rPr>
        <w:t>routing packets</w:t>
      </w:r>
      <w:r w:rsidRPr="000D6F95">
        <w:rPr>
          <w:rFonts w:ascii="Arial" w:hAnsi="Arial" w:cs="Arial"/>
          <w:color w:val="000000" w:themeColor="text1"/>
          <w:lang w:eastAsia="de-DE"/>
        </w:rPr>
        <w:t xml:space="preserve"> but also when </w:t>
      </w:r>
      <w:r w:rsidRPr="000D6F95">
        <w:rPr>
          <w:rFonts w:ascii="Arial" w:hAnsi="Arial" w:cs="Arial"/>
          <w:i/>
          <w:color w:val="000000" w:themeColor="text1"/>
          <w:lang w:eastAsia="de-DE"/>
        </w:rPr>
        <w:t>establishing in-network state</w:t>
      </w:r>
      <w:r w:rsidRPr="000D6F95">
        <w:rPr>
          <w:rFonts w:ascii="Arial" w:hAnsi="Arial" w:cs="Arial"/>
          <w:color w:val="000000" w:themeColor="text1"/>
          <w:lang w:eastAsia="de-DE"/>
        </w:rPr>
        <w:t xml:space="preserve"> for forwarding operations. While volatility of resources and dynamics are already covered by the controllability framework presented in Section 4.3, </w:t>
      </w:r>
      <w:r w:rsidRPr="000D6F95">
        <w:rPr>
          <w:rFonts w:ascii="Arial" w:hAnsi="Arial" w:cs="Arial"/>
          <w:b/>
          <w:color w:val="000000" w:themeColor="text1"/>
          <w:lang w:eastAsia="de-DE"/>
        </w:rPr>
        <w:t>future research will be required to delve into the systems of systems aspect of such controllability</w:t>
      </w:r>
      <w:r w:rsidRPr="000D6F95">
        <w:rPr>
          <w:rFonts w:ascii="Arial" w:hAnsi="Arial" w:cs="Arial"/>
          <w:color w:val="000000" w:themeColor="text1"/>
          <w:lang w:eastAsia="de-DE"/>
        </w:rPr>
        <w:t>, given that individual subsystems might not be fully independent.</w:t>
      </w:r>
    </w:p>
    <w:p w14:paraId="36483916" w14:textId="77777777" w:rsidR="000D6F95" w:rsidRPr="000D6F95" w:rsidRDefault="000D6F95" w:rsidP="000D6F95">
      <w:pPr>
        <w:spacing w:after="120" w:line="240" w:lineRule="auto"/>
        <w:jc w:val="both"/>
        <w:rPr>
          <w:rFonts w:ascii="Arial" w:hAnsi="Arial" w:cs="Arial"/>
          <w:b/>
          <w:color w:val="000000" w:themeColor="text1"/>
          <w:lang w:val="en-US" w:eastAsia="de-DE"/>
        </w:rPr>
      </w:pPr>
      <w:r w:rsidRPr="000D6F95">
        <w:rPr>
          <w:rFonts w:ascii="Arial" w:hAnsi="Arial" w:cs="Arial"/>
          <w:color w:val="000000" w:themeColor="text1"/>
          <w:lang w:eastAsia="de-DE"/>
        </w:rPr>
        <w:t xml:space="preserve">Furthermore, </w:t>
      </w:r>
      <w:r w:rsidRPr="000D6F95">
        <w:rPr>
          <w:rFonts w:ascii="Arial" w:hAnsi="Arial" w:cs="Arial"/>
          <w:i/>
          <w:color w:val="000000" w:themeColor="text1"/>
          <w:lang w:eastAsia="de-DE"/>
        </w:rPr>
        <w:t>governance</w:t>
      </w:r>
      <w:r w:rsidRPr="000D6F95">
        <w:rPr>
          <w:rFonts w:ascii="Arial" w:hAnsi="Arial" w:cs="Arial"/>
          <w:color w:val="000000" w:themeColor="text1"/>
          <w:lang w:eastAsia="de-DE"/>
        </w:rPr>
        <w:t xml:space="preserve"> of edge resources (and their provisioning through entities like individual users and localized industries) differs vastly from the often long-lived contractual relationships we can identify in the core network business. Instead, the addition and usage of resources with such volatile and temporary nature requires means for </w:t>
      </w:r>
      <w:r w:rsidRPr="000D6F95">
        <w:rPr>
          <w:rFonts w:ascii="Arial" w:hAnsi="Arial" w:cs="Arial"/>
          <w:i/>
          <w:color w:val="000000" w:themeColor="text1"/>
          <w:lang w:eastAsia="de-DE"/>
        </w:rPr>
        <w:t>contractual management</w:t>
      </w:r>
      <w:r w:rsidRPr="000D6F95">
        <w:rPr>
          <w:rFonts w:ascii="Arial" w:hAnsi="Arial" w:cs="Arial"/>
          <w:color w:val="000000" w:themeColor="text1"/>
          <w:lang w:eastAsia="de-DE"/>
        </w:rPr>
        <w:t xml:space="preserve">, including methods for billing, accounting as well as authorization of use that align with the dynamicity of the envisioned relationship. </w:t>
      </w:r>
      <w:r w:rsidRPr="000D6F95">
        <w:rPr>
          <w:rFonts w:ascii="Arial" w:hAnsi="Arial" w:cs="Arial"/>
          <w:i/>
          <w:color w:val="000000" w:themeColor="text1"/>
          <w:lang w:eastAsia="de-DE"/>
        </w:rPr>
        <w:t>Distributed ledger technologies</w:t>
      </w:r>
      <w:r w:rsidRPr="000D6F95">
        <w:rPr>
          <w:rFonts w:ascii="Arial" w:hAnsi="Arial" w:cs="Arial"/>
          <w:color w:val="000000" w:themeColor="text1"/>
          <w:lang w:eastAsia="de-DE"/>
        </w:rPr>
        <w:t xml:space="preserve"> and </w:t>
      </w:r>
      <w:r w:rsidRPr="000D6F95">
        <w:rPr>
          <w:rFonts w:ascii="Arial" w:hAnsi="Arial" w:cs="Arial"/>
          <w:i/>
          <w:color w:val="000000" w:themeColor="text1"/>
          <w:lang w:eastAsia="de-DE"/>
        </w:rPr>
        <w:t>eContracts/ smart contracts</w:t>
      </w:r>
      <w:r w:rsidRPr="000D6F95">
        <w:rPr>
          <w:rFonts w:ascii="Arial" w:hAnsi="Arial" w:cs="Arial"/>
          <w:color w:val="000000" w:themeColor="text1"/>
          <w:lang w:eastAsia="de-DE"/>
        </w:rPr>
        <w:t xml:space="preserve"> will likely lend themselves to being applied in this world of (possibly highly) ephemeral resource utilization with the appropriate means to keep the </w:t>
      </w:r>
      <w:r w:rsidRPr="000D6F95">
        <w:rPr>
          <w:rFonts w:ascii="Arial" w:hAnsi="Arial" w:cs="Arial"/>
          <w:color w:val="000000" w:themeColor="text1"/>
          <w:lang w:eastAsia="de-DE"/>
        </w:rPr>
        <w:lastRenderedPageBreak/>
        <w:t xml:space="preserve">resource owner (e.g., the end user) in the loop in order to preserve </w:t>
      </w:r>
      <w:r w:rsidRPr="000D6F95">
        <w:rPr>
          <w:rFonts w:ascii="Arial" w:hAnsi="Arial" w:cs="Arial"/>
          <w:i/>
          <w:color w:val="000000" w:themeColor="text1"/>
          <w:lang w:eastAsia="de-DE"/>
        </w:rPr>
        <w:t>digital sovereignty</w:t>
      </w:r>
      <w:r w:rsidRPr="000D6F95">
        <w:rPr>
          <w:rFonts w:ascii="Arial" w:hAnsi="Arial" w:cs="Arial"/>
          <w:color w:val="000000" w:themeColor="text1"/>
          <w:lang w:eastAsia="de-DE"/>
        </w:rPr>
        <w:t xml:space="preserve"> but also enable </w:t>
      </w:r>
      <w:r w:rsidRPr="000D6F95">
        <w:rPr>
          <w:rFonts w:ascii="Arial" w:hAnsi="Arial" w:cs="Arial"/>
          <w:i/>
          <w:color w:val="000000" w:themeColor="text1"/>
          <w:lang w:eastAsia="de-DE"/>
        </w:rPr>
        <w:t>participation in the digital market</w:t>
      </w:r>
      <w:r w:rsidRPr="000D6F95">
        <w:rPr>
          <w:rFonts w:ascii="Arial" w:hAnsi="Arial" w:cs="Arial"/>
          <w:b/>
          <w:i/>
          <w:color w:val="000000" w:themeColor="text1"/>
          <w:lang w:eastAsia="de-DE"/>
        </w:rPr>
        <w:t>,</w:t>
      </w:r>
      <w:r w:rsidRPr="000D6F95">
        <w:rPr>
          <w:rFonts w:ascii="Arial" w:hAnsi="Arial" w:cs="Arial"/>
          <w:color w:val="000000" w:themeColor="text1"/>
          <w:lang w:eastAsia="de-DE"/>
        </w:rPr>
        <w:t xml:space="preserve"> akin to the changes in the energy market but likely much more dynamic. An important challenge for entering contractual relations is the </w:t>
      </w:r>
      <w:r w:rsidRPr="000D6F95">
        <w:rPr>
          <w:rFonts w:ascii="Arial" w:hAnsi="Arial" w:cs="Arial"/>
          <w:i/>
          <w:color w:val="000000" w:themeColor="text1"/>
          <w:lang w:eastAsia="de-DE"/>
        </w:rPr>
        <w:t>advertisement of resource capabilities</w:t>
      </w:r>
      <w:r w:rsidRPr="000D6F95">
        <w:rPr>
          <w:rFonts w:ascii="Arial" w:hAnsi="Arial" w:cs="Arial"/>
          <w:color w:val="000000" w:themeColor="text1"/>
          <w:lang w:eastAsia="de-DE"/>
        </w:rPr>
        <w:t xml:space="preserve">. While today’s solutions are mainly focussed on the pure ability to communicate (e.g., through advertising a radio bearer), solutions are required that expand the negotiation towards clearly articulated </w:t>
      </w:r>
      <w:r w:rsidRPr="000D6F95">
        <w:rPr>
          <w:rFonts w:ascii="Arial" w:hAnsi="Arial" w:cs="Arial"/>
          <w:i/>
          <w:color w:val="000000" w:themeColor="text1"/>
          <w:lang w:eastAsia="de-DE"/>
        </w:rPr>
        <w:t>demands</w:t>
      </w:r>
      <w:r w:rsidRPr="000D6F95">
        <w:rPr>
          <w:rFonts w:ascii="Arial" w:hAnsi="Arial" w:cs="Arial"/>
          <w:color w:val="000000" w:themeColor="text1"/>
          <w:lang w:eastAsia="de-DE"/>
        </w:rPr>
        <w:t xml:space="preserve"> beyond ‘just communication’ that can be dynamically matched against the </w:t>
      </w:r>
      <w:r w:rsidRPr="000D6F95">
        <w:rPr>
          <w:rFonts w:ascii="Arial" w:hAnsi="Arial" w:cs="Arial"/>
          <w:i/>
          <w:color w:val="000000" w:themeColor="text1"/>
          <w:lang w:eastAsia="de-DE"/>
        </w:rPr>
        <w:t>supply</w:t>
      </w:r>
      <w:r w:rsidRPr="000D6F95">
        <w:rPr>
          <w:rFonts w:ascii="Arial" w:hAnsi="Arial" w:cs="Arial"/>
          <w:color w:val="000000" w:themeColor="text1"/>
          <w:lang w:eastAsia="de-DE"/>
        </w:rPr>
        <w:t xml:space="preserve">. For instance, attaching to a WiFi access point is futile, if connectivity to particular backend services is not enabled at this edge resource. </w:t>
      </w:r>
      <w:r w:rsidRPr="000D6F95">
        <w:rPr>
          <w:rFonts w:ascii="Arial" w:hAnsi="Arial" w:cs="Arial"/>
          <w:i/>
          <w:color w:val="000000" w:themeColor="text1"/>
          <w:lang w:eastAsia="de-DE"/>
        </w:rPr>
        <w:t>Efficiency</w:t>
      </w:r>
      <w:r w:rsidRPr="000D6F95">
        <w:rPr>
          <w:rFonts w:ascii="Arial" w:hAnsi="Arial" w:cs="Arial"/>
          <w:color w:val="000000" w:themeColor="text1"/>
          <w:lang w:eastAsia="de-DE"/>
        </w:rPr>
        <w:t xml:space="preserve"> is key here, avoiding unnecessary signalling between components. Particular consideration must also be given to </w:t>
      </w:r>
      <w:r w:rsidRPr="000D6F95">
        <w:rPr>
          <w:rFonts w:ascii="Arial" w:hAnsi="Arial" w:cs="Arial"/>
          <w:i/>
          <w:color w:val="000000" w:themeColor="text1"/>
          <w:lang w:eastAsia="de-DE"/>
        </w:rPr>
        <w:t>security</w:t>
      </w:r>
      <w:r w:rsidRPr="000D6F95">
        <w:rPr>
          <w:rFonts w:ascii="Arial" w:hAnsi="Arial" w:cs="Arial"/>
          <w:color w:val="000000" w:themeColor="text1"/>
          <w:lang w:eastAsia="de-DE"/>
        </w:rPr>
        <w:t xml:space="preserve">, both towards the tenant utilizing the resources and those providing them. With tenant-specific instructions eventually being executed on what are possibly end-user provided devices, </w:t>
      </w:r>
      <w:r w:rsidRPr="000D6F95">
        <w:rPr>
          <w:rFonts w:ascii="Arial" w:hAnsi="Arial" w:cs="Arial"/>
          <w:i/>
          <w:color w:val="000000" w:themeColor="text1"/>
          <w:lang w:eastAsia="de-DE"/>
        </w:rPr>
        <w:t>accountability</w:t>
      </w:r>
      <w:r w:rsidRPr="000D6F95">
        <w:rPr>
          <w:rFonts w:ascii="Arial" w:hAnsi="Arial" w:cs="Arial"/>
          <w:color w:val="000000" w:themeColor="text1"/>
          <w:lang w:eastAsia="de-DE"/>
        </w:rPr>
        <w:t xml:space="preserve"> for this usage is key for accepting such usage in the first place, complementing (edge) platform capabilities such as secure enclaves to ensure trustworthy execution at the level of the computational instructions themselves. </w:t>
      </w:r>
      <w:r w:rsidRPr="000D6F95">
        <w:rPr>
          <w:rFonts w:ascii="Arial" w:hAnsi="Arial" w:cs="Arial"/>
          <w:b/>
          <w:color w:val="000000" w:themeColor="text1"/>
          <w:lang w:eastAsia="de-DE"/>
        </w:rPr>
        <w:t xml:space="preserve">Through research in this space, we foresee future solutions to enable an edge resource market that would allow for auctioning the availability of resources to tenants very much like the bidding for white space on a webpage as we know today, basing all interactions on a trusted, auditable, and accountable basis that caters to the dynamics experienced at the edge. </w:t>
      </w:r>
      <w:r w:rsidRPr="000D6F95">
        <w:rPr>
          <w:rFonts w:ascii="Arial" w:hAnsi="Arial" w:cs="Arial"/>
          <w:color w:val="000000" w:themeColor="text1"/>
          <w:lang w:eastAsia="de-DE"/>
        </w:rPr>
        <w:t>For this edge resource market to emerge, p</w:t>
      </w:r>
      <w:r w:rsidRPr="000D6F95">
        <w:rPr>
          <w:rFonts w:ascii="Arial" w:hAnsi="Arial" w:cs="Arial"/>
          <w:color w:val="000000" w:themeColor="text1"/>
          <w:lang w:val="en-US" w:eastAsia="de-DE"/>
        </w:rPr>
        <w:t xml:space="preserve">olicy descriptions with their rules and constraints will need to be specified in a form that can be enforced by the infrastructure on the services, since direct human oversight is not feasible at this scale. </w:t>
      </w:r>
      <w:r w:rsidRPr="000D6F95">
        <w:rPr>
          <w:rFonts w:ascii="Arial" w:hAnsi="Arial" w:cs="Arial"/>
          <w:b/>
          <w:color w:val="000000" w:themeColor="text1"/>
          <w:lang w:val="en-US" w:eastAsia="de-DE"/>
        </w:rPr>
        <w:t>This will require research into novel programming models and (e.g., policy) languages that not only support all of these services, applications and deployments but also cater to the expected dynamics of the market itself</w:t>
      </w:r>
      <w:r w:rsidRPr="000D6F95">
        <w:rPr>
          <w:rFonts w:ascii="Arial" w:hAnsi="Arial" w:cs="Arial"/>
          <w:color w:val="000000" w:themeColor="text1"/>
          <w:lang w:val="en-US" w:eastAsia="de-DE"/>
        </w:rPr>
        <w:t xml:space="preserve">. 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w:t>
      </w:r>
      <w:r w:rsidRPr="000D6F95">
        <w:rPr>
          <w:rFonts w:ascii="Arial" w:hAnsi="Arial" w:cs="Arial"/>
          <w:b/>
          <w:color w:val="000000" w:themeColor="text1"/>
          <w:lang w:val="en-US" w:eastAsia="de-DE"/>
        </w:rPr>
        <w:t>Research is needed for providing new IoT device management techniques that are adapted to the evolving distributed architectures for IoT systems based on an open device management ecosystem.</w:t>
      </w:r>
    </w:p>
    <w:p w14:paraId="0BC2DA63"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eastAsia="de-DE"/>
        </w:rPr>
        <w:t>The continued growth in video applications including augmented reality (AR) and virtual reality (VR) required by, among others, the emerging applications (cmp. Section 3.1), requires new architectural approaches and solutions. Surveillance and monitoring further complicate the space, as will the growth in real-time sensor data e.g., for industry and smart cities. The ongoing shift of TV distribution from broadcast to the Internet will accelerate, requiring at least a 10x increase in video traffic volume with increased performance and resolution.</w:t>
      </w:r>
      <w:r w:rsidRPr="000D6F95">
        <w:rPr>
          <w:rFonts w:ascii="Arial" w:hAnsi="Arial" w:cs="Arial"/>
          <w:color w:val="000000" w:themeColor="text1"/>
          <w:lang w:val="en-US" w:eastAsia="de-DE"/>
        </w:rPr>
        <w:t xml:space="preserve"> The implications on application level networking</w:t>
      </w:r>
      <w:r w:rsidRPr="000D6F95">
        <w:rPr>
          <w:rFonts w:ascii="Arial" w:hAnsi="Arial" w:cs="Arial"/>
          <w:b/>
          <w:color w:val="000000" w:themeColor="text1"/>
          <w:lang w:val="en-US" w:eastAsia="de-DE"/>
        </w:rPr>
        <w:t xml:space="preserve"> </w:t>
      </w:r>
      <w:r w:rsidRPr="000D6F95">
        <w:rPr>
          <w:rFonts w:ascii="Arial" w:hAnsi="Arial" w:cs="Arial"/>
          <w:color w:val="000000" w:themeColor="text1"/>
          <w:lang w:val="en-US" w:eastAsia="de-DE"/>
        </w:rPr>
        <w:t xml:space="preserve">are tremendous: we will need to integrate video services with the web content framework, delivery model and APIs, with effective use of ultra-dense and diverse wired and wireless networks. Video provenance will become a key issue to combat ”fake news” and the effects of AI/ML-generated video that can subvert legitimate content. Strong security and integrity of applications, network transport and in-network processing will be required. A future key development in the system architecture can be the deep integration of application and service functionality pervasively within the network, as discussed in this document. To cope with that, this document introduces a highly dynamic system architecture (cmp. Sections 4.2-4.6). </w:t>
      </w:r>
    </w:p>
    <w:p w14:paraId="4D40AFD4"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 xml:space="preserve">This architecture will need to be supported by the nodes that constitute it (i.e. devices, elements, subsystems, etc. or whatever nature). Hence, at the node level, an active entity (e.g. an agent) becomes necessary, capable of a) offering runtime access to node-local resources and to all executed allocations and b) acting as part of a dynamic system, i.e. establishing and maintaining it. In its first controlee aspect, this entity is an entry point to the internal organization and realization of the node (e.g. of a whole subsystem). Exporting a common set of protocols and an API, it can hide the complexity of the internal organization through its own implementation and allow independent evolution of the node-internal and </w:t>
      </w:r>
      <w:r w:rsidRPr="000D6F95">
        <w:rPr>
          <w:rFonts w:ascii="Arial" w:hAnsi="Arial" w:cs="Arial"/>
          <w:color w:val="000000" w:themeColor="text1"/>
          <w:lang w:val="en-US" w:eastAsia="de-DE"/>
        </w:rPr>
        <w:lastRenderedPageBreak/>
        <w:t>systemic organizations. In its second systemic aspect, this entity must autonomically and continuously construct, maintain and preserve the control plane considering the requirements in sections 4.3-4.6. In other words, beyond service provisioning, management and security, which are critical to effectively manage billions of devices, ensuring they are suitably configured, running appropriate software, kept up-to-date with security updates and patches, and run properly authenticated and authorized applications, this entity must ensure system integrity and resilience of the programmable environment per se, while taking into account the available resources of the node that it represents. Chiefly, the agent must assure that both intrinsic and situational capabilities of its node (e.g. secure boot, local secure hardware modules, secure enclaves; input/output capabilities e.g. positioning, sensing usable for discovery of other potential nodes; topological position of the node, e.g. its connectivity degrees and its centrality; but also the available generic compute and networking capacity) correspond to the role, tasks and the topological position in the overall system in both directions. Therefore, a balance between agent commitments towards the system vs. resources required by the agent itself is required.</w:t>
      </w:r>
    </w:p>
    <w:p w14:paraId="45A623C5"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Locally, the agent must consider additional considerations. For instance, in addition to classical contractual models, micropayments might become a key part of the system as the infrastructure to support in-network services and applications is not free. Privacy and data management, and the location of processing and data to match legal and moral restrictions on data distribution, access and processing, will be increasingly important. Many of the services and applications will operate on, process and deal with personal data that is increasingly (and rightly) subject to strict regulation, control and limitation. Strong tools do not exist to describe in human language, legal language or code how data can be processed, located and distributed. Policy descriptions, rules and constraints will need to be specified in a form that can be enforced by the infrastructure on the services, since direct human oversight is not feasible at this scale. In addition, novel programming models and languages are required to support all of these services, applications and deployments.</w:t>
      </w:r>
    </w:p>
    <w:p w14:paraId="11B7088C" w14:textId="77777777" w:rsidR="000D6F95" w:rsidRPr="000D6F95" w:rsidRDefault="000D6F95" w:rsidP="000D6F95">
      <w:pPr>
        <w:spacing w:after="120" w:line="240" w:lineRule="auto"/>
        <w:jc w:val="both"/>
        <w:rPr>
          <w:rFonts w:ascii="Arial" w:hAnsi="Arial" w:cs="Arial"/>
          <w:color w:val="000000" w:themeColor="text1"/>
          <w:lang w:val="en-US" w:eastAsia="de-DE"/>
        </w:rPr>
      </w:pPr>
      <w:r w:rsidRPr="000D6F95">
        <w:rPr>
          <w:rFonts w:ascii="Arial" w:hAnsi="Arial" w:cs="Arial"/>
          <w:color w:val="000000" w:themeColor="text1"/>
          <w:lang w:val="en-US" w:eastAsia="de-DE"/>
        </w:rPr>
        <w:t>Research challenges in this area include:</w:t>
      </w:r>
    </w:p>
    <w:p w14:paraId="35CF9D61" w14:textId="77777777" w:rsidR="000D6F95" w:rsidRPr="000D6F95" w:rsidRDefault="000D6F95" w:rsidP="00124439">
      <w:pPr>
        <w:numPr>
          <w:ilvl w:val="0"/>
          <w:numId w:val="68"/>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delivery model and API</w:t>
      </w:r>
      <w:r w:rsidRPr="000D6F95">
        <w:rPr>
          <w:rFonts w:ascii="Arial" w:hAnsi="Arial" w:cs="Arial"/>
          <w:color w:val="000000" w:themeColor="text1"/>
          <w:lang w:val="en-US" w:eastAsia="de-DE"/>
        </w:rPr>
        <w:t>s, with effective use of ultra-dense and diverse wired and wireless networks (cmp. Sections 4.3 and 4.4);</w:t>
      </w:r>
    </w:p>
    <w:p w14:paraId="78D566C1" w14:textId="77777777" w:rsidR="000D6F95" w:rsidRPr="000D6F95" w:rsidRDefault="000D6F95" w:rsidP="00124439">
      <w:pPr>
        <w:numPr>
          <w:ilvl w:val="0"/>
          <w:numId w:val="68"/>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effective management of billions of devices</w:t>
      </w:r>
      <w:r w:rsidRPr="000D6F95">
        <w:rPr>
          <w:rFonts w:ascii="Arial" w:hAnsi="Arial" w:cs="Arial"/>
          <w:color w:val="000000" w:themeColor="text1"/>
          <w:lang w:val="en-US" w:eastAsia="de-DE"/>
        </w:rPr>
        <w:t xml:space="preserve">, ensuring they are </w:t>
      </w:r>
      <w:r w:rsidRPr="000D6F95">
        <w:rPr>
          <w:rFonts w:ascii="Arial" w:hAnsi="Arial" w:cs="Arial"/>
          <w:b/>
          <w:color w:val="000000" w:themeColor="text1"/>
          <w:lang w:val="en-US" w:eastAsia="de-DE"/>
        </w:rPr>
        <w:t>suitably configured, running appropriate software, kept up-to-date with security updates and patches, and run only properly authenticated and authorized applications.</w:t>
      </w:r>
    </w:p>
    <w:p w14:paraId="2DD3F61F" w14:textId="77777777" w:rsidR="000D6F95" w:rsidRPr="000D6F95" w:rsidRDefault="000D6F95" w:rsidP="00124439">
      <w:pPr>
        <w:numPr>
          <w:ilvl w:val="0"/>
          <w:numId w:val="68"/>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 xml:space="preserve">privacy and data management, </w:t>
      </w:r>
      <w:r w:rsidRPr="000D6F95">
        <w:rPr>
          <w:rFonts w:ascii="Arial" w:hAnsi="Arial" w:cs="Arial"/>
          <w:color w:val="000000" w:themeColor="text1"/>
          <w:lang w:val="en-US" w:eastAsia="de-DE"/>
        </w:rPr>
        <w:t xml:space="preserve">and the location of processing and data to match legal and moral restrictions on data distribution, access and processing, will be increasingly important. </w:t>
      </w:r>
    </w:p>
    <w:p w14:paraId="3795CE6A" w14:textId="77777777" w:rsidR="000D6F95" w:rsidRPr="000D6F95" w:rsidRDefault="000D6F95" w:rsidP="00124439">
      <w:pPr>
        <w:numPr>
          <w:ilvl w:val="0"/>
          <w:numId w:val="68"/>
        </w:numPr>
        <w:spacing w:after="120" w:line="240" w:lineRule="auto"/>
        <w:contextualSpacing/>
        <w:jc w:val="both"/>
        <w:rPr>
          <w:rFonts w:ascii="Arial" w:hAnsi="Arial" w:cs="Arial"/>
          <w:color w:val="000000" w:themeColor="text1"/>
          <w:lang w:val="en-US" w:eastAsia="de-DE"/>
        </w:rPr>
      </w:pPr>
      <w:r w:rsidRPr="000D6F95">
        <w:rPr>
          <w:rFonts w:ascii="Arial" w:hAnsi="Arial" w:cs="Arial"/>
          <w:b/>
          <w:color w:val="000000" w:themeColor="text1"/>
          <w:lang w:val="en-US" w:eastAsia="de-DE"/>
        </w:rPr>
        <w:t>policy descriptions, rules and constraints</w:t>
      </w:r>
      <w:r w:rsidRPr="000D6F95">
        <w:rPr>
          <w:rFonts w:ascii="Arial" w:hAnsi="Arial" w:cs="Arial"/>
          <w:color w:val="000000" w:themeColor="text1"/>
          <w:lang w:val="en-US" w:eastAsia="de-DE"/>
        </w:rPr>
        <w:t xml:space="preserve"> will need to be specified in a form that can be enforced by the infrastructure on the services.</w:t>
      </w:r>
    </w:p>
    <w:p w14:paraId="6E2FA096" w14:textId="77777777" w:rsidR="00386A46" w:rsidRPr="00E94B6B" w:rsidRDefault="00386A46" w:rsidP="00386A46">
      <w:pPr>
        <w:rPr>
          <w:rFonts w:ascii="Arial" w:hAnsi="Arial" w:cs="Arial"/>
          <w:lang w:val="en-US" w:eastAsia="de-DE"/>
        </w:rPr>
      </w:pPr>
    </w:p>
    <w:p w14:paraId="343080EC" w14:textId="77777777" w:rsidR="00386A46" w:rsidRPr="00386A46" w:rsidRDefault="00386A46" w:rsidP="00386A46">
      <w:pPr>
        <w:rPr>
          <w:rFonts w:ascii="Arial" w:hAnsi="Arial" w:cs="Arial"/>
          <w:lang w:eastAsia="de-DE"/>
        </w:rPr>
      </w:pPr>
      <w:r w:rsidRPr="00386A46">
        <w:rPr>
          <w:rFonts w:ascii="Arial" w:hAnsi="Arial" w:cs="Arial"/>
          <w:lang w:eastAsia="de-DE"/>
        </w:rPr>
        <w:br w:type="page"/>
      </w:r>
    </w:p>
    <w:p w14:paraId="70032917" w14:textId="77777777" w:rsidR="00E00CB0" w:rsidRDefault="00E00CB0" w:rsidP="00124439">
      <w:pPr>
        <w:pStyle w:val="Heading1"/>
        <w:numPr>
          <w:ilvl w:val="0"/>
          <w:numId w:val="9"/>
        </w:numPr>
        <w:rPr>
          <w:lang w:eastAsia="de-DE"/>
        </w:rPr>
      </w:pPr>
      <w:bookmarkStart w:id="154" w:name="_Toc37227260"/>
      <w:bookmarkStart w:id="155" w:name="_Toc42177264"/>
      <w:bookmarkStart w:id="156" w:name="_Toc37227240"/>
      <w:r w:rsidRPr="0012294F">
        <w:rPr>
          <w:lang w:eastAsia="de-DE"/>
        </w:rPr>
        <w:lastRenderedPageBreak/>
        <w:t>Edge Computing and Meta-data</w:t>
      </w:r>
      <w:bookmarkStart w:id="157" w:name="_Toc511140316"/>
      <w:bookmarkEnd w:id="154"/>
      <w:bookmarkEnd w:id="155"/>
      <w:bookmarkEnd w:id="157"/>
    </w:p>
    <w:p w14:paraId="444C5B61" w14:textId="77777777" w:rsidR="00E00CB0" w:rsidRDefault="00E00CB0" w:rsidP="00E00CB0">
      <w:pPr>
        <w:rPr>
          <w:lang w:eastAsia="de-DE"/>
        </w:rPr>
      </w:pPr>
    </w:p>
    <w:p w14:paraId="4DA96CC1" w14:textId="77777777" w:rsidR="00E00CB0" w:rsidRPr="00E00CB0" w:rsidRDefault="00E00CB0" w:rsidP="00E00CB0">
      <w:pPr>
        <w:jc w:val="both"/>
        <w:rPr>
          <w:rFonts w:ascii="Arial" w:hAnsi="Arial" w:cs="Arial"/>
        </w:rPr>
      </w:pPr>
      <w:r w:rsidRPr="00E00CB0">
        <w:rPr>
          <w:rFonts w:ascii="Arial" w:hAnsi="Arial" w:cs="Arial"/>
        </w:rPr>
        <w:t>In this document, Chapter 4 (System Architecture) presents a vision, which specifically assumes that the overall infrastructure is composed of intertwined compute and network resources of both virtual and physical nature, including, in particular, the terminals. Chapter 4 therefore focusses on such mixed infrastructures, where in-network compute (highly distributed services) and in-compute networking (virtual networking) are just special views on the very same infrastructure. This vision is inspired by the overarching trend to “Everything-as-a-Service” (XaaS) and the corresponding realities of operators of such mixed virtual/physical ICT infrastructures. Compared to legacy infrastructures, such mixed infrastructures are characterized by higher dynamics and changing densities of both the constituting nodes and the system at large.</w:t>
      </w:r>
    </w:p>
    <w:p w14:paraId="500197F1" w14:textId="77777777" w:rsidR="00E00CB0" w:rsidRPr="00E00CB0" w:rsidRDefault="00E00CB0" w:rsidP="00E00CB0">
      <w:pPr>
        <w:jc w:val="both"/>
        <w:rPr>
          <w:rFonts w:ascii="Arial" w:hAnsi="Arial" w:cs="Arial"/>
        </w:rPr>
      </w:pPr>
      <w:r w:rsidRPr="00E00CB0">
        <w:rPr>
          <w:rFonts w:ascii="Arial" w:hAnsi="Arial" w:cs="Arial"/>
        </w:rPr>
        <w:t>Yet, until today, there is a big difference between networks and service platforms. So far, network elements are not capable of compute, and networks only implement few network specific services, sometimes invisible to end-users. In contrast, non-network services are implemented by terminals and data centres, in an OTT fashion. The binding between both is generally a “grey area” and considered difficult. Overall, there is a seeming contradiction in the reigning network philosophies: while the Internet philosophy minimizes network functionality to a service-agnostic common transport (TCP/IP as a least common denominator), mobile networks feature dedicated, standardized, highly available network functions, which require non-negligible compute resources. In the Internet view, the required link between the service-agnostic network and the network-agnostic service is often established by dedicated means, e.g. by middleboxes trying to enforce service-expected properties, for instance, security in enterprise networks. In this view, mobile networks are special, large-scale “middleboxes” in the access, combining compute and network resources for some particular purpose. Vice versa, in the mobile network view, Internet access is just a particular service provided by the network.</w:t>
      </w:r>
    </w:p>
    <w:p w14:paraId="6686A0CB" w14:textId="03D27651" w:rsidR="00E00CB0" w:rsidRDefault="00E00CB0" w:rsidP="00E00CB0">
      <w:pPr>
        <w:jc w:val="both"/>
        <w:rPr>
          <w:rFonts w:ascii="Arial" w:hAnsi="Arial" w:cs="Arial"/>
        </w:rPr>
      </w:pPr>
      <w:r w:rsidRPr="00E00CB0">
        <w:rPr>
          <w:rFonts w:ascii="Arial" w:hAnsi="Arial" w:cs="Arial"/>
        </w:rPr>
        <w:t>When users require services with hard and challenging performance guarantees, both views are incomplete. To cope with this, our main vision (cmp. Chapter 4) seeks to overcome the current “compartmentalization” of the control systems and establishes pervasive resource control as a novel least common denominator for future ICT systems, over which fine-grained, resource-efficient service provisioning becomes possible. However, on the way to this reality, compute infrastructures must emerge and establish themselves. They currently strongly proliferate at the edge of global networks, most notably as part of the mobile systems (from telco cloud to user services) or within the infrastructures of different vertical industries (seamless service integration). This shorter time evolution, together with the corresponding relevant standardization and coordination activities is discussed in this Chapter.</w:t>
      </w:r>
    </w:p>
    <w:p w14:paraId="3C11AA1D" w14:textId="77777777" w:rsidR="00C42C17" w:rsidRPr="00E00CB0" w:rsidRDefault="00C42C17" w:rsidP="00E00CB0">
      <w:pPr>
        <w:jc w:val="both"/>
        <w:rPr>
          <w:rFonts w:ascii="Arial" w:hAnsi="Arial" w:cs="Arial"/>
        </w:rPr>
      </w:pPr>
    </w:p>
    <w:p w14:paraId="14FB2199" w14:textId="688D8AB0" w:rsidR="00E00CB0" w:rsidRDefault="00E00CB0" w:rsidP="00E00CB0">
      <w:pPr>
        <w:pStyle w:val="Heading2"/>
        <w:rPr>
          <w:lang w:eastAsia="de-DE"/>
        </w:rPr>
      </w:pPr>
      <w:bookmarkStart w:id="158" w:name="_Toc42177265"/>
      <w:r>
        <w:rPr>
          <w:lang w:eastAsia="de-DE"/>
        </w:rPr>
        <w:t>Introduction</w:t>
      </w:r>
      <w:bookmarkEnd w:id="158"/>
    </w:p>
    <w:p w14:paraId="190E61EC" w14:textId="77777777" w:rsidR="00C42C17" w:rsidRPr="00C42C17" w:rsidRDefault="00C42C17" w:rsidP="00C42C17">
      <w:pPr>
        <w:rPr>
          <w:lang w:eastAsia="de-DE"/>
        </w:rPr>
      </w:pPr>
    </w:p>
    <w:p w14:paraId="405A742D" w14:textId="07DB12D9" w:rsidR="00E00CB0" w:rsidRPr="00236EA8" w:rsidRDefault="00E00CB0" w:rsidP="00E00CB0">
      <w:pPr>
        <w:jc w:val="both"/>
        <w:rPr>
          <w:rFonts w:ascii="Arial" w:hAnsi="Arial" w:cs="Arial"/>
        </w:rPr>
      </w:pPr>
      <w:r w:rsidRPr="00236EA8">
        <w:rPr>
          <w:rFonts w:ascii="Arial" w:hAnsi="Arial" w:cs="Arial"/>
        </w:rPr>
        <w:t xml:space="preserve">The edges of the Internet are quickly changing, moving rapidly towards the consumers and becoming even more heterogeneous, not just in terms of devices (personal devices; industrial IoT devices; autonomous vehicles; low-orbit smart satellites), but also in terms of services, data sources, and data volumes. The computation of large-scale heterogeneous and distributed sets of data, and the execution of highly distributed applications, bring in additional requirements that today’s Cloud computing cannot fully serve. Specifically, while traditional </w:t>
      </w:r>
      <w:r w:rsidRPr="00236EA8">
        <w:rPr>
          <w:rFonts w:ascii="Arial" w:hAnsi="Arial" w:cs="Arial"/>
        </w:rPr>
        <w:lastRenderedPageBreak/>
        <w:t>Cloud is already supporting the use of smart devices within the context of the Internet of Things, the interconnected number of active Internet devices, most of which mobile, is expected to rise until 75 billion</w:t>
      </w:r>
      <w:r w:rsidRPr="00236EA8">
        <w:rPr>
          <w:rFonts w:ascii="Arial" w:eastAsia="Calibri" w:hAnsi="Arial" w:cs="Arial"/>
          <w:vertAlign w:val="superscript"/>
        </w:rPr>
        <w:footnoteReference w:id="2"/>
      </w:r>
      <w:r w:rsidRPr="00236EA8">
        <w:rPr>
          <w:rFonts w:ascii="Arial" w:hAnsi="Arial" w:cs="Arial"/>
        </w:rPr>
        <w:t xml:space="preserve"> in 2025. The ever-increasing computational power of these devices provides a great potential to keep part of the data processing tasks running “on the Edge of the Internet”. Gartner estimated that by 2022 more than 50% of enterprise-generated data will be created and processed outside the Cloud</w:t>
      </w:r>
      <w:r w:rsidRPr="00236EA8">
        <w:rPr>
          <w:rFonts w:ascii="Arial" w:hAnsi="Arial" w:cs="Arial"/>
          <w:vertAlign w:val="superscript"/>
        </w:rPr>
        <w:footnoteReference w:id="3"/>
      </w:r>
      <w:r w:rsidRPr="00236EA8">
        <w:rPr>
          <w:rFonts w:ascii="Arial" w:hAnsi="Arial" w:cs="Arial"/>
        </w:rPr>
        <w:t>.</w:t>
      </w:r>
    </w:p>
    <w:p w14:paraId="6927B750" w14:textId="42B3D798" w:rsidR="00E00CB0" w:rsidRPr="00236EA8" w:rsidRDefault="00E00CB0" w:rsidP="00E00CB0">
      <w:pPr>
        <w:jc w:val="both"/>
        <w:rPr>
          <w:rFonts w:ascii="Arial" w:hAnsi="Arial" w:cs="Arial"/>
        </w:rPr>
      </w:pPr>
      <w:r w:rsidRPr="00236EA8">
        <w:rPr>
          <w:rFonts w:ascii="Arial" w:hAnsi="Arial" w:cs="Arial"/>
        </w:rPr>
        <w:t xml:space="preserve">Additionally, scenarios such as Industrial IoT are bringing in larger and more complex sets of data that, if pushed to the Cloud, may lead to performance degradation, increased costs (financial, computational and in terms of resources such as memory, energy), management complexity and to other issues related to security, privacy, efficiency or reliability. The rise of IoT has also significant impact in data centers load, where it is estimated that barely a 10% of the data received is useful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w:t>
      </w:r>
    </w:p>
    <w:p w14:paraId="33B07784" w14:textId="77777777" w:rsidR="00E00CB0" w:rsidRPr="00236EA8" w:rsidRDefault="00E00CB0" w:rsidP="00E00CB0">
      <w:pPr>
        <w:jc w:val="both"/>
        <w:rPr>
          <w:rFonts w:ascii="Arial" w:hAnsi="Arial" w:cs="Arial"/>
        </w:rPr>
      </w:pPr>
      <w:r w:rsidRPr="00236EA8">
        <w:rPr>
          <w:rFonts w:ascii="Arial" w:hAnsi="Arial" w:cs="Arial"/>
        </w:rPr>
        <w:t xml:space="preserve">Adding to this aspect is the application of virtualization techniques. There is a rise in the decentralisation of Internet services, which today are being offered under multiple models, e.g., </w:t>
      </w:r>
      <w:r w:rsidRPr="00236EA8">
        <w:rPr>
          <w:rFonts w:ascii="Arial" w:hAnsi="Arial" w:cs="Arial"/>
          <w:i/>
          <w:iCs/>
        </w:rPr>
        <w:t>Software as a Service (SaaS)</w:t>
      </w:r>
      <w:r w:rsidRPr="00236EA8">
        <w:rPr>
          <w:rFonts w:ascii="Arial" w:hAnsi="Arial" w:cs="Arial"/>
        </w:rPr>
        <w:t>,</w:t>
      </w:r>
      <w:r w:rsidRPr="00236EA8">
        <w:rPr>
          <w:rFonts w:ascii="Arial" w:hAnsi="Arial" w:cs="Arial"/>
          <w:i/>
          <w:iCs/>
        </w:rPr>
        <w:t xml:space="preserve"> Container as a Service (CaaS) </w:t>
      </w:r>
      <w:r w:rsidRPr="00236EA8">
        <w:rPr>
          <w:rFonts w:ascii="Arial" w:hAnsi="Arial" w:cs="Arial"/>
        </w:rPr>
        <w:t xml:space="preserve">or </w:t>
      </w:r>
      <w:r w:rsidRPr="00236EA8">
        <w:rPr>
          <w:rFonts w:ascii="Arial" w:hAnsi="Arial" w:cs="Arial"/>
          <w:i/>
          <w:iCs/>
        </w:rPr>
        <w:t>Function as a Service (FaaS)</w:t>
      </w:r>
      <w:r w:rsidRPr="00236EA8">
        <w:rPr>
          <w:rFonts w:ascii="Arial" w:hAnsi="Arial" w:cs="Arial"/>
        </w:rPr>
        <w:t xml:space="preserve">. These flavors provide the support for decentralised applications and data centres, which in the future will be scattered across the Cloud and Edge. Note that this higher distribution and lower size will increase flexibility but it will also imply higher costs and lower efficiency, and it is estimated that Data Centres’ energy requirements will increase from current 2% to up to an 8% of worldwide electricity consumption in 2030. Moreover, Fog/Edge Computing and Mobile Edge Computing are expected to provide a highly distributed computing environment where the applications, services, or data processing are executed in the close proximity to consumers, in order to reduce latency when accessing subscribed resources. </w:t>
      </w:r>
    </w:p>
    <w:p w14:paraId="13E5DBAC" w14:textId="77777777" w:rsidR="00E00CB0" w:rsidRPr="00236EA8" w:rsidRDefault="00E00CB0" w:rsidP="00E00CB0">
      <w:pPr>
        <w:jc w:val="both"/>
        <w:rPr>
          <w:rFonts w:ascii="Arial" w:hAnsi="Arial" w:cs="Arial"/>
        </w:rPr>
      </w:pPr>
      <w:r w:rsidRPr="00236EA8">
        <w:rPr>
          <w:rFonts w:ascii="Arial" w:hAnsi="Arial" w:cs="Arial"/>
        </w:rPr>
        <w:t xml:space="preserve">With the further decentralisation of Internet services, the notion of Edge is becoming more flexible. This trend is occurring on both consumer and industrial domains. For instance, in consumer domains one can consider the case of solutions that assist the end-user in her daily routine, e.g., vertical markets of Smart Home, Smart Health, Smart Cities, etc. In this context, applications and services consider more and more aspects derived from daily roaming or even from personal habits. It is feasible to consider, for instance, that personal assistant software in smartphones can be extended to be able to interact with other (allowed) applications, as well as with other devices along cities, countries crossed by users. In such case, vehicles themselves become part of the network, and functions such as traffic offloading can occur in a way that is derived from the integration of machine learning aspects to perform, for instance, mobility anticipation. </w:t>
      </w:r>
    </w:p>
    <w:p w14:paraId="74290B5B" w14:textId="4C2D854A" w:rsidR="00E00CB0" w:rsidRPr="00236EA8" w:rsidRDefault="00E00CB0" w:rsidP="00E00CB0">
      <w:pPr>
        <w:jc w:val="both"/>
        <w:rPr>
          <w:rFonts w:ascii="Arial" w:hAnsi="Arial" w:cs="Arial"/>
        </w:rPr>
      </w:pPr>
      <w:r w:rsidRPr="00236EA8">
        <w:rPr>
          <w:rFonts w:ascii="Arial" w:hAnsi="Arial" w:cs="Arial"/>
        </w:rPr>
        <w:t xml:space="preserve">In industrial domains, Edge computing is also covering more flexible notions to reach a higher degree of automation to support decentralised computing across the Edge and the Cloud, for instance. Consequently, the underlying networks will have to deal with a huge amount of data and service component from the Edge generated by users, machines and sensors. Cisco estimates that 850 ZB of data are expected to be generated at the Edge by 2021 </w:t>
      </w:r>
      <w:r w:rsidR="00DA6395" w:rsidRPr="00DA6395">
        <w:rPr>
          <w:rFonts w:ascii="Arial" w:hAnsi="Arial" w:cs="Arial"/>
        </w:rPr>
        <w:t>[C5-1]</w:t>
      </w:r>
      <w:r w:rsidRPr="00236EA8">
        <w:rPr>
          <w:rFonts w:ascii="Arial" w:hAnsi="Arial" w:cs="Arial"/>
        </w:rPr>
        <w:t xml:space="preserve">The management of this data, based on traditional, centralized Cloud approaches, will create problems and increase costs and energy consumption </w:t>
      </w:r>
      <w:r w:rsidR="00DA6395" w:rsidRPr="00DA6395">
        <w:rPr>
          <w:rFonts w:ascii="Arial" w:hAnsi="Arial" w:cs="Arial"/>
        </w:rPr>
        <w:t>[C</w:t>
      </w:r>
      <w:r w:rsidR="00DA6395">
        <w:rPr>
          <w:rFonts w:ascii="Arial" w:hAnsi="Arial" w:cs="Arial"/>
        </w:rPr>
        <w:t>5-2</w:t>
      </w:r>
      <w:r w:rsidR="00DA6395" w:rsidRPr="00DA6395">
        <w:rPr>
          <w:rFonts w:ascii="Arial" w:hAnsi="Arial" w:cs="Arial"/>
        </w:rPr>
        <w:t>]</w:t>
      </w:r>
      <w:r w:rsidR="00DA6395">
        <w:rPr>
          <w:rFonts w:ascii="Arial" w:hAnsi="Arial" w:cs="Arial"/>
        </w:rPr>
        <w:t xml:space="preserve">. </w:t>
      </w:r>
      <w:r w:rsidRPr="00236EA8">
        <w:rPr>
          <w:rFonts w:ascii="Arial" w:hAnsi="Arial" w:cs="Arial"/>
        </w:rPr>
        <w:t xml:space="preserve">In fact, moving and processing all the data will require massive and highly performing infrastructures, e.g., high speed connections, or large data centres for storage and computation. </w:t>
      </w:r>
    </w:p>
    <w:p w14:paraId="65A592E6" w14:textId="76AF0B65" w:rsidR="00E00CB0" w:rsidRPr="00236EA8" w:rsidRDefault="00E00CB0" w:rsidP="00E00CB0">
      <w:pPr>
        <w:jc w:val="both"/>
        <w:rPr>
          <w:rFonts w:ascii="Arial" w:hAnsi="Arial" w:cs="Arial"/>
        </w:rPr>
      </w:pPr>
      <w:r w:rsidRPr="00236EA8">
        <w:rPr>
          <w:rFonts w:ascii="Arial" w:hAnsi="Arial" w:cs="Arial"/>
        </w:rPr>
        <w:lastRenderedPageBreak/>
        <w:t xml:space="preserve">The booming of AI services, and of decentralised AI services, will further exacerbate the problem. With the recent advances in hardware that allow to run deep neural networks, deep learning-based solutions are expected to be massively adopted in many services, e.g., to enrich people’s lifestyle awareness, to improve human productivity or to enhance social efficiency, among others. However, training a single complex AI model may lead to an equivalent carbon footprint of 284 tonnes, i.e., five times the lifetime emissions of an average car </w:t>
      </w:r>
      <w:r w:rsidR="00DA6395" w:rsidRPr="00DA6395">
        <w:rPr>
          <w:rFonts w:ascii="Arial" w:hAnsi="Arial" w:cs="Arial"/>
        </w:rPr>
        <w:t>[C</w:t>
      </w:r>
      <w:r w:rsidR="00DA6395">
        <w:rPr>
          <w:rFonts w:ascii="Arial" w:hAnsi="Arial" w:cs="Arial"/>
        </w:rPr>
        <w:t>5-3</w:t>
      </w:r>
      <w:r w:rsidR="00DA6395" w:rsidRPr="00DA6395">
        <w:rPr>
          <w:rFonts w:ascii="Arial" w:hAnsi="Arial" w:cs="Arial"/>
        </w:rPr>
        <w:t>]</w:t>
      </w:r>
      <w:r w:rsidRPr="00236EA8">
        <w:rPr>
          <w:rFonts w:ascii="Arial" w:hAnsi="Arial" w:cs="Arial"/>
        </w:rPr>
        <w:t>. Therefore, it will be important to concentrate the effort of both industry and academia to promote research and development of more computationally efficient algorithms. In this context, there are two main aspects to consider within the umbrella known as “</w:t>
      </w:r>
      <w:r w:rsidRPr="00236EA8">
        <w:rPr>
          <w:rFonts w:ascii="Arial" w:hAnsi="Arial" w:cs="Arial"/>
          <w:i/>
          <w:iCs/>
        </w:rPr>
        <w:t>Edge AI</w:t>
      </w:r>
      <w:r w:rsidRPr="00236EA8">
        <w:rPr>
          <w:rFonts w:ascii="Arial" w:hAnsi="Arial" w:cs="Arial"/>
        </w:rPr>
        <w:t>” or “</w:t>
      </w:r>
      <w:r w:rsidRPr="00236EA8">
        <w:rPr>
          <w:rFonts w:ascii="Arial" w:hAnsi="Arial" w:cs="Arial"/>
          <w:i/>
          <w:iCs/>
        </w:rPr>
        <w:t>Edge Intelligence</w:t>
      </w:r>
      <w:r w:rsidRPr="00236EA8">
        <w:rPr>
          <w:rFonts w:ascii="Arial" w:hAnsi="Arial" w:cs="Arial"/>
        </w:rPr>
        <w:t xml:space="preserve">” </w:t>
      </w:r>
      <w:r w:rsidR="00DA6395" w:rsidRPr="00DA6395">
        <w:rPr>
          <w:rFonts w:ascii="Arial" w:hAnsi="Arial" w:cs="Arial"/>
        </w:rPr>
        <w:t>[C</w:t>
      </w:r>
      <w:r w:rsidR="00DA6395">
        <w:rPr>
          <w:rFonts w:ascii="Arial" w:hAnsi="Arial" w:cs="Arial"/>
        </w:rPr>
        <w:t>5-4</w:t>
      </w:r>
      <w:r w:rsidR="00DA6395" w:rsidRPr="00DA6395">
        <w:rPr>
          <w:rFonts w:ascii="Arial" w:hAnsi="Arial" w:cs="Arial"/>
        </w:rPr>
        <w:t>]</w:t>
      </w:r>
      <w:r w:rsidRPr="00236EA8">
        <w:rPr>
          <w:rFonts w:ascii="Arial" w:hAnsi="Arial" w:cs="Arial"/>
        </w:rPr>
        <w:t>: i) AI for the Edge; ii) AI on the Edge. The physical proximity of such huge amount of data jointly with the availability of computing resources in the Edge, fosters the idea that AI will be possibly executed, mostly, directly in the Edge.</w:t>
      </w:r>
    </w:p>
    <w:p w14:paraId="1C0170AD" w14:textId="77777777" w:rsidR="00E00CB0" w:rsidRPr="00236EA8" w:rsidRDefault="00E00CB0" w:rsidP="00E00CB0">
      <w:pPr>
        <w:jc w:val="both"/>
        <w:rPr>
          <w:rFonts w:ascii="Arial" w:hAnsi="Arial" w:cs="Arial"/>
        </w:rPr>
      </w:pPr>
      <w:r w:rsidRPr="00236EA8">
        <w:rPr>
          <w:rFonts w:ascii="Arial" w:hAnsi="Arial" w:cs="Arial"/>
        </w:rPr>
        <w:t>On the one hand, AI for the Edge concerns solutions for the optimization problems in Edge computing, recurring to effective AI methods. The power of AI can be used, also, for solving the resource optimization problems of Edge computing and of networking management in general.</w:t>
      </w:r>
    </w:p>
    <w:p w14:paraId="7E4C5EA2" w14:textId="7F142C25" w:rsidR="00E00CB0" w:rsidRPr="00236EA8" w:rsidRDefault="00E00CB0" w:rsidP="00E00CB0">
      <w:pPr>
        <w:jc w:val="both"/>
        <w:rPr>
          <w:rFonts w:ascii="Arial" w:hAnsi="Arial" w:cs="Arial"/>
        </w:rPr>
      </w:pPr>
      <w:r w:rsidRPr="00236EA8">
        <w:rPr>
          <w:rFonts w:ascii="Arial" w:hAnsi="Arial" w:cs="Arial"/>
        </w:rPr>
        <w:t xml:space="preserve">On the other hand, AI on the Edge concerns the use of AI algorithms on Edge services, as it is the case with the widely and increasingly popular federated learning </w:t>
      </w:r>
      <w:r w:rsidR="00DA6395" w:rsidRPr="00DA6395">
        <w:rPr>
          <w:rFonts w:ascii="Arial" w:hAnsi="Arial" w:cs="Arial"/>
        </w:rPr>
        <w:t>[C</w:t>
      </w:r>
      <w:r w:rsidR="00DA6395">
        <w:rPr>
          <w:rFonts w:ascii="Arial" w:hAnsi="Arial" w:cs="Arial"/>
        </w:rPr>
        <w:t>5-5</w:t>
      </w:r>
      <w:r w:rsidR="00DA6395" w:rsidRPr="00DA6395">
        <w:rPr>
          <w:rFonts w:ascii="Arial" w:hAnsi="Arial" w:cs="Arial"/>
        </w:rPr>
        <w:t>]</w:t>
      </w:r>
      <w:r w:rsidRPr="00236EA8">
        <w:rPr>
          <w:rFonts w:ascii="Arial" w:hAnsi="Arial" w:cs="Arial"/>
        </w:rPr>
        <w:t>. Of relevance here is the fact that Edge AI needs to consider how to run AI models on constrained devices and how to integrate synergies from end-user/field-devices up to the Cloud. These and other solutions for performing distributed model training on the Edge should be further studied to evaluate their pros and cons for different service and network requirements. Examples are Knowledge Transfer Learning, Gradient Compression, DNN Splitting, and Gossip Training. Similarly, for behaviour inference, there are today several solutions available in related literature; however, it is not yet clear how to apply such solutions from an Edge computing ecosystem perspective. Specifically, which might be their application according to specific service requirements (which are usually constrained, for instance, by hardware and by network requirements, such as mobility management).</w:t>
      </w:r>
    </w:p>
    <w:p w14:paraId="52D7591F" w14:textId="77777777" w:rsidR="00E00CB0" w:rsidRPr="00236EA8" w:rsidRDefault="00E00CB0" w:rsidP="00E00CB0">
      <w:pPr>
        <w:jc w:val="both"/>
        <w:rPr>
          <w:rFonts w:ascii="Arial" w:hAnsi="Arial" w:cs="Arial"/>
        </w:rPr>
      </w:pPr>
      <w:r w:rsidRPr="00236EA8">
        <w:rPr>
          <w:rFonts w:ascii="Arial" w:hAnsi="Arial" w:cs="Arial"/>
        </w:rPr>
        <w:t>The capability to assist in performing more complex validation, storing, and forwarding, in a way that complements the Cloud operations, implies also that an evolutionary step has to be taken in regards to the infrastructure technology that supports the Edge-Cloud computing continuum. In this context, container solutions, such as Docker</w:t>
      </w:r>
      <w:r w:rsidRPr="00236EA8">
        <w:rPr>
          <w:rFonts w:ascii="Arial" w:hAnsi="Arial" w:cs="Arial"/>
          <w:vertAlign w:val="superscript"/>
        </w:rPr>
        <w:footnoteReference w:id="4"/>
      </w:r>
      <w:r w:rsidRPr="00236EA8">
        <w:rPr>
          <w:rFonts w:ascii="Arial" w:hAnsi="Arial" w:cs="Arial"/>
        </w:rPr>
        <w:t xml:space="preserve"> and the orchestration counterpart, e.g., Kubernetes</w:t>
      </w:r>
      <w:r w:rsidRPr="00236EA8">
        <w:rPr>
          <w:rFonts w:ascii="Arial" w:hAnsi="Arial" w:cs="Arial"/>
          <w:vertAlign w:val="superscript"/>
        </w:rPr>
        <w:footnoteReference w:id="5"/>
      </w:r>
      <w:r w:rsidRPr="00236EA8">
        <w:rPr>
          <w:rFonts w:ascii="Arial" w:hAnsi="Arial" w:cs="Arial"/>
        </w:rPr>
        <w:t>, bring in relevant advantages in regards to computation isolation and portability. Containers run on top of physical or virtual devices sharing the host kernel, thus leading to what is also known as “OS-level virtualization”. In comparison to VMs, containers provide a lightweight and agile solution to hold the Edge workload. The containerized Edge is already here, in particular considering applications such as distributed AI analytics platforms, IoT edge solutions, augmented reality.</w:t>
      </w:r>
      <w:r w:rsidRPr="00236EA8" w:rsidDel="00F810DB">
        <w:rPr>
          <w:rFonts w:ascii="Arial" w:hAnsi="Arial" w:cs="Arial"/>
        </w:rPr>
        <w:t xml:space="preserve"> </w:t>
      </w:r>
    </w:p>
    <w:p w14:paraId="2A82E63C" w14:textId="77777777" w:rsidR="00E00CB0" w:rsidRPr="00236EA8" w:rsidRDefault="00E00CB0" w:rsidP="00E00CB0">
      <w:pPr>
        <w:jc w:val="both"/>
        <w:rPr>
          <w:rFonts w:ascii="Arial" w:hAnsi="Arial" w:cs="Arial"/>
        </w:rPr>
      </w:pPr>
      <w:r w:rsidRPr="00236EA8">
        <w:rPr>
          <w:rFonts w:ascii="Arial" w:hAnsi="Arial" w:cs="Arial"/>
        </w:rPr>
        <w:t xml:space="preserve">There are, however, aspects that still need to be researched. A major gap in this context concerns an automated management of different clusters of containers across the Cloud and the Edge, i.e., to further enhance the management of CaaS solutions. Here, aspects such as the integration of AI to improve the degree of automation should be considered. Another gap concerns the need to further research the feasibility of deploying containers in embedded devices. For this case, there is the need to address both the container technology as well as the management of containers assuming constrained devices and mobility of devices. A third </w:t>
      </w:r>
      <w:r w:rsidRPr="00236EA8">
        <w:rPr>
          <w:rFonts w:ascii="Arial" w:hAnsi="Arial" w:cs="Arial"/>
        </w:rPr>
        <w:lastRenderedPageBreak/>
        <w:t>gap to address in this aspect concerns a secure design for the containerized Edge, not just in terms of data privacy, but also in terms of channel security.</w:t>
      </w:r>
    </w:p>
    <w:p w14:paraId="7AC75BD1" w14:textId="77777777" w:rsidR="00E00CB0" w:rsidRDefault="00E00CB0" w:rsidP="00124439">
      <w:pPr>
        <w:numPr>
          <w:ilvl w:val="0"/>
          <w:numId w:val="33"/>
        </w:numPr>
        <w:contextualSpacing/>
        <w:jc w:val="both"/>
        <w:rPr>
          <w:rFonts w:ascii="Arial" w:hAnsi="Arial" w:cs="Arial"/>
        </w:rPr>
      </w:pPr>
      <w:r w:rsidRPr="00236EA8">
        <w:rPr>
          <w:rFonts w:ascii="Arial" w:hAnsi="Arial" w:cs="Arial"/>
        </w:rPr>
        <w:t>Summarising, Edge Computing is essential to handle the high volumes of complex data being currently produced at the Edge, derived from IoT industrial and consumer environments, and which are today essential to provide adequate estimations of the different aspects of services and network operation. By keeping the data and its processing whenever feasible closer to the data sources, Edge Computing provides several benefits: lower computational, energy and memory requirements, as well as l</w:t>
      </w:r>
      <w:r w:rsidRPr="00236EA8">
        <w:rPr>
          <w:rFonts w:ascii="Arial" w:eastAsia="Calibri" w:hAnsi="Arial" w:cs="Arial"/>
        </w:rPr>
        <w:t>ower latency and improved security, derived from measures of proximity to data sources</w:t>
      </w:r>
      <w:r w:rsidRPr="00236EA8">
        <w:rPr>
          <w:rFonts w:ascii="Arial" w:hAnsi="Arial" w:cs="Arial"/>
        </w:rPr>
        <w:t>. It is envisioned that the data processing can be provided based on decentralised AI platforms that rely on resource-constrained hardware.</w:t>
      </w:r>
    </w:p>
    <w:p w14:paraId="4D1A60D4" w14:textId="77777777" w:rsidR="00E00CB0" w:rsidRPr="00236EA8" w:rsidRDefault="00E00CB0" w:rsidP="00E00CB0">
      <w:pPr>
        <w:contextualSpacing/>
        <w:jc w:val="both"/>
        <w:rPr>
          <w:rFonts w:ascii="Arial" w:hAnsi="Arial" w:cs="Arial"/>
        </w:rPr>
      </w:pPr>
    </w:p>
    <w:p w14:paraId="08018142" w14:textId="00FCC310" w:rsidR="00E00CB0" w:rsidRDefault="00E00CB0" w:rsidP="00E00CB0">
      <w:pPr>
        <w:pStyle w:val="Heading2"/>
        <w:rPr>
          <w:lang w:eastAsia="de-DE"/>
        </w:rPr>
      </w:pPr>
      <w:bookmarkStart w:id="159" w:name="_Toc40773105"/>
      <w:bookmarkStart w:id="160" w:name="_Toc40777647"/>
      <w:bookmarkStart w:id="161" w:name="_Toc40784080"/>
      <w:bookmarkStart w:id="162" w:name="_Toc40792917"/>
      <w:bookmarkStart w:id="163" w:name="_Toc41304024"/>
      <w:bookmarkStart w:id="164" w:name="_Toc41304510"/>
      <w:bookmarkStart w:id="165" w:name="_Toc41304699"/>
      <w:bookmarkStart w:id="166" w:name="_Toc41304888"/>
      <w:bookmarkStart w:id="167" w:name="_Toc39071525"/>
      <w:bookmarkStart w:id="168" w:name="_Toc37177697"/>
      <w:bookmarkStart w:id="169" w:name="_Toc42177266"/>
      <w:bookmarkEnd w:id="159"/>
      <w:bookmarkEnd w:id="160"/>
      <w:bookmarkEnd w:id="161"/>
      <w:bookmarkEnd w:id="162"/>
      <w:bookmarkEnd w:id="163"/>
      <w:bookmarkEnd w:id="164"/>
      <w:bookmarkEnd w:id="165"/>
      <w:bookmarkEnd w:id="166"/>
      <w:r w:rsidRPr="00236EA8">
        <w:rPr>
          <w:lang w:eastAsia="de-DE"/>
        </w:rPr>
        <w:t>ETSI MEC evolution</w:t>
      </w:r>
      <w:bookmarkEnd w:id="167"/>
      <w:bookmarkEnd w:id="168"/>
      <w:bookmarkEnd w:id="169"/>
    </w:p>
    <w:p w14:paraId="7BD3F36F" w14:textId="77777777" w:rsidR="00C42C17" w:rsidRPr="00C42C17" w:rsidRDefault="00C42C17" w:rsidP="00C42C17">
      <w:pPr>
        <w:rPr>
          <w:lang w:eastAsia="de-DE"/>
        </w:rPr>
      </w:pPr>
    </w:p>
    <w:p w14:paraId="3CC86518" w14:textId="77777777" w:rsidR="00E00CB0" w:rsidRPr="00236EA8" w:rsidRDefault="00E00CB0" w:rsidP="00E00CB0">
      <w:pPr>
        <w:jc w:val="both"/>
        <w:rPr>
          <w:rFonts w:ascii="Arial" w:hAnsi="Arial" w:cs="Arial"/>
          <w:lang w:val="en-US"/>
        </w:rPr>
      </w:pPr>
      <w:r w:rsidRPr="00236EA8">
        <w:rPr>
          <w:rFonts w:ascii="Arial" w:hAnsi="Arial" w:cs="Arial"/>
          <w:lang w:val="en-US"/>
        </w:rPr>
        <w:t>ETSI MEC is the leading effort for the standardization of edge computing at a European level, with more than 100 members participating in the industry study group. ETSI MEC specifications are currently in a mature state, with release 2 having been recently published, and they include a reference architecture and a set of application-agnostic and vendor-neutral interfaces. The latter have been defined with a modern approach, following a REST paradigm and adhering to the OpenAPI specifications (https://www.openapis.org), which makes it possible to automatize code development and interoperability testing. Initially intended for mobile broadband systems only, the ETSI MEC is now multi-access and it also supports fixed access, WLANs, and IoT gateways.</w:t>
      </w:r>
    </w:p>
    <w:p w14:paraId="6EDB1252" w14:textId="1A40FC8C" w:rsidR="00E00CB0" w:rsidRPr="00236EA8" w:rsidRDefault="00E00CB0" w:rsidP="00E00CB0">
      <w:pPr>
        <w:jc w:val="both"/>
        <w:rPr>
          <w:rFonts w:ascii="Arial" w:hAnsi="Arial" w:cs="Arial"/>
          <w:lang w:val="en-US"/>
        </w:rPr>
      </w:pPr>
      <w:r w:rsidRPr="00236EA8">
        <w:rPr>
          <w:rFonts w:ascii="Arial" w:hAnsi="Arial" w:cs="Arial"/>
          <w:lang w:val="en-US"/>
        </w:rPr>
        <w:t>It is expected that ETSI MEC will evolve in two orthogonal directions: internally, by increasing the number of MEC services supported (a MEC service is offered from the telco operator to the third-party applications hosted on edge nodes) and fostering a collaborative environment for the adoption of the standard (via hackathons, testing suites, open source emulators, etc.); and, externally by influencing the design and realization of edge computing solutions through liaisons and joint activities. The latter is considered of particular relevance, because the edge technologies today are highly fragmented, and it is unlikely that the telco industry will converge towards a single solution universally adopted. Noteworthy examples of open source frameworks with relationship with ETSI MEC are OpenNESS (https://www.openness.org) and Akraino Edge Stack (</w:t>
      </w:r>
      <w:hyperlink r:id="rId27" w:history="1">
        <w:r w:rsidRPr="00236EA8">
          <w:rPr>
            <w:rFonts w:ascii="Arial" w:hAnsi="Arial" w:cs="Arial"/>
            <w:lang w:val="en-US"/>
          </w:rPr>
          <w:t>https://www.lfedge.org/projects/akraino</w:t>
        </w:r>
      </w:hyperlink>
      <w:r w:rsidRPr="00236EA8">
        <w:rPr>
          <w:rFonts w:ascii="Arial" w:hAnsi="Arial" w:cs="Arial"/>
          <w:lang w:val="en-US"/>
        </w:rPr>
        <w:t>), which are toolkits for the deployment of cloud services on edge premises.</w:t>
      </w:r>
    </w:p>
    <w:p w14:paraId="655AD45D" w14:textId="0D921918" w:rsidR="00E00CB0" w:rsidRDefault="00E00CB0" w:rsidP="00E00CB0">
      <w:pPr>
        <w:jc w:val="both"/>
        <w:rPr>
          <w:rFonts w:ascii="Arial" w:hAnsi="Arial" w:cs="Arial"/>
          <w:lang w:val="en-US"/>
        </w:rPr>
      </w:pPr>
      <w:r w:rsidRPr="00236EA8">
        <w:rPr>
          <w:rFonts w:ascii="Arial" w:hAnsi="Arial" w:cs="Arial"/>
          <w:lang w:val="en-US"/>
        </w:rPr>
        <w:t xml:space="preserve">Moreover, the evolution of ETSI MEC is tightly bound to advancements in other communication standards. The 3GPP 5G specifications introduced a Service-Based Architecture (SBA)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2</w:t>
      </w:r>
      <w:r w:rsidR="00DA6395" w:rsidRPr="00DA6395">
        <w:rPr>
          <w:rFonts w:ascii="Arial" w:hAnsi="Arial" w:cs="Arial"/>
        </w:rPr>
        <w:t>]</w:t>
      </w:r>
      <w:r w:rsidR="00DA6395">
        <w:rPr>
          <w:rFonts w:ascii="Arial" w:hAnsi="Arial" w:cs="Arial"/>
        </w:rPr>
        <w:t xml:space="preserve"> </w:t>
      </w:r>
      <w:r w:rsidRPr="00236EA8">
        <w:rPr>
          <w:rFonts w:ascii="Arial" w:hAnsi="Arial" w:cs="Arial"/>
          <w:lang w:val="en-US"/>
        </w:rPr>
        <w:t xml:space="preserve">which supports flexible procedures to offer and consume services, both third-party applications and network functions. As far as the latter are concerned, i.e., network functions, the transition of MNOs to Virtualized Network Functions (VNFs) is in a mature phase, and it is covered by dedicated standardization efforts, championed in Europe by ETSI NFV. Within ETSI MEC there are ongoing studies on the integration with both the 5G SBA (GR MEC 031) and ETSI NFV (GR MEC 017), hence we can expect in the next years a full convergence towards a modern architecture for both core and edge networks, relying on technologies that are already widely adopted in cloud and service infrastructures, e.g., from the Cloud Native Computing Foundation (https://www.cnfc.io/). Realizing this vision will require concerted efforts at R&amp;D level in several areas, especially to support use cases with a very high economic impact but specific requirements, such as IoT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3</w:t>
      </w:r>
      <w:r w:rsidR="00DA6395" w:rsidRPr="00DA6395">
        <w:rPr>
          <w:rFonts w:ascii="Arial" w:hAnsi="Arial" w:cs="Arial"/>
        </w:rPr>
        <w:t>]</w:t>
      </w:r>
      <w:r w:rsidR="00DA6395">
        <w:rPr>
          <w:rFonts w:ascii="Arial" w:hAnsi="Arial" w:cs="Arial"/>
        </w:rPr>
        <w:t xml:space="preserve"> </w:t>
      </w:r>
      <w:r w:rsidRPr="00236EA8">
        <w:rPr>
          <w:rFonts w:ascii="Arial" w:hAnsi="Arial" w:cs="Arial"/>
          <w:lang w:val="en-US"/>
        </w:rPr>
        <w:t xml:space="preserve">or connected </w:t>
      </w:r>
      <w:r w:rsidRPr="00236EA8">
        <w:rPr>
          <w:rFonts w:ascii="Arial" w:hAnsi="Arial" w:cs="Arial"/>
          <w:lang w:val="en-US"/>
        </w:rPr>
        <w:lastRenderedPageBreak/>
        <w:t xml:space="preserve">vehicle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4</w:t>
      </w:r>
      <w:r w:rsidR="00DA6395" w:rsidRPr="00DA6395">
        <w:rPr>
          <w:rFonts w:ascii="Arial" w:hAnsi="Arial" w:cs="Arial"/>
        </w:rPr>
        <w:t>]</w:t>
      </w:r>
      <w:r w:rsidRPr="00236EA8">
        <w:rPr>
          <w:rFonts w:ascii="Arial" w:hAnsi="Arial" w:cs="Arial"/>
          <w:lang w:val="en-US"/>
        </w:rPr>
        <w:t xml:space="preserve"> applications, and to facilitate a seamless integration with other emerging technology trends, such as network slicing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5</w:t>
      </w:r>
      <w:r w:rsidR="00DA6395" w:rsidRPr="00DA6395">
        <w:rPr>
          <w:rFonts w:ascii="Arial" w:hAnsi="Arial" w:cs="Arial"/>
        </w:rPr>
        <w:t>]</w:t>
      </w:r>
      <w:r w:rsidRPr="00236EA8">
        <w:rPr>
          <w:rFonts w:ascii="Arial" w:hAnsi="Arial" w:cs="Arial"/>
          <w:lang w:val="en-US"/>
        </w:rPr>
        <w:t xml:space="preserve"> containerization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6</w:t>
      </w:r>
      <w:r w:rsidR="00DA6395" w:rsidRPr="00DA6395">
        <w:rPr>
          <w:rFonts w:ascii="Arial" w:hAnsi="Arial" w:cs="Arial"/>
        </w:rPr>
        <w:t>]</w:t>
      </w:r>
      <w:r w:rsidRPr="00236EA8">
        <w:rPr>
          <w:rFonts w:ascii="Arial" w:hAnsi="Arial" w:cs="Arial"/>
          <w:lang w:val="en-US"/>
        </w:rPr>
        <w:t xml:space="preserve"> and serverless computing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7</w:t>
      </w:r>
      <w:r w:rsidR="00DA6395" w:rsidRPr="00DA6395">
        <w:rPr>
          <w:rFonts w:ascii="Arial" w:hAnsi="Arial" w:cs="Arial"/>
        </w:rPr>
        <w:t>]</w:t>
      </w:r>
      <w:r w:rsidRPr="00236EA8">
        <w:rPr>
          <w:rFonts w:ascii="Arial" w:hAnsi="Arial" w:cs="Arial"/>
          <w:lang w:val="en-US"/>
        </w:rPr>
        <w:t xml:space="preserve">. Overall, an open European approach, founded on an open and collaborative ecosystem, can provide a realistic opportunity to compete with commercial offers for edge computing from US OTT players, e.g., Microsoft Azure Edge Zone or Amazon AWS Wavelength. </w:t>
      </w:r>
    </w:p>
    <w:p w14:paraId="6891E84C" w14:textId="77777777" w:rsidR="00E00CB0" w:rsidRPr="00236EA8" w:rsidRDefault="00E00CB0" w:rsidP="00E00CB0">
      <w:pPr>
        <w:jc w:val="both"/>
        <w:rPr>
          <w:rFonts w:ascii="Arial" w:hAnsi="Arial" w:cs="Arial"/>
          <w:lang w:val="en-US"/>
        </w:rPr>
      </w:pPr>
    </w:p>
    <w:p w14:paraId="408996C2" w14:textId="77777777" w:rsidR="00E00CB0" w:rsidRPr="00236EA8"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val="en-US" w:eastAsia="de-DE"/>
        </w:rPr>
      </w:pPr>
      <w:bookmarkStart w:id="170" w:name="_Toc42177267"/>
      <w:bookmarkStart w:id="171" w:name="_Toc39071526"/>
      <w:bookmarkStart w:id="172" w:name="_Toc37177698"/>
      <w:r w:rsidRPr="00236EA8">
        <w:rPr>
          <w:rFonts w:ascii="Arial" w:eastAsiaTheme="majorEastAsia" w:hAnsi="Arial" w:cs="Arial"/>
          <w:b/>
          <w:sz w:val="26"/>
          <w:szCs w:val="26"/>
          <w:lang w:eastAsia="de-DE"/>
        </w:rPr>
        <w:t>Activities</w:t>
      </w:r>
      <w:r w:rsidRPr="00236EA8">
        <w:rPr>
          <w:rFonts w:ascii="Arial" w:eastAsiaTheme="majorEastAsia" w:hAnsi="Arial" w:cs="Arial"/>
          <w:b/>
          <w:sz w:val="26"/>
          <w:szCs w:val="26"/>
          <w:lang w:val="en-US" w:eastAsia="de-DE"/>
        </w:rPr>
        <w:t xml:space="preserve"> on MEC in other Standardization Bodies</w:t>
      </w:r>
      <w:bookmarkEnd w:id="170"/>
    </w:p>
    <w:p w14:paraId="79696092" w14:textId="77777777" w:rsidR="00E00CB0" w:rsidRPr="00236EA8" w:rsidRDefault="00E00CB0" w:rsidP="00E00CB0">
      <w:pPr>
        <w:jc w:val="both"/>
        <w:rPr>
          <w:rFonts w:ascii="Arial" w:hAnsi="Arial" w:cs="Arial"/>
          <w:lang w:val="en-US" w:eastAsia="de-DE"/>
        </w:rPr>
      </w:pPr>
    </w:p>
    <w:p w14:paraId="5AAAC7E9" w14:textId="77777777" w:rsidR="00E00CB0" w:rsidRPr="00236EA8" w:rsidRDefault="00E00CB0" w:rsidP="00E00CB0">
      <w:pPr>
        <w:jc w:val="both"/>
        <w:rPr>
          <w:rFonts w:ascii="Arial" w:hAnsi="Arial" w:cs="Arial"/>
          <w:lang w:val="en-US" w:eastAsia="de-DE"/>
        </w:rPr>
      </w:pPr>
      <w:r w:rsidRPr="00236EA8">
        <w:rPr>
          <w:rFonts w:ascii="Arial" w:hAnsi="Arial" w:cs="Arial"/>
          <w:lang w:val="en-US" w:eastAsia="de-DE"/>
        </w:rPr>
        <w:t>Several other standardization bodies and fora are addressing the ecolution of Edge Computing. A list of said standardization bodies and fora include:</w:t>
      </w:r>
    </w:p>
    <w:p w14:paraId="64C40DAF"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ETSI ISG MEC</w:t>
      </w:r>
    </w:p>
    <w:p w14:paraId="504DDCD2"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IIC (OpenFog)</w:t>
      </w:r>
    </w:p>
    <w:p w14:paraId="561D53DB"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ONF CORD</w:t>
      </w:r>
    </w:p>
    <w:p w14:paraId="3E26E428"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Telecom Infra Project — WGs on Edge Computing</w:t>
      </w:r>
    </w:p>
    <w:p w14:paraId="750BA613"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Linux Foundation Edge (Akraino, EdgeX Foundry)</w:t>
      </w:r>
    </w:p>
    <w:p w14:paraId="5AEF150C"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Open Edge Computing</w:t>
      </w:r>
    </w:p>
    <w:p w14:paraId="210747CD" w14:textId="77777777" w:rsidR="00E00CB0" w:rsidRPr="00236EA8" w:rsidRDefault="00E00CB0" w:rsidP="00124439">
      <w:pPr>
        <w:numPr>
          <w:ilvl w:val="0"/>
          <w:numId w:val="64"/>
        </w:numPr>
        <w:contextualSpacing/>
        <w:jc w:val="both"/>
        <w:rPr>
          <w:rFonts w:ascii="Arial" w:hAnsi="Arial" w:cs="Arial"/>
          <w:lang w:val="en-US" w:eastAsia="de-DE"/>
        </w:rPr>
      </w:pPr>
      <w:r w:rsidRPr="00236EA8">
        <w:rPr>
          <w:rFonts w:ascii="Arial" w:hAnsi="Arial" w:cs="Arial"/>
          <w:lang w:val="en-US" w:eastAsia="de-DE"/>
        </w:rPr>
        <w:t>MobiledgeX</w:t>
      </w:r>
    </w:p>
    <w:p w14:paraId="2F5A402A" w14:textId="77777777" w:rsidR="00E00CB0" w:rsidRPr="00236EA8" w:rsidRDefault="00E00CB0" w:rsidP="00E00CB0">
      <w:pPr>
        <w:ind w:left="1080"/>
        <w:contextualSpacing/>
        <w:jc w:val="both"/>
        <w:rPr>
          <w:rFonts w:ascii="Arial" w:hAnsi="Arial" w:cs="Arial"/>
          <w:lang w:val="en-US" w:eastAsia="de-DE"/>
        </w:rPr>
      </w:pPr>
    </w:p>
    <w:p w14:paraId="345C6A0B" w14:textId="77777777" w:rsidR="00E00CB0" w:rsidRPr="00236EA8" w:rsidRDefault="00E00CB0" w:rsidP="00E00CB0">
      <w:pPr>
        <w:jc w:val="both"/>
        <w:rPr>
          <w:rFonts w:ascii="Arial" w:hAnsi="Arial" w:cs="Arial"/>
        </w:rPr>
      </w:pPr>
      <w:r w:rsidRPr="00236EA8">
        <w:rPr>
          <w:rFonts w:ascii="Arial" w:hAnsi="Arial" w:cs="Arial"/>
        </w:rPr>
        <w:t xml:space="preserve">Overall, it appears that all these initiatives are approaching Edge Computing from different points of view and do not fully overlap, but in most cases, are complementary. There might also be overlap due to domain specific rather than competitive or supplementary nature of these activities. We recognize the different activities in </w:t>
      </w:r>
      <w:r w:rsidRPr="00236EA8">
        <w:rPr>
          <w:rFonts w:ascii="Arial" w:hAnsi="Arial" w:cs="Arial"/>
          <w:lang w:val="en-US"/>
        </w:rPr>
        <w:t>Edge Computing</w:t>
      </w:r>
      <w:r w:rsidRPr="00236EA8">
        <w:rPr>
          <w:rFonts w:ascii="Arial" w:hAnsi="Arial" w:cs="Arial"/>
        </w:rPr>
        <w:t xml:space="preserve"> domain but these are specific to certain use cases for domains within an industry which will allow </w:t>
      </w:r>
      <w:r w:rsidRPr="00236EA8">
        <w:rPr>
          <w:rFonts w:ascii="Arial" w:hAnsi="Arial" w:cs="Arial"/>
          <w:lang w:val="en-US"/>
        </w:rPr>
        <w:t>Edge Computing</w:t>
      </w:r>
      <w:r w:rsidRPr="00236EA8">
        <w:rPr>
          <w:rFonts w:ascii="Arial" w:hAnsi="Arial" w:cs="Arial"/>
        </w:rPr>
        <w:t xml:space="preserve"> to be an alternative to the old cloud computing model.</w:t>
      </w:r>
    </w:p>
    <w:p w14:paraId="585CF938" w14:textId="77777777" w:rsidR="00E00CB0" w:rsidRPr="00236EA8" w:rsidRDefault="00E00CB0" w:rsidP="00E00CB0">
      <w:pPr>
        <w:jc w:val="both"/>
        <w:rPr>
          <w:rFonts w:ascii="Arial" w:hAnsi="Arial" w:cs="Arial"/>
        </w:rPr>
      </w:pPr>
      <w:r w:rsidRPr="00236EA8">
        <w:rPr>
          <w:rFonts w:ascii="Arial" w:hAnsi="Arial" w:cs="Arial"/>
        </w:rPr>
        <w:t xml:space="preserve">Global interoperability appears to be a “must” for enabling new services ecosystems, and this means that Industry needs to align on open and common APIs capable to ease Service and Apps Developers: in fact, this is crucial to promotes innovation and accelerate development by Third Parties applications and services, capable of enabling Network and Service Providers to capitalize on their investments on Edge Computing. </w:t>
      </w:r>
    </w:p>
    <w:p w14:paraId="01D1AF4A" w14:textId="77777777" w:rsidR="00E00CB0" w:rsidRPr="00236EA8" w:rsidRDefault="00E00CB0" w:rsidP="00E00CB0">
      <w:pPr>
        <w:jc w:val="both"/>
        <w:rPr>
          <w:rFonts w:ascii="Arial" w:hAnsi="Arial" w:cs="Arial"/>
        </w:rPr>
      </w:pPr>
      <w:r w:rsidRPr="00236EA8">
        <w:rPr>
          <w:rFonts w:ascii="Arial" w:hAnsi="Arial" w:cs="Arial"/>
        </w:rPr>
        <w:t>Moreover, it should be mentioned that some interfaces of the proposed architectural solutions (IaaS, PaaS or SaaS individually or in combination) may be open whereas in some other cases these can be proprietary solutions and are treated as black boxes. The open interfaces are standardised whereas the black box ones might not necessarily need standardisation.</w:t>
      </w:r>
    </w:p>
    <w:p w14:paraId="643E6A78" w14:textId="77777777" w:rsidR="00E00CB0" w:rsidRPr="00236EA8" w:rsidRDefault="00E00CB0" w:rsidP="00E00CB0">
      <w:pPr>
        <w:jc w:val="both"/>
        <w:rPr>
          <w:rFonts w:ascii="Arial" w:hAnsi="Arial" w:cs="Arial"/>
          <w:lang w:eastAsia="de-DE"/>
        </w:rPr>
      </w:pPr>
    </w:p>
    <w:p w14:paraId="49876D77" w14:textId="77777777" w:rsidR="00E00CB0" w:rsidRPr="00236EA8"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val="en-US" w:eastAsia="de-DE"/>
        </w:rPr>
      </w:pPr>
      <w:bookmarkStart w:id="173" w:name="_Toc42177268"/>
      <w:r w:rsidRPr="00236EA8">
        <w:rPr>
          <w:rFonts w:ascii="Arial" w:eastAsiaTheme="majorEastAsia" w:hAnsi="Arial" w:cs="Arial"/>
          <w:b/>
          <w:sz w:val="26"/>
          <w:szCs w:val="26"/>
          <w:lang w:eastAsia="de-DE"/>
        </w:rPr>
        <w:t>NFV, SDN, orchestration</w:t>
      </w:r>
      <w:bookmarkEnd w:id="171"/>
      <w:bookmarkEnd w:id="172"/>
      <w:bookmarkEnd w:id="173"/>
    </w:p>
    <w:p w14:paraId="6B7F3FFA"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val="en-US" w:eastAsia="de-DE"/>
        </w:rPr>
      </w:pPr>
    </w:p>
    <w:p w14:paraId="0BC63A2E" w14:textId="77777777" w:rsidR="00E00CB0" w:rsidRPr="00236EA8" w:rsidRDefault="00E00CB0" w:rsidP="00E00CB0">
      <w:pPr>
        <w:jc w:val="both"/>
        <w:rPr>
          <w:rFonts w:ascii="Arial" w:hAnsi="Arial" w:cs="Arial"/>
          <w:lang w:val="en-US"/>
        </w:rPr>
      </w:pPr>
      <w:r w:rsidRPr="00236EA8">
        <w:rPr>
          <w:rFonts w:ascii="Arial" w:hAnsi="Arial" w:cs="Arial"/>
          <w:lang w:val="en-US"/>
        </w:rPr>
        <w:t xml:space="preserve">Several technological trends will affect protocol development. These include ultra-low latency end-to-end communication, capacity of access links and diversification of infrastructure for underlying 5G networks (e.g., Visible Light Communication links, mm-wave links, new WiFi standards). At the same time, Internet communication patterns are changing, and increased flexibility of in-network devices and networking software in end-hosts is becoming the new norm. Security, privacy and trust have also moved from being an afterthought in the design of new communication protocols to an absolute necessity in the face of an evolving cyber threat landscape. Several of these trends conflict with the traditional layering in the Internet and </w:t>
      </w:r>
      <w:r w:rsidRPr="00236EA8">
        <w:rPr>
          <w:rFonts w:ascii="Arial" w:hAnsi="Arial" w:cs="Arial"/>
          <w:lang w:val="en-US"/>
        </w:rPr>
        <w:lastRenderedPageBreak/>
        <w:t>TCP/IP protocols. Some developments that partially address these issues have surfaced, such as Information Centric Networking (ICN). Mainly US industry has been developing methods to improve performance, security and flexibility of the Internet’s transport layer but it is unclear whether these point solutions will satisfy the needs of upcoming and future applications, and be suitable for 5G network technologies and beyond. Greater flexibility in end systems and inside the network is a necessity, and Internet transport protocols will have to be exchangeable at run time. Improved interplay between applications and the underlying network will also be necessary. AI/ML and data analytics will be key drivers of self-adaptation and self-management, but such solutions are still in their infancy and require focused research efforts.</w:t>
      </w:r>
    </w:p>
    <w:p w14:paraId="4EB2C0F7" w14:textId="3A549F96" w:rsidR="00E00CB0" w:rsidRPr="00236EA8" w:rsidRDefault="00E00CB0" w:rsidP="00E00CB0">
      <w:pPr>
        <w:jc w:val="both"/>
        <w:rPr>
          <w:rFonts w:ascii="Arial" w:hAnsi="Arial" w:cs="Arial"/>
          <w:lang w:val="en-US"/>
        </w:rPr>
      </w:pPr>
      <w:r w:rsidRPr="00236EA8">
        <w:rPr>
          <w:rFonts w:ascii="Arial" w:hAnsi="Arial" w:cs="Arial"/>
          <w:lang w:val="en-US"/>
        </w:rPr>
        <w:t xml:space="preserve">Energy consumption will likely return among the main concerns in this framework. The increasing use of general-purpose hardware to implement virtual network functions chains and of federated compute elements to perform complex computational tasks in the edge or in cooperation between edge and cloud needs energy efficiency to be accounted for in conjunction with performance optimization. Methodologies that need to be considered include hardware offloading, but also all the techniques for the control of energy-performance tradeoff, like power-aware resource allocation, power adaptation and low-power idle mechanisms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8</w:t>
      </w:r>
      <w:r w:rsidR="00DA6395" w:rsidRPr="00DA6395">
        <w:rPr>
          <w:rFonts w:ascii="Arial" w:hAnsi="Arial" w:cs="Arial"/>
        </w:rPr>
        <w:t>]</w:t>
      </w:r>
      <w:r w:rsidR="00DA6395">
        <w:rPr>
          <w:rFonts w:ascii="Arial" w:hAnsi="Arial" w:cs="Arial"/>
        </w:rPr>
        <w:t xml:space="preserve">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9</w:t>
      </w:r>
      <w:r w:rsidR="00DA6395" w:rsidRPr="00DA6395">
        <w:rPr>
          <w:rFonts w:ascii="Arial" w:hAnsi="Arial" w:cs="Arial"/>
        </w:rPr>
        <w:t>]</w:t>
      </w:r>
      <w:r w:rsidRPr="00236EA8">
        <w:rPr>
          <w:rFonts w:ascii="Arial" w:hAnsi="Arial" w:cs="Arial"/>
          <w:lang w:val="en-US"/>
        </w:rPr>
        <w:t>.</w:t>
      </w:r>
    </w:p>
    <w:p w14:paraId="3AA19DCC" w14:textId="77777777" w:rsidR="00E00CB0" w:rsidRPr="00236EA8" w:rsidRDefault="00E00CB0" w:rsidP="00E00CB0">
      <w:pPr>
        <w:jc w:val="both"/>
        <w:rPr>
          <w:rFonts w:ascii="Arial" w:eastAsia="Calibri" w:hAnsi="Arial" w:cs="Arial"/>
          <w:color w:val="000000" w:themeColor="text1"/>
          <w:lang w:val="en-US"/>
        </w:rPr>
      </w:pPr>
      <w:r w:rsidRPr="00236EA8">
        <w:rPr>
          <w:rFonts w:ascii="Arial" w:eastAsia="Calibri" w:hAnsi="Arial" w:cs="Arial"/>
          <w:color w:val="000000" w:themeColor="text1"/>
          <w:lang w:val="en-US"/>
        </w:rPr>
        <w:t>Furthermore, in order to achieve a tight proportionality between the dynamic workload produced by vertical applications and network slices on one side, and the run-time resource utilization footprint and energy consumption induced in the network, computing, and storage infrastructure, on the other, two main aspects should be considered:</w:t>
      </w:r>
    </w:p>
    <w:p w14:paraId="652F5B52" w14:textId="77777777" w:rsidR="00E00CB0" w:rsidRPr="00236EA8" w:rsidRDefault="00E00CB0" w:rsidP="00124439">
      <w:pPr>
        <w:numPr>
          <w:ilvl w:val="0"/>
          <w:numId w:val="31"/>
        </w:numPr>
        <w:contextualSpacing/>
        <w:jc w:val="both"/>
        <w:rPr>
          <w:rFonts w:ascii="Arial" w:eastAsiaTheme="minorEastAsia" w:hAnsi="Arial" w:cs="Arial"/>
          <w:color w:val="000000" w:themeColor="text1"/>
          <w:lang w:val="en-US"/>
        </w:rPr>
      </w:pPr>
      <w:r w:rsidRPr="00236EA8">
        <w:rPr>
          <w:rFonts w:ascii="Arial" w:eastAsia="Calibri" w:hAnsi="Arial" w:cs="Arial"/>
          <w:color w:val="000000" w:themeColor="text1"/>
          <w:lang w:val="en-US"/>
        </w:rPr>
        <w:t xml:space="preserve">The shift from classical “cloud agility” schemes, where vertical applications/network services are deployed everywhere they should be available and scaled according to the incoming workload, to a novel “edge agility” paradigm, which will inject applications/services (or part of them) at run-time, only when, where and for the time needed by end-users and connected things, suitably and smartly adapting the virtual topologies and application/slice forwarding graphs; </w:t>
      </w:r>
    </w:p>
    <w:p w14:paraId="64CF4C2D" w14:textId="084598E7" w:rsidR="00E00CB0" w:rsidRDefault="00E00CB0" w:rsidP="00124439">
      <w:pPr>
        <w:numPr>
          <w:ilvl w:val="0"/>
          <w:numId w:val="31"/>
        </w:numPr>
        <w:contextualSpacing/>
        <w:jc w:val="both"/>
        <w:rPr>
          <w:rFonts w:ascii="Arial" w:eastAsia="Calibri" w:hAnsi="Arial" w:cs="Arial"/>
          <w:color w:val="000000" w:themeColor="text1"/>
          <w:lang w:val="en-US"/>
        </w:rPr>
      </w:pPr>
      <w:r w:rsidRPr="00236EA8">
        <w:rPr>
          <w:rFonts w:ascii="Arial" w:eastAsia="Calibri" w:hAnsi="Arial" w:cs="Arial"/>
          <w:color w:val="000000" w:themeColor="text1"/>
          <w:lang w:val="en-US"/>
        </w:rPr>
        <w:t>The introduction of a “hybrid multi-tier elasticity” paradigm to make all stakeholders, acting at any levels, to jointly, automatically, and rapidly provision, adapt, and de-provision network, computing, and storage resources/artefacts in order to opportunistically “move the consumption from connectivity to (edge) computing”.</w:t>
      </w:r>
    </w:p>
    <w:p w14:paraId="710793CE" w14:textId="77777777" w:rsidR="00C42C17" w:rsidRDefault="00C42C17" w:rsidP="00C42C17">
      <w:pPr>
        <w:ind w:left="720"/>
        <w:contextualSpacing/>
        <w:jc w:val="both"/>
        <w:rPr>
          <w:rFonts w:ascii="Arial" w:eastAsia="Calibri" w:hAnsi="Arial" w:cs="Arial"/>
          <w:color w:val="000000" w:themeColor="text1"/>
          <w:lang w:val="en-US"/>
        </w:rPr>
      </w:pPr>
    </w:p>
    <w:p w14:paraId="7FAA500E" w14:textId="77777777" w:rsidR="00E00CB0" w:rsidRPr="00236EA8" w:rsidRDefault="00E00CB0" w:rsidP="00E00CB0">
      <w:pPr>
        <w:contextualSpacing/>
        <w:jc w:val="both"/>
        <w:rPr>
          <w:rFonts w:ascii="Arial" w:eastAsia="Calibri" w:hAnsi="Arial" w:cs="Arial"/>
          <w:color w:val="000000" w:themeColor="text1"/>
          <w:lang w:val="en-US"/>
        </w:rPr>
      </w:pPr>
    </w:p>
    <w:p w14:paraId="43CE3700"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174" w:name="_Toc39071527"/>
      <w:bookmarkStart w:id="175" w:name="_Toc37177699"/>
      <w:bookmarkStart w:id="176" w:name="_Toc42177269"/>
      <w:r w:rsidRPr="00236EA8">
        <w:rPr>
          <w:rFonts w:ascii="Arial" w:eastAsiaTheme="majorEastAsia" w:hAnsi="Arial" w:cs="Arial"/>
          <w:b/>
          <w:sz w:val="26"/>
          <w:szCs w:val="26"/>
          <w:lang w:eastAsia="de-DE"/>
        </w:rPr>
        <w:t>Computing platform technologies</w:t>
      </w:r>
      <w:bookmarkEnd w:id="174"/>
      <w:bookmarkEnd w:id="175"/>
      <w:bookmarkEnd w:id="176"/>
    </w:p>
    <w:p w14:paraId="5920D609"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eastAsia="de-DE"/>
        </w:rPr>
      </w:pPr>
    </w:p>
    <w:p w14:paraId="5BC00BB5" w14:textId="590C1D79" w:rsidR="00E00CB0" w:rsidRPr="00236EA8" w:rsidRDefault="00E00CB0" w:rsidP="00E00CB0">
      <w:pPr>
        <w:jc w:val="both"/>
        <w:rPr>
          <w:rFonts w:ascii="Arial" w:eastAsia="Calibri" w:hAnsi="Arial" w:cs="Arial"/>
          <w:color w:val="000000" w:themeColor="text1"/>
          <w:lang w:val="en-US"/>
        </w:rPr>
      </w:pPr>
      <w:r w:rsidRPr="00236EA8">
        <w:rPr>
          <w:rFonts w:ascii="Arial" w:eastAsia="Calibri" w:hAnsi="Arial" w:cs="Arial"/>
          <w:color w:val="000000" w:themeColor="text1"/>
          <w:lang w:val="en-US"/>
        </w:rPr>
        <w:t xml:space="preserve">Serverless computing is an emerging trend in cloud technologies, where applications are realized as a composition of short-lived and stateless function calls (called lambda functions) </w:t>
      </w:r>
      <w:r w:rsidR="00DA6395" w:rsidRPr="00DA6395">
        <w:rPr>
          <w:rFonts w:ascii="Arial" w:hAnsi="Arial" w:cs="Arial"/>
        </w:rPr>
        <w:t>[C</w:t>
      </w:r>
      <w:r w:rsidR="00DA6395">
        <w:rPr>
          <w:rFonts w:ascii="Arial" w:hAnsi="Arial" w:cs="Arial"/>
        </w:rPr>
        <w:t>5</w:t>
      </w:r>
      <w:r w:rsidR="00DA6395" w:rsidRPr="00DA6395">
        <w:rPr>
          <w:rFonts w:ascii="Arial" w:hAnsi="Arial" w:cs="Arial"/>
        </w:rPr>
        <w:t>-</w:t>
      </w:r>
      <w:r w:rsidR="00DA6395">
        <w:rPr>
          <w:rFonts w:ascii="Arial" w:hAnsi="Arial" w:cs="Arial"/>
        </w:rPr>
        <w:t>20</w:t>
      </w:r>
      <w:r w:rsidR="00DA6395" w:rsidRPr="00DA6395">
        <w:rPr>
          <w:rFonts w:ascii="Arial" w:hAnsi="Arial" w:cs="Arial"/>
        </w:rPr>
        <w:t>]</w:t>
      </w:r>
      <w:r w:rsidRPr="00236EA8">
        <w:rPr>
          <w:rFonts w:ascii="Arial" w:eastAsia="Calibri" w:hAnsi="Arial" w:cs="Arial"/>
          <w:color w:val="000000" w:themeColor="text1"/>
          <w:lang w:val="en-US"/>
        </w:rPr>
        <w:t xml:space="preserve">. Due to the absence of local state and in combination with a flexible virtualization infrastructure, typically based on containers, it is possible to up-/down-scale services in a fast and easy manner, also achieving fine-grained billing granularity. Serverless computing is becoming relevant also in edge domain, with a growing importance due the widespread adoption of its related Function-as-a-Service (FaaS) programming model among cloud developers and the clear benefit of flexibly deploying services to edge or cloud depending on run-time conditions </w:t>
      </w:r>
      <w:r w:rsidR="00DA6395" w:rsidRPr="00DA6395">
        <w:rPr>
          <w:rFonts w:ascii="Arial" w:hAnsi="Arial" w:cs="Arial"/>
        </w:rPr>
        <w:t>[C</w:t>
      </w:r>
      <w:r w:rsidR="00DA6395">
        <w:rPr>
          <w:rFonts w:ascii="Arial" w:hAnsi="Arial" w:cs="Arial"/>
        </w:rPr>
        <w:t>5</w:t>
      </w:r>
      <w:r w:rsidR="00DA6395" w:rsidRPr="00DA6395">
        <w:rPr>
          <w:rFonts w:ascii="Arial" w:hAnsi="Arial" w:cs="Arial"/>
        </w:rPr>
        <w:t>-</w:t>
      </w:r>
      <w:r w:rsidR="00DA6395">
        <w:rPr>
          <w:rFonts w:ascii="Arial" w:hAnsi="Arial" w:cs="Arial"/>
        </w:rPr>
        <w:t>2</w:t>
      </w:r>
      <w:r w:rsidR="00DA6395" w:rsidRPr="00DA6395">
        <w:rPr>
          <w:rFonts w:ascii="Arial" w:hAnsi="Arial" w:cs="Arial"/>
        </w:rPr>
        <w:t>1]</w:t>
      </w:r>
      <w:r w:rsidRPr="00236EA8">
        <w:rPr>
          <w:rFonts w:ascii="Arial" w:eastAsia="Calibri" w:hAnsi="Arial" w:cs="Arial"/>
          <w:color w:val="000000" w:themeColor="text1"/>
          <w:lang w:val="en-US"/>
        </w:rPr>
        <w:t xml:space="preserve">. Moreover, due to the scalability promises and isolation guarantees offered, it is expected that serverless computing will also play a crucial role in NFV, especially for the implementation of large-scale SDN controllers and VNFs </w:t>
      </w:r>
      <w:r w:rsidR="00DA6395" w:rsidRPr="00DA6395">
        <w:rPr>
          <w:rFonts w:ascii="Arial" w:hAnsi="Arial" w:cs="Arial"/>
        </w:rPr>
        <w:t>[C</w:t>
      </w:r>
      <w:r w:rsidR="00DA6395">
        <w:rPr>
          <w:rFonts w:ascii="Arial" w:hAnsi="Arial" w:cs="Arial"/>
        </w:rPr>
        <w:t>5</w:t>
      </w:r>
      <w:r w:rsidR="00DA6395" w:rsidRPr="00DA6395">
        <w:rPr>
          <w:rFonts w:ascii="Arial" w:hAnsi="Arial" w:cs="Arial"/>
        </w:rPr>
        <w:t>-</w:t>
      </w:r>
      <w:r w:rsidR="00DA6395">
        <w:rPr>
          <w:rFonts w:ascii="Arial" w:hAnsi="Arial" w:cs="Arial"/>
        </w:rPr>
        <w:t>22].</w:t>
      </w:r>
      <w:r w:rsidRPr="00236EA8">
        <w:rPr>
          <w:rFonts w:ascii="Arial" w:eastAsia="Calibri" w:hAnsi="Arial" w:cs="Arial"/>
          <w:color w:val="000000" w:themeColor="text1"/>
          <w:lang w:val="en-US"/>
        </w:rPr>
        <w:t xml:space="preserve"> However, significant research efforts will be required to unlock the full serverless benefits in edge </w:t>
      </w:r>
      <w:r w:rsidRPr="00236EA8">
        <w:rPr>
          <w:rFonts w:ascii="Arial" w:eastAsia="Calibri" w:hAnsi="Arial" w:cs="Arial"/>
          <w:color w:val="000000" w:themeColor="text1"/>
          <w:lang w:val="en-US"/>
        </w:rPr>
        <w:lastRenderedPageBreak/>
        <w:t xml:space="preserve">computing and NFV, in particular major concerns include a high data-plane latency and inefficient handling or transfer of the application state </w:t>
      </w:r>
      <w:r w:rsidR="00DA6395" w:rsidRPr="00DA6395">
        <w:rPr>
          <w:rFonts w:ascii="Arial" w:hAnsi="Arial" w:cs="Arial"/>
        </w:rPr>
        <w:t>[C</w:t>
      </w:r>
      <w:r w:rsidR="00DA6395">
        <w:rPr>
          <w:rFonts w:ascii="Arial" w:hAnsi="Arial" w:cs="Arial"/>
        </w:rPr>
        <w:t>5-23</w:t>
      </w:r>
      <w:r w:rsidR="00DA6395" w:rsidRPr="00DA6395">
        <w:rPr>
          <w:rFonts w:ascii="Arial" w:hAnsi="Arial" w:cs="Arial"/>
        </w:rPr>
        <w:t>]</w:t>
      </w:r>
      <w:r w:rsidRPr="00236EA8">
        <w:rPr>
          <w:rFonts w:ascii="Arial" w:eastAsia="Calibri" w:hAnsi="Arial" w:cs="Arial"/>
          <w:color w:val="000000" w:themeColor="text1"/>
          <w:lang w:val="en-US"/>
        </w:rPr>
        <w:t>.</w:t>
      </w:r>
    </w:p>
    <w:p w14:paraId="718E02EE" w14:textId="1C1E1816" w:rsidR="00E00CB0" w:rsidRPr="00236EA8" w:rsidRDefault="00E00CB0" w:rsidP="00E00CB0">
      <w:pPr>
        <w:jc w:val="both"/>
        <w:rPr>
          <w:rFonts w:ascii="Arial" w:eastAsia="Calibri" w:hAnsi="Arial" w:cs="Arial"/>
          <w:color w:val="000000" w:themeColor="text1"/>
        </w:rPr>
      </w:pPr>
      <w:r w:rsidRPr="00236EA8">
        <w:rPr>
          <w:rFonts w:ascii="Arial" w:eastAsia="Calibri" w:hAnsi="Arial" w:cs="Arial"/>
          <w:color w:val="000000" w:themeColor="text1"/>
        </w:rPr>
        <w:t>Microservice architecture is becoming the most popular architectural model to implement highly distributed and scalable services. The main idea has been in decomposing large monolithic systems or services into a set of loosely coupled microservices that usually take care of a single function or a set of closely related functions. This, in principle, allows for developing and deploying each microservice independently and thus makes it possible to compose services using modules from multiple vendors. As discussed in</w:t>
      </w:r>
      <w:r w:rsidR="00DA6395">
        <w:rPr>
          <w:rFonts w:ascii="Arial" w:eastAsia="Calibri" w:hAnsi="Arial" w:cs="Arial"/>
          <w:color w:val="000000" w:themeColor="text1"/>
        </w:rPr>
        <w:t xml:space="preserve"> section 1.2.1</w:t>
      </w:r>
      <w:r w:rsidRPr="00236EA8">
        <w:rPr>
          <w:rFonts w:ascii="Arial" w:eastAsia="Calibri" w:hAnsi="Arial" w:cs="Arial"/>
          <w:color w:val="000000" w:themeColor="text1"/>
        </w:rPr>
        <w:t>, 3GPP has adopted microservice based SBA in 5G core and adoption in MEC is likely to follow.</w:t>
      </w:r>
    </w:p>
    <w:p w14:paraId="70135F0A" w14:textId="77777777" w:rsidR="00E00CB0" w:rsidRPr="00236EA8" w:rsidRDefault="00E00CB0" w:rsidP="00E00CB0">
      <w:pPr>
        <w:jc w:val="both"/>
        <w:rPr>
          <w:rFonts w:ascii="Arial" w:eastAsia="Calibri" w:hAnsi="Arial" w:cs="Arial"/>
          <w:color w:val="000000" w:themeColor="text1"/>
        </w:rPr>
      </w:pPr>
      <w:r w:rsidRPr="00236EA8">
        <w:rPr>
          <w:rFonts w:ascii="Arial" w:eastAsia="Calibri" w:hAnsi="Arial" w:cs="Arial"/>
          <w:color w:val="000000" w:themeColor="text1"/>
        </w:rPr>
        <w:t>The REST architecture is currently the dominating way to implement microservices and it is also selected for 5G SBA. However, REST has certain shortfalls in efficiency, scalability, reliability, and API evolution that makes it necessary to seek improvements especially for, e.g., safety critical applications. Partially, these problems are related to current implementations where REST relies on HTTP/1.1 transport and thus the obvious solution would be upgrading HTTP to v2 and later to HTTP/3. It is planned that the latter one will use QUIC instead of TCP and thus provide, e.g., multipath connectivity. There are also initiatives to replace REST with more efficient protocols like gRPC, which would allow for backward-compatible schema evolution that is necessary for long-live evolving systems like 5G networks. In any case, even if the REST based architecture is becoming the standardized solution for 5G, it is rather important to research if adopting more advanced concepts would be necessary it the future.</w:t>
      </w:r>
    </w:p>
    <w:p w14:paraId="32320921" w14:textId="4D3D07FB" w:rsidR="00E00CB0" w:rsidRPr="00236EA8" w:rsidRDefault="00E00CB0" w:rsidP="00E00CB0">
      <w:pPr>
        <w:jc w:val="both"/>
        <w:rPr>
          <w:rFonts w:ascii="Arial" w:eastAsia="Calibri" w:hAnsi="Arial" w:cs="Arial"/>
          <w:color w:val="000000" w:themeColor="text1"/>
        </w:rPr>
      </w:pPr>
      <w:r w:rsidRPr="00236EA8">
        <w:rPr>
          <w:rFonts w:ascii="Arial" w:eastAsia="Calibri" w:hAnsi="Arial" w:cs="Arial"/>
          <w:color w:val="000000" w:themeColor="text1"/>
        </w:rPr>
        <w:t>Container-based computing platform virtualization is currently the main trend in cloud computing and also in 5G edge computing. As explained in the next section (</w:t>
      </w:r>
      <w:r w:rsidRPr="00236EA8">
        <w:rPr>
          <w:rFonts w:ascii="Arial" w:eastAsia="Calibri" w:hAnsi="Arial" w:cs="Arial"/>
          <w:color w:val="000000" w:themeColor="text1"/>
        </w:rPr>
        <w:fldChar w:fldCharType="begin"/>
      </w:r>
      <w:r w:rsidRPr="00236EA8">
        <w:rPr>
          <w:rFonts w:ascii="Arial" w:eastAsia="Calibri" w:hAnsi="Arial" w:cs="Arial"/>
          <w:color w:val="000000" w:themeColor="text1"/>
        </w:rPr>
        <w:instrText xml:space="preserve"> REF _Ref39793278 \r \h </w:instrText>
      </w:r>
      <w:r>
        <w:rPr>
          <w:rFonts w:ascii="Arial" w:eastAsia="Calibri" w:hAnsi="Arial" w:cs="Arial"/>
          <w:color w:val="000000" w:themeColor="text1"/>
        </w:rPr>
        <w:instrText xml:space="preserve"> \* MERGEFORMAT </w:instrText>
      </w:r>
      <w:r w:rsidRPr="00236EA8">
        <w:rPr>
          <w:rFonts w:ascii="Arial" w:eastAsia="Calibri" w:hAnsi="Arial" w:cs="Arial"/>
          <w:color w:val="000000" w:themeColor="text1"/>
        </w:rPr>
      </w:r>
      <w:r w:rsidRPr="00236EA8">
        <w:rPr>
          <w:rFonts w:ascii="Arial" w:eastAsia="Calibri" w:hAnsi="Arial" w:cs="Arial"/>
          <w:color w:val="000000" w:themeColor="text1"/>
        </w:rPr>
        <w:fldChar w:fldCharType="separate"/>
      </w:r>
      <w:r w:rsidR="003F0180">
        <w:rPr>
          <w:rFonts w:ascii="Arial" w:eastAsia="Calibri" w:hAnsi="Arial" w:cs="Arial"/>
          <w:color w:val="000000" w:themeColor="text1"/>
        </w:rPr>
        <w:t>5.6</w:t>
      </w:r>
      <w:r w:rsidRPr="00236EA8">
        <w:rPr>
          <w:rFonts w:ascii="Arial" w:eastAsia="Calibri" w:hAnsi="Arial" w:cs="Arial"/>
          <w:color w:val="000000" w:themeColor="text1"/>
        </w:rPr>
        <w:fldChar w:fldCharType="end"/>
      </w:r>
      <w:r w:rsidRPr="00236EA8">
        <w:rPr>
          <w:rFonts w:ascii="Arial" w:eastAsia="Calibri" w:hAnsi="Arial" w:cs="Arial"/>
          <w:color w:val="000000" w:themeColor="text1"/>
        </w:rPr>
        <w:t xml:space="preserve">), containers have many desirable features that make them quite ideal in implementing microservice architectures. However, there are always some security concerns about sufficient isolation and size of potential attack surface. While legacy hypervisor-based hardware virtualization systems running full OS images are considered to have unnecessarily large image sizes and long service start-up times, there are new microVM systems like Firecracker that can provide much more streamlined systems. Combined with unikernels such microVM systems are able to compete with, or even exceed, image sizes and start-up times of container-based solutions. While container-based solutions are the current main-stream and essential to 5G network infrastructure evolution, it is necessary to evaluate the alternative approaches in case that, e.g., better isolation between service instances is needed for critical services. </w:t>
      </w:r>
    </w:p>
    <w:p w14:paraId="449512A0" w14:textId="77777777" w:rsidR="00E00CB0" w:rsidRDefault="00E00CB0" w:rsidP="00E00CB0">
      <w:pPr>
        <w:jc w:val="both"/>
        <w:rPr>
          <w:rFonts w:ascii="Arial" w:eastAsia="Calibri" w:hAnsi="Arial" w:cs="Arial"/>
          <w:color w:val="000000" w:themeColor="text1"/>
        </w:rPr>
      </w:pPr>
      <w:r w:rsidRPr="00236EA8">
        <w:rPr>
          <w:rFonts w:ascii="Arial" w:eastAsia="Calibri" w:hAnsi="Arial" w:cs="Arial"/>
          <w:color w:val="000000" w:themeColor="text1"/>
        </w:rPr>
        <w:t xml:space="preserve">In cloud computing and big data applications, stream processing has become a popular solution to manage and process vast streams of data and events. Stream processing systems like Kafka Streams, Flink, and Apache Samza are used either to consolidate data streams prior to, e.g., AI/ML model training, or to implement complex event processing services. Concepts like Reactive Streams are developing standardized frameworks for asynchronous stream processing. In one end, stream processing can be performed near real-time with high scalability. While stream processing has been mostly done in centralized cloud environments, the distribution of computation towards network edge makes it important to consider stream processing also in Edge computing. One obvious idea is to distribute stream processing to edge nodes, i.e., stream processing graphs should be embedded into distributed computing resources between far edge and central cloud. Besides providing services for data processing and real-time services, it should be studied if stream processing concepts could be utilized in implementing 5G network functions, e.g., for network monitoring.  </w:t>
      </w:r>
    </w:p>
    <w:p w14:paraId="25F86396" w14:textId="77777777" w:rsidR="00E00CB0" w:rsidRPr="00236EA8" w:rsidRDefault="00E00CB0" w:rsidP="00E00CB0">
      <w:pPr>
        <w:jc w:val="both"/>
        <w:rPr>
          <w:rFonts w:ascii="Arial" w:eastAsia="Calibri" w:hAnsi="Arial" w:cs="Arial"/>
          <w:color w:val="000000" w:themeColor="text1"/>
        </w:rPr>
      </w:pPr>
    </w:p>
    <w:p w14:paraId="451134B4"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177" w:name="_Toc39071528"/>
      <w:bookmarkStart w:id="178" w:name="_Toc37177700"/>
      <w:bookmarkStart w:id="179" w:name="_Ref39793278"/>
      <w:bookmarkStart w:id="180" w:name="_Toc42177270"/>
      <w:r w:rsidRPr="00236EA8">
        <w:rPr>
          <w:rFonts w:ascii="Arial" w:eastAsiaTheme="majorEastAsia" w:hAnsi="Arial" w:cs="Arial"/>
          <w:b/>
          <w:sz w:val="26"/>
          <w:szCs w:val="26"/>
          <w:lang w:eastAsia="de-DE"/>
        </w:rPr>
        <w:lastRenderedPageBreak/>
        <w:t>Containers and container orchestration</w:t>
      </w:r>
      <w:bookmarkEnd w:id="177"/>
      <w:bookmarkEnd w:id="178"/>
      <w:bookmarkEnd w:id="179"/>
      <w:bookmarkEnd w:id="180"/>
    </w:p>
    <w:p w14:paraId="401FB49C"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eastAsia="de-DE"/>
        </w:rPr>
      </w:pPr>
    </w:p>
    <w:p w14:paraId="1B6088A2" w14:textId="522E1F3B" w:rsidR="00E00CB0" w:rsidRPr="00236EA8" w:rsidRDefault="00E00CB0" w:rsidP="00E00CB0">
      <w:pPr>
        <w:jc w:val="both"/>
        <w:rPr>
          <w:rFonts w:ascii="Arial" w:hAnsi="Arial" w:cs="Arial"/>
          <w:lang w:eastAsia="de-DE"/>
        </w:rPr>
      </w:pPr>
      <w:r w:rsidRPr="00236EA8">
        <w:rPr>
          <w:rFonts w:ascii="Arial" w:hAnsi="Arial" w:cs="Arial"/>
          <w:lang w:eastAsia="de-DE"/>
        </w:rPr>
        <w:t xml:space="preserve">Container-based solutions provide the grounds to bring novel, bandwidth and computationally intensive services to the Edge, an aspect which becomes particularly relevant in scenarios such as IoT, AI at the Edge, or AR services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3</w:t>
      </w:r>
      <w:r w:rsidR="00DA6395" w:rsidRPr="00DA6395">
        <w:rPr>
          <w:rFonts w:ascii="Arial" w:hAnsi="Arial" w:cs="Arial"/>
        </w:rPr>
        <w:t>]</w:t>
      </w:r>
      <w:r w:rsidR="00DA6395">
        <w:rPr>
          <w:rFonts w:ascii="Arial" w:hAnsi="Arial" w:cs="Arial"/>
        </w:rPr>
        <w:t>.</w:t>
      </w:r>
      <w:r w:rsidRPr="00236EA8">
        <w:rPr>
          <w:rFonts w:ascii="Arial" w:hAnsi="Arial" w:cs="Arial"/>
          <w:lang w:eastAsia="de-DE"/>
        </w:rPr>
        <w:t xml:space="preserve"> Via container-based solutions and their clustering, it is feasible to implement decentralised applications closer to data sources and to address the migration of applications from the Cloud to the Edge in a way that takes into consideration for instance, context-awareness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4</w:t>
      </w:r>
      <w:r w:rsidR="00DA6395" w:rsidRPr="00DA6395">
        <w:rPr>
          <w:rFonts w:ascii="Arial" w:hAnsi="Arial" w:cs="Arial"/>
        </w:rPr>
        <w:t>]</w:t>
      </w:r>
      <w:r w:rsidRPr="00236EA8">
        <w:rPr>
          <w:rFonts w:ascii="Arial" w:hAnsi="Arial" w:cs="Arial"/>
          <w:lang w:eastAsia="de-DE"/>
        </w:rPr>
        <w:t xml:space="preserve"> A second benefit of container technologies in the context of Edge-Cloud operation concerns is being able to run services and micro-services in embedded devices, thus reducing costs and reducing energy consumption. The portability and lightweight design provided by containers are additional benefits to take into consideration. </w:t>
      </w:r>
    </w:p>
    <w:p w14:paraId="61667F06" w14:textId="738D04E7" w:rsidR="00E00CB0" w:rsidRPr="00236EA8" w:rsidRDefault="00E00CB0" w:rsidP="00E00CB0">
      <w:pPr>
        <w:jc w:val="both"/>
        <w:rPr>
          <w:rFonts w:ascii="Arial" w:hAnsi="Arial" w:cs="Arial"/>
          <w:lang w:eastAsia="de-DE"/>
        </w:rPr>
      </w:pPr>
      <w:r w:rsidRPr="00236EA8">
        <w:rPr>
          <w:rFonts w:ascii="Arial" w:hAnsi="Arial" w:cs="Arial"/>
          <w:lang w:eastAsia="de-DE"/>
        </w:rPr>
        <w:t>In the context of 5G, containers are being considered to facilitate virtualization alongside with NFV</w:t>
      </w:r>
      <w:r w:rsidR="00DA6395">
        <w:rPr>
          <w:rFonts w:ascii="Arial" w:hAnsi="Arial" w:cs="Arial"/>
          <w:lang w:eastAsia="de-DE"/>
        </w:rPr>
        <w:t xml:space="preserve">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00DA6395">
        <w:rPr>
          <w:rFonts w:ascii="Arial" w:hAnsi="Arial" w:cs="Arial"/>
        </w:rPr>
        <w:t>5</w:t>
      </w:r>
      <w:r w:rsidR="00DA6395" w:rsidRPr="00DA6395">
        <w:rPr>
          <w:rFonts w:ascii="Arial" w:hAnsi="Arial" w:cs="Arial"/>
        </w:rPr>
        <w:t>]</w:t>
      </w:r>
      <w:r w:rsidRPr="00236EA8">
        <w:rPr>
          <w:rFonts w:ascii="Arial" w:hAnsi="Arial" w:cs="Arial"/>
          <w:lang w:eastAsia="de-DE"/>
        </w:rPr>
        <w:t>, via the concept of Cloud-native Network Functions (CNF)</w:t>
      </w:r>
      <w:r w:rsidRPr="00236EA8">
        <w:rPr>
          <w:rFonts w:ascii="Arial" w:hAnsi="Arial" w:cs="Arial"/>
          <w:vertAlign w:val="superscript"/>
          <w:lang w:eastAsia="de-DE"/>
        </w:rPr>
        <w:footnoteReference w:id="6"/>
      </w:r>
      <w:r w:rsidRPr="00236EA8">
        <w:rPr>
          <w:rFonts w:ascii="Arial" w:hAnsi="Arial" w:cs="Arial"/>
          <w:lang w:eastAsia="de-DE"/>
        </w:rPr>
        <w:t xml:space="preserve">, derived from efforts from the Linux Foundation (LF) in the context of its group </w:t>
      </w:r>
      <w:r w:rsidRPr="00236EA8">
        <w:rPr>
          <w:rFonts w:ascii="Arial" w:hAnsi="Arial" w:cs="Arial"/>
          <w:i/>
          <w:iCs/>
          <w:lang w:eastAsia="de-DE"/>
        </w:rPr>
        <w:t>Cloud-Native Computing Foundation (CNCF)</w:t>
      </w:r>
      <w:r w:rsidRPr="00236EA8">
        <w:rPr>
          <w:rFonts w:ascii="Arial" w:hAnsi="Arial" w:cs="Arial"/>
          <w:lang w:eastAsia="de-DE"/>
        </w:rPr>
        <w:t>. CNF is addressing the possibility to transform network functions into micro-services that provide networking services. These micro-services are deployed in containers, e.g., Docker, and orchestrated with tools like Kubernetes. Such service-based approach is integrated into the 5G</w:t>
      </w:r>
      <w:r w:rsidRPr="00236EA8">
        <w:rPr>
          <w:rFonts w:ascii="Arial" w:hAnsi="Arial" w:cs="Arial"/>
          <w:i/>
          <w:iCs/>
          <w:lang w:eastAsia="de-DE"/>
        </w:rPr>
        <w:t xml:space="preserve"> Service-Based Architecture (SBA)</w:t>
      </w:r>
      <w:r w:rsidRPr="00236EA8">
        <w:rPr>
          <w:rFonts w:ascii="Arial" w:hAnsi="Arial" w:cs="Arial"/>
          <w:lang w:eastAsia="de-DE"/>
        </w:rPr>
        <w:t xml:space="preserve"> framework and therefore relevant for the context of network slicing, for instance. Also relevant is the fact that CNFs are expected, due to their integration into container-based solutions, to be runnable in bare-metal. Containers are therefore key in regards to deploying a 5G core that can operate in any Cloud-Edge environment, be it based on physical or virtual machines. </w:t>
      </w:r>
    </w:p>
    <w:p w14:paraId="3423F0A8" w14:textId="77777777" w:rsidR="00E00CB0" w:rsidRPr="00236EA8" w:rsidRDefault="00E00CB0" w:rsidP="00E00CB0">
      <w:pPr>
        <w:jc w:val="both"/>
        <w:rPr>
          <w:rFonts w:ascii="Arial" w:hAnsi="Arial" w:cs="Arial"/>
          <w:lang w:eastAsia="de-DE"/>
        </w:rPr>
      </w:pPr>
      <w:r w:rsidRPr="00236EA8">
        <w:rPr>
          <w:rFonts w:ascii="Arial" w:hAnsi="Arial" w:cs="Arial"/>
          <w:lang w:eastAsia="de-DE"/>
        </w:rPr>
        <w:t>The key enablers for container technologies in 5G are:</w:t>
      </w:r>
    </w:p>
    <w:p w14:paraId="61D430F3" w14:textId="77777777" w:rsidR="00E00CB0" w:rsidRPr="00236EA8" w:rsidRDefault="00E00CB0" w:rsidP="00124439">
      <w:pPr>
        <w:numPr>
          <w:ilvl w:val="0"/>
          <w:numId w:val="32"/>
        </w:numPr>
        <w:contextualSpacing/>
        <w:jc w:val="both"/>
        <w:rPr>
          <w:rFonts w:ascii="Arial" w:hAnsi="Arial" w:cs="Arial"/>
          <w:lang w:eastAsia="de-DE"/>
        </w:rPr>
      </w:pPr>
      <w:r w:rsidRPr="00236EA8">
        <w:rPr>
          <w:rFonts w:ascii="Arial" w:hAnsi="Arial" w:cs="Arial"/>
          <w:lang w:eastAsia="de-DE"/>
        </w:rPr>
        <w:t>Open-source and user-friendly.</w:t>
      </w:r>
    </w:p>
    <w:p w14:paraId="2466C4E7" w14:textId="77777777" w:rsidR="00E00CB0" w:rsidRPr="00236EA8" w:rsidRDefault="00E00CB0" w:rsidP="00124439">
      <w:pPr>
        <w:numPr>
          <w:ilvl w:val="0"/>
          <w:numId w:val="32"/>
        </w:numPr>
        <w:contextualSpacing/>
        <w:jc w:val="both"/>
        <w:rPr>
          <w:rFonts w:ascii="Arial" w:hAnsi="Arial" w:cs="Arial"/>
          <w:lang w:eastAsia="de-DE"/>
        </w:rPr>
      </w:pPr>
      <w:r w:rsidRPr="00236EA8">
        <w:rPr>
          <w:rFonts w:ascii="Arial" w:hAnsi="Arial" w:cs="Arial"/>
          <w:lang w:eastAsia="de-DE"/>
        </w:rPr>
        <w:t>Lightweight and fast deployment. A Docker container can be deployed in seconds, for instance.</w:t>
      </w:r>
    </w:p>
    <w:p w14:paraId="159C979B" w14:textId="77777777" w:rsidR="00E00CB0" w:rsidRPr="00236EA8" w:rsidRDefault="00E00CB0" w:rsidP="00124439">
      <w:pPr>
        <w:numPr>
          <w:ilvl w:val="0"/>
          <w:numId w:val="32"/>
        </w:numPr>
        <w:contextualSpacing/>
        <w:jc w:val="both"/>
        <w:rPr>
          <w:rFonts w:ascii="Arial" w:hAnsi="Arial" w:cs="Arial"/>
          <w:lang w:eastAsia="de-DE"/>
        </w:rPr>
      </w:pPr>
      <w:r w:rsidRPr="00236EA8">
        <w:rPr>
          <w:rFonts w:ascii="Arial" w:hAnsi="Arial" w:cs="Arial"/>
          <w:lang w:eastAsia="de-DE"/>
        </w:rPr>
        <w:t>Portability and scalability. The isolation provided by container solutions make it a basis technology for deploying distributed applications in a modular way (where micro-services can be placed in individual containers). Containers can be added during operation, thus facilitating scalability aspects.</w:t>
      </w:r>
    </w:p>
    <w:p w14:paraId="3370C5F0" w14:textId="09483053" w:rsidR="00E00CB0" w:rsidRDefault="00E00CB0" w:rsidP="00E00CB0">
      <w:pPr>
        <w:jc w:val="both"/>
        <w:rPr>
          <w:rFonts w:ascii="Arial" w:hAnsi="Arial" w:cs="Arial"/>
          <w:lang w:eastAsia="de-DE"/>
        </w:rPr>
      </w:pPr>
      <w:r w:rsidRPr="00236EA8">
        <w:rPr>
          <w:rFonts w:ascii="Arial" w:hAnsi="Arial" w:cs="Arial"/>
          <w:lang w:eastAsia="de-DE"/>
        </w:rPr>
        <w:t>In terms of challenges, there are two main aspects for the full deployment of a 5G Edge-Cloud continuum: i) providing an adequate CNF specification and implementation</w:t>
      </w:r>
      <w:r w:rsidRPr="00236EA8">
        <w:rPr>
          <w:rFonts w:ascii="Arial" w:hAnsi="Arial" w:cs="Arial"/>
          <w:vertAlign w:val="superscript"/>
          <w:lang w:eastAsia="de-DE"/>
        </w:rPr>
        <w:footnoteReference w:id="7"/>
      </w:r>
      <w:r w:rsidRPr="00236EA8">
        <w:rPr>
          <w:rFonts w:ascii="Arial" w:hAnsi="Arial" w:cs="Arial"/>
          <w:lang w:eastAsia="de-DE"/>
        </w:rPr>
        <w:t>; ii) evolving orchestrators e.g., Kubernetes, towards adequate automation of clusters and federations of clusters, taking into consideration aspects such as security by design as well as mobility.</w:t>
      </w:r>
    </w:p>
    <w:p w14:paraId="31728F49" w14:textId="77777777" w:rsidR="00C42C17" w:rsidRPr="00236EA8" w:rsidRDefault="00C42C17" w:rsidP="00E00CB0">
      <w:pPr>
        <w:jc w:val="both"/>
        <w:rPr>
          <w:rFonts w:ascii="Arial" w:hAnsi="Arial" w:cs="Arial"/>
          <w:lang w:eastAsia="de-DE"/>
        </w:rPr>
      </w:pPr>
    </w:p>
    <w:p w14:paraId="08665D9C"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181" w:name="_Toc39071529"/>
      <w:bookmarkStart w:id="182" w:name="_Toc37177701"/>
      <w:bookmarkStart w:id="183" w:name="_Toc42177271"/>
      <w:r w:rsidRPr="00236EA8">
        <w:rPr>
          <w:rFonts w:ascii="Arial" w:eastAsiaTheme="majorEastAsia" w:hAnsi="Arial" w:cs="Arial"/>
          <w:b/>
          <w:sz w:val="26"/>
          <w:szCs w:val="26"/>
          <w:lang w:eastAsia="de-DE"/>
        </w:rPr>
        <w:t>Distributed services</w:t>
      </w:r>
      <w:bookmarkEnd w:id="181"/>
      <w:bookmarkEnd w:id="182"/>
      <w:bookmarkEnd w:id="183"/>
    </w:p>
    <w:p w14:paraId="5A21DFD8"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eastAsia="de-DE"/>
        </w:rPr>
      </w:pPr>
    </w:p>
    <w:p w14:paraId="609547D2" w14:textId="77777777" w:rsidR="00E00CB0" w:rsidRPr="00236EA8" w:rsidRDefault="00E00CB0" w:rsidP="00E00CB0">
      <w:pPr>
        <w:jc w:val="both"/>
        <w:rPr>
          <w:rFonts w:ascii="Arial" w:hAnsi="Arial" w:cs="Arial"/>
          <w:lang w:eastAsia="de-DE"/>
        </w:rPr>
      </w:pPr>
      <w:r w:rsidRPr="00236EA8">
        <w:rPr>
          <w:rFonts w:ascii="Arial" w:hAnsi="Arial" w:cs="Arial"/>
          <w:lang w:eastAsia="de-DE"/>
        </w:rPr>
        <w:t xml:space="preserve">There are several hard challenges in designing, implementing and operating distributed services in heterogeneous computing environments, especially with various constraints like end-point location and mobility, real-time requirements, and reliability. Furthermore, while the microservice architecture makes it easier to build efficient and reliable service agents, there will be a new layer of complexity that arises from connections and inter-dependencies between </w:t>
      </w:r>
      <w:r w:rsidRPr="00236EA8">
        <w:rPr>
          <w:rFonts w:ascii="Arial" w:hAnsi="Arial" w:cs="Arial"/>
          <w:lang w:eastAsia="de-DE"/>
        </w:rPr>
        <w:lastRenderedPageBreak/>
        <w:t>various service agents. Single service sessions are most often not very long-living which means that the state, e.g., resource requirements, is not static but sessions are leaving and entering the network all the time. This means an additional challenge to network and service optimization as new requests have to be embedded to computing resources without exactly knowing what will happen in the near future. In the network edge (especially far edge), this will be more challenging as fluctuations in service requirements will be much larger (in relative sense) and faster compared to centralized cloud.</w:t>
      </w:r>
    </w:p>
    <w:p w14:paraId="59F121C6" w14:textId="77777777" w:rsidR="00E00CB0" w:rsidRDefault="00E00CB0" w:rsidP="00E00CB0">
      <w:pPr>
        <w:jc w:val="both"/>
        <w:rPr>
          <w:rFonts w:ascii="Arial" w:hAnsi="Arial" w:cs="Arial"/>
          <w:lang w:eastAsia="de-DE"/>
        </w:rPr>
      </w:pPr>
      <w:r w:rsidRPr="00236EA8">
        <w:rPr>
          <w:rFonts w:ascii="Arial" w:hAnsi="Arial" w:cs="Arial"/>
          <w:lang w:eastAsia="de-DE"/>
        </w:rPr>
        <w:t xml:space="preserve">Until now, this kind of resource allocation problems have been addressed in, for instance, transport networks by using specific path computation elements. Similar heuristics can be used as a starting point when methods for near-optimal service chain embedding are designed. Dependability issues with complex microservice architectures should be considered with great care – fatal error cascades in complex networks are not necessarily caused by simple design errors or software failures but they may originate from the normal engineering design process that aims towards optimal fault-tolerance (Highly Optimized Tolerance). Thus, the modelling and design methods for highly inter-connected microservices and their embedding to physical network structure should be one of the focus areas in developing federated edge computing environments.  </w:t>
      </w:r>
    </w:p>
    <w:p w14:paraId="12A984A5" w14:textId="77777777" w:rsidR="00E00CB0" w:rsidRPr="00236EA8" w:rsidRDefault="00E00CB0" w:rsidP="00E00CB0">
      <w:pPr>
        <w:jc w:val="both"/>
        <w:rPr>
          <w:rFonts w:ascii="Arial" w:hAnsi="Arial" w:cs="Arial"/>
          <w:lang w:eastAsia="de-DE"/>
        </w:rPr>
      </w:pPr>
    </w:p>
    <w:p w14:paraId="0C526E02"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val="en-US"/>
        </w:rPr>
      </w:pPr>
      <w:bookmarkStart w:id="184" w:name="_Ref39794005"/>
      <w:bookmarkStart w:id="185" w:name="_Toc39071530"/>
      <w:bookmarkStart w:id="186" w:name="_Toc42177272"/>
      <w:r w:rsidRPr="00236EA8">
        <w:rPr>
          <w:rFonts w:ascii="Arial" w:eastAsiaTheme="majorEastAsia" w:hAnsi="Arial" w:cs="Arial"/>
          <w:b/>
          <w:sz w:val="26"/>
          <w:szCs w:val="26"/>
          <w:lang w:val="en-US"/>
        </w:rPr>
        <w:t xml:space="preserve">Edge, Mobile </w:t>
      </w:r>
      <w:r w:rsidRPr="00236EA8">
        <w:rPr>
          <w:rFonts w:ascii="Arial" w:eastAsiaTheme="majorEastAsia" w:hAnsi="Arial" w:cs="Arial"/>
          <w:b/>
          <w:sz w:val="26"/>
          <w:szCs w:val="26"/>
          <w:lang w:eastAsia="de-DE"/>
        </w:rPr>
        <w:t>Edge</w:t>
      </w:r>
      <w:r w:rsidRPr="00236EA8">
        <w:rPr>
          <w:rFonts w:ascii="Arial" w:eastAsiaTheme="majorEastAsia" w:hAnsi="Arial" w:cs="Arial"/>
          <w:b/>
          <w:sz w:val="26"/>
          <w:szCs w:val="26"/>
          <w:lang w:val="en-US"/>
        </w:rPr>
        <w:t xml:space="preserve"> Computing and Processing</w:t>
      </w:r>
      <w:bookmarkEnd w:id="184"/>
      <w:bookmarkEnd w:id="185"/>
      <w:bookmarkEnd w:id="186"/>
    </w:p>
    <w:p w14:paraId="515301D1"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val="en-US"/>
        </w:rPr>
      </w:pPr>
    </w:p>
    <w:p w14:paraId="78798684" w14:textId="77777777" w:rsidR="00E00CB0" w:rsidRPr="00236EA8" w:rsidRDefault="00E00CB0" w:rsidP="00E00CB0">
      <w:pPr>
        <w:jc w:val="both"/>
        <w:rPr>
          <w:rFonts w:ascii="Arial" w:hAnsi="Arial" w:cs="Arial"/>
          <w:lang w:val="en-US"/>
        </w:rPr>
      </w:pPr>
      <w:r w:rsidRPr="00236EA8">
        <w:rPr>
          <w:rFonts w:ascii="Arial" w:hAnsi="Arial" w:cs="Arial"/>
          <w:lang w:val="en-US"/>
        </w:rPr>
        <w:t>These approaches require responsive network connectivity to allow “things” and humans to touch, feel, manipulate and control objects in real or virtual environments. Edge processing in the architecture is essential for ultra-low latency and reliability, while the AI processing is transferred at the mobile/IoT device. Research challenges in this area cover open distributed edge computing architectures and implementations for IoT and integrated IoT distributed architectures for IT/OT integration, heterogeneous wireless communication and networking in edge computing for IoT, and orchestration techniques for providing compute resources in separate islands. In addition, built-in end-to-end distributed security, trustworthiness and privacy issues in edge computing for IoT are important, as well as federation and cross-platform service supply for IoT.</w:t>
      </w:r>
    </w:p>
    <w:p w14:paraId="692A5CC1" w14:textId="77777777" w:rsidR="00E00CB0" w:rsidRPr="00236EA8" w:rsidRDefault="00E00CB0" w:rsidP="00E00CB0">
      <w:pPr>
        <w:jc w:val="both"/>
        <w:rPr>
          <w:rFonts w:ascii="Arial" w:hAnsi="Arial" w:cs="Arial"/>
          <w:lang w:val="en-US"/>
        </w:rPr>
      </w:pPr>
      <w:r w:rsidRPr="00236EA8">
        <w:rPr>
          <w:rFonts w:ascii="Arial" w:hAnsi="Arial" w:cs="Arial"/>
          <w:lang w:val="en-US"/>
        </w:rPr>
        <w:t>Similarly, distributed service provisioning will extend also even beyond the edge, i.e., to on-premises devices such as Industrial IoT devices, robots, AGVs, connected cars. Novel forms of dynamic resource discovery, management and orchestration are required, allowing service provisioning to exploit on-premises devices as “on-demand” extensions of resources provided from the core or the edge. In this framework, novel resource control schemes, balancing between autonomy of devices and the overall optimization and control of the network by the operator(s) will be required, thus innovating the existing collaboration models between different network service providers. This will also allow to take in better account users’ context, exploiting the typical co-location of users with on-premises devices and, sometimes, their very tight physical bound. In this sense, this approach will allow designing network services in a more user-centric way.</w:t>
      </w:r>
    </w:p>
    <w:p w14:paraId="19353A0C" w14:textId="77777777" w:rsidR="00E00CB0" w:rsidRDefault="00E00CB0" w:rsidP="00E00CB0">
      <w:pPr>
        <w:jc w:val="both"/>
        <w:rPr>
          <w:rFonts w:ascii="Arial" w:hAnsi="Arial" w:cs="Arial"/>
          <w:lang w:val="en-US"/>
        </w:rPr>
      </w:pPr>
      <w:r w:rsidRPr="00236EA8">
        <w:rPr>
          <w:rFonts w:ascii="Arial" w:hAnsi="Arial" w:cs="Arial"/>
          <w:b/>
          <w:bCs/>
          <w:lang w:val="en-US"/>
        </w:rPr>
        <w:t>IoT Distributed and Federated Architectures Integrated with 5G architecture and AI</w:t>
      </w:r>
      <w:r w:rsidRPr="00236EA8">
        <w:rPr>
          <w:rFonts w:ascii="Arial" w:hAnsi="Arial" w:cs="Arial"/>
          <w:lang w:val="en-US"/>
        </w:rPr>
        <w:t xml:space="preserve">: Further research is needed in novel IoT distributed architectures to address the convergence of (low latency) Tactile Internet, edge processing, AI and distributed security based on ledger or other technologies, and the use of multi-access edge computing. Research challenges include serving the specific architectural requirements for distributed intelligence and context awareness at the edge, integration with network architectures, forming a knowledge-centric </w:t>
      </w:r>
      <w:r w:rsidRPr="00236EA8">
        <w:rPr>
          <w:rFonts w:ascii="Arial" w:hAnsi="Arial" w:cs="Arial"/>
          <w:lang w:val="en-US"/>
        </w:rPr>
        <w:lastRenderedPageBreak/>
        <w:t>network for IoT, cross-layer, serving many applications in a heterogeneous network (including non-functional aspects such as energy consumption) and adaptation of software defined radio and networking technologies in the IoT.</w:t>
      </w:r>
    </w:p>
    <w:p w14:paraId="2A00A159" w14:textId="77777777" w:rsidR="00E00CB0" w:rsidRPr="00236EA8" w:rsidRDefault="00E00CB0" w:rsidP="00E00CB0">
      <w:pPr>
        <w:jc w:val="both"/>
        <w:rPr>
          <w:rFonts w:ascii="Arial" w:hAnsi="Arial" w:cs="Arial"/>
          <w:lang w:val="en-US"/>
        </w:rPr>
      </w:pPr>
    </w:p>
    <w:p w14:paraId="753A95A4" w14:textId="77777777" w:rsidR="00E00CB0" w:rsidRDefault="00E00CB0" w:rsidP="00124439">
      <w:pPr>
        <w:keepNext/>
        <w:keepLines/>
        <w:numPr>
          <w:ilvl w:val="1"/>
          <w:numId w:val="9"/>
        </w:numPr>
        <w:tabs>
          <w:tab w:val="num" w:pos="360"/>
        </w:tabs>
        <w:spacing w:before="120" w:after="0" w:line="240" w:lineRule="auto"/>
        <w:ind w:left="0" w:firstLine="0"/>
        <w:jc w:val="both"/>
        <w:outlineLvl w:val="1"/>
        <w:rPr>
          <w:rFonts w:ascii="Arial" w:eastAsiaTheme="majorEastAsia" w:hAnsi="Arial" w:cs="Arial"/>
          <w:b/>
          <w:sz w:val="26"/>
          <w:szCs w:val="26"/>
          <w:lang w:eastAsia="de-DE"/>
        </w:rPr>
      </w:pPr>
      <w:bookmarkStart w:id="187" w:name="_Toc39071531"/>
      <w:bookmarkStart w:id="188" w:name="_Toc37177702"/>
      <w:bookmarkStart w:id="189" w:name="_Toc42177273"/>
      <w:r w:rsidRPr="00236EA8">
        <w:rPr>
          <w:rFonts w:ascii="Arial" w:eastAsiaTheme="majorEastAsia" w:hAnsi="Arial" w:cs="Arial"/>
          <w:b/>
          <w:sz w:val="26"/>
          <w:szCs w:val="26"/>
          <w:lang w:eastAsia="de-DE"/>
        </w:rPr>
        <w:t>Edge AI</w:t>
      </w:r>
      <w:bookmarkEnd w:id="187"/>
      <w:bookmarkEnd w:id="188"/>
      <w:bookmarkEnd w:id="189"/>
    </w:p>
    <w:p w14:paraId="638BAB43" w14:textId="77777777" w:rsidR="00E00CB0" w:rsidRPr="00236EA8" w:rsidRDefault="00E00CB0" w:rsidP="00E00CB0">
      <w:pPr>
        <w:keepNext/>
        <w:keepLines/>
        <w:spacing w:before="120" w:after="0" w:line="240" w:lineRule="auto"/>
        <w:jc w:val="both"/>
        <w:outlineLvl w:val="1"/>
        <w:rPr>
          <w:rFonts w:ascii="Arial" w:eastAsiaTheme="majorEastAsia" w:hAnsi="Arial" w:cs="Arial"/>
          <w:b/>
          <w:sz w:val="26"/>
          <w:szCs w:val="26"/>
          <w:lang w:eastAsia="de-DE"/>
        </w:rPr>
      </w:pPr>
    </w:p>
    <w:p w14:paraId="00361EC2" w14:textId="020B5127" w:rsidR="00E00CB0" w:rsidRPr="00236EA8" w:rsidRDefault="00E00CB0" w:rsidP="00C42C17">
      <w:pPr>
        <w:spacing w:after="0"/>
        <w:jc w:val="both"/>
        <w:rPr>
          <w:rFonts w:ascii="Arial" w:hAnsi="Arial" w:cs="Arial"/>
        </w:rPr>
      </w:pPr>
      <w:r w:rsidRPr="00236EA8">
        <w:rPr>
          <w:rFonts w:ascii="Arial" w:hAnsi="Arial" w:cs="Arial"/>
        </w:rPr>
        <w:t xml:space="preserve">According to </w:t>
      </w:r>
      <w:r w:rsidR="00DA6395" w:rsidRPr="00DA6395">
        <w:rPr>
          <w:rFonts w:ascii="Arial" w:hAnsi="Arial" w:cs="Arial"/>
        </w:rPr>
        <w:t>[C</w:t>
      </w:r>
      <w:r w:rsidR="00DA6395">
        <w:rPr>
          <w:rFonts w:ascii="Arial" w:hAnsi="Arial" w:cs="Arial"/>
        </w:rPr>
        <w:t>5</w:t>
      </w:r>
      <w:r w:rsidR="00DA6395" w:rsidRPr="00DA6395">
        <w:rPr>
          <w:rFonts w:ascii="Arial" w:hAnsi="Arial" w:cs="Arial"/>
        </w:rPr>
        <w:t>-1]</w:t>
      </w:r>
      <w:r w:rsidRPr="00236EA8">
        <w:rPr>
          <w:rFonts w:ascii="Arial" w:hAnsi="Arial" w:cs="Arial"/>
        </w:rPr>
        <w:t xml:space="preserve">, 850 ZB of data will be generated by people, machines and sensors at the network edge by 2021. The physical proximity between the data and the computational resources provided by the edge computing represents a promising marriage, the so-called edge intelligence or edge AI </w:t>
      </w:r>
      <w:r w:rsidR="00DA6395" w:rsidRPr="00DA6395">
        <w:rPr>
          <w:rFonts w:ascii="Arial" w:hAnsi="Arial" w:cs="Arial"/>
        </w:rPr>
        <w:t>[C</w:t>
      </w:r>
      <w:r w:rsidR="00DA6395">
        <w:rPr>
          <w:rFonts w:ascii="Arial" w:hAnsi="Arial" w:cs="Arial"/>
        </w:rPr>
        <w:t>5-26</w:t>
      </w:r>
      <w:r w:rsidR="00DA6395" w:rsidRPr="00DA6395">
        <w:rPr>
          <w:rFonts w:ascii="Arial" w:hAnsi="Arial" w:cs="Arial"/>
        </w:rPr>
        <w:t>]</w:t>
      </w:r>
      <w:r w:rsidRPr="00236EA8">
        <w:rPr>
          <w:rFonts w:ascii="Arial" w:hAnsi="Arial" w:cs="Arial"/>
        </w:rPr>
        <w:t>. Moreover, the recent booming of deep learning has been achieved thanks to the innovations in hardware, which allows to manage neural networks of many layers. However, these networks need more data in order to learn the huge number of parameters they are composed of. Moving these data toward a centralized cloud can be very inefficient in terms of delay, cost and energy. Therefore, in order to efficiently exploit data on the edge, the scope of edge AI is twofold: run AI models (inference) and train AI models (training).</w:t>
      </w:r>
    </w:p>
    <w:p w14:paraId="37469DCB" w14:textId="21CE393B" w:rsidR="00E00CB0" w:rsidRPr="00236EA8" w:rsidRDefault="00E00CB0" w:rsidP="00C42C17">
      <w:pPr>
        <w:spacing w:after="0"/>
        <w:jc w:val="both"/>
        <w:rPr>
          <w:rFonts w:ascii="Arial" w:hAnsi="Arial" w:cs="Arial"/>
        </w:rPr>
      </w:pPr>
      <w:r w:rsidRPr="00236EA8">
        <w:rPr>
          <w:rFonts w:ascii="Arial" w:hAnsi="Arial" w:cs="Arial"/>
        </w:rPr>
        <w:t xml:space="preserve">For what concern the training, the main problem of a distributed solution is the convergence of a consensus, i.e., whether and how fast the training can be considered finalized. This problem is related on how the gradient is synchronized and updated. Several solutions have been proposed in this respect, the most promising one being represented by federated learning </w:t>
      </w:r>
      <w:r w:rsidR="00DA6395" w:rsidRPr="00DA6395">
        <w:rPr>
          <w:rFonts w:ascii="Arial" w:hAnsi="Arial" w:cs="Arial"/>
        </w:rPr>
        <w:t>[C</w:t>
      </w:r>
      <w:r w:rsidR="00DA6395">
        <w:rPr>
          <w:rFonts w:ascii="Arial" w:hAnsi="Arial" w:cs="Arial"/>
        </w:rPr>
        <w:t>5-29</w:t>
      </w:r>
      <w:r w:rsidR="00DA6395" w:rsidRPr="00DA6395">
        <w:rPr>
          <w:rFonts w:ascii="Arial" w:hAnsi="Arial" w:cs="Arial"/>
        </w:rPr>
        <w:t>]</w:t>
      </w:r>
      <w:r w:rsidR="00DA6395">
        <w:rPr>
          <w:rFonts w:ascii="Arial" w:hAnsi="Arial" w:cs="Arial"/>
        </w:rPr>
        <w:t>.</w:t>
      </w:r>
      <w:r w:rsidRPr="00236EA8">
        <w:rPr>
          <w:rFonts w:ascii="Arial" w:hAnsi="Arial" w:cs="Arial"/>
        </w:rPr>
        <w:t xml:space="preserve"> In this solution, the server is in charge of combining the results of the training of a shared model. Specific gradient methods have to be used, like the Selective Stochastic Gradient Descent </w:t>
      </w:r>
      <w:r w:rsidR="00DA6395" w:rsidRPr="00DA6395">
        <w:rPr>
          <w:rFonts w:ascii="Arial" w:hAnsi="Arial" w:cs="Arial"/>
        </w:rPr>
        <w:t>[C</w:t>
      </w:r>
      <w:r w:rsidR="00DA6395">
        <w:rPr>
          <w:rFonts w:ascii="Arial" w:hAnsi="Arial" w:cs="Arial"/>
        </w:rPr>
        <w:t>5-30</w:t>
      </w:r>
      <w:r w:rsidR="00DA6395" w:rsidRPr="00DA6395">
        <w:rPr>
          <w:rFonts w:ascii="Arial" w:hAnsi="Arial" w:cs="Arial"/>
        </w:rPr>
        <w:t>]</w:t>
      </w:r>
      <w:r w:rsidRPr="00236EA8">
        <w:rPr>
          <w:rFonts w:ascii="Arial" w:hAnsi="Arial" w:cs="Arial"/>
        </w:rPr>
        <w:t xml:space="preserve">, which however is not optimized for working with unbalanced and non i.i.d. (independent identical distribution) data. The frequency of the updates of the model at the central server is also an open issue. Too frequent updates allow to relax the hardware constraints of the edge, but imply more risks for the unreliable network communications. An interesting approach to overcome this issue is the Blockchain Federated Learning </w:t>
      </w:r>
      <w:r w:rsidR="00DA6395" w:rsidRPr="00DA6395">
        <w:rPr>
          <w:rFonts w:ascii="Arial" w:hAnsi="Arial" w:cs="Arial"/>
        </w:rPr>
        <w:t>[C</w:t>
      </w:r>
      <w:r w:rsidR="00DA6395">
        <w:rPr>
          <w:rFonts w:ascii="Arial" w:hAnsi="Arial" w:cs="Arial"/>
        </w:rPr>
        <w:t>5-29</w:t>
      </w:r>
      <w:r w:rsidR="00DA6395" w:rsidRPr="00DA6395">
        <w:rPr>
          <w:rFonts w:ascii="Arial" w:hAnsi="Arial" w:cs="Arial"/>
        </w:rPr>
        <w:t>]</w:t>
      </w:r>
      <w:r w:rsidRPr="00236EA8">
        <w:rPr>
          <w:rFonts w:ascii="Arial" w:hAnsi="Arial" w:cs="Arial"/>
        </w:rPr>
        <w:t xml:space="preserve">, which allows to work without a central server by performing the updates via blockchain. Another interesting solution is the Knowledge Transfer Learning, where a teacher network is trained with general data and then student networks are retrained on a more specific local dataset. This allows to reduce the resource demand at the edge devices. </w:t>
      </w:r>
    </w:p>
    <w:p w14:paraId="2B2039C2" w14:textId="62DDA33E" w:rsidR="00E00CB0" w:rsidRPr="00236EA8" w:rsidRDefault="00E00CB0" w:rsidP="00C42C17">
      <w:pPr>
        <w:spacing w:after="0"/>
        <w:jc w:val="both"/>
        <w:rPr>
          <w:rFonts w:ascii="Arial" w:hAnsi="Arial" w:cs="Arial"/>
        </w:rPr>
      </w:pPr>
      <w:r w:rsidRPr="00236EA8">
        <w:rPr>
          <w:rFonts w:ascii="Arial" w:hAnsi="Arial" w:cs="Arial"/>
        </w:rPr>
        <w:t xml:space="preserve">For what concern the inference, the main problem is the limited resources of the devices at the edge. In this case the solutions try to relax the computational requirements of the model when performing the inference. In model compression, some of the weights can be pruned according to a specific policy, e.g., their magnitude </w:t>
      </w:r>
      <w:r w:rsidR="00DA6395" w:rsidRPr="00DA6395">
        <w:rPr>
          <w:rFonts w:ascii="Arial" w:hAnsi="Arial" w:cs="Arial"/>
        </w:rPr>
        <w:t>[C</w:t>
      </w:r>
      <w:r w:rsidR="00DA6395">
        <w:rPr>
          <w:rFonts w:ascii="Arial" w:hAnsi="Arial" w:cs="Arial"/>
        </w:rPr>
        <w:t>5-32</w:t>
      </w:r>
      <w:r w:rsidR="00DA6395" w:rsidRPr="00DA6395">
        <w:rPr>
          <w:rFonts w:ascii="Arial" w:hAnsi="Arial" w:cs="Arial"/>
        </w:rPr>
        <w:t>]</w:t>
      </w:r>
      <w:r w:rsidRPr="00236EA8">
        <w:rPr>
          <w:rFonts w:ascii="Arial" w:hAnsi="Arial" w:cs="Arial"/>
        </w:rPr>
        <w:t xml:space="preserve">, the energy </w:t>
      </w:r>
      <w:r w:rsidR="00DA6395" w:rsidRPr="00DA6395">
        <w:rPr>
          <w:rFonts w:ascii="Arial" w:hAnsi="Arial" w:cs="Arial"/>
        </w:rPr>
        <w:t>[C</w:t>
      </w:r>
      <w:r w:rsidR="00DA6395">
        <w:rPr>
          <w:rFonts w:ascii="Arial" w:hAnsi="Arial" w:cs="Arial"/>
        </w:rPr>
        <w:t>5</w:t>
      </w:r>
      <w:r w:rsidR="00DA6395" w:rsidRPr="00DA6395">
        <w:rPr>
          <w:rFonts w:ascii="Arial" w:hAnsi="Arial" w:cs="Arial"/>
        </w:rPr>
        <w:t>-</w:t>
      </w:r>
      <w:r w:rsidR="00DA6395">
        <w:rPr>
          <w:rFonts w:ascii="Arial" w:hAnsi="Arial" w:cs="Arial"/>
        </w:rPr>
        <w:t>3</w:t>
      </w:r>
      <w:r w:rsidR="00DA6395" w:rsidRPr="00DA6395">
        <w:rPr>
          <w:rFonts w:ascii="Arial" w:hAnsi="Arial" w:cs="Arial"/>
        </w:rPr>
        <w:t>1]</w:t>
      </w:r>
      <w:r w:rsidRPr="00236EA8">
        <w:rPr>
          <w:rFonts w:ascii="Arial" w:hAnsi="Arial" w:cs="Arial"/>
        </w:rPr>
        <w:t xml:space="preserve">. In model early-exit the inference is performed only with a subset of the network, according to the latency requirements. While, for reducing the computational complexity on the device model partition and input filtering represent interesting solutions, which rely on pre-processing the data on the device and perform the inference at the edge. When considering the processing of the original data, another technique that edge AI will need to investigate accurately on is data curation, which is the process of selecting the subset of data that is really valuable, especially when it comes from heterogeneous sources. </w:t>
      </w:r>
    </w:p>
    <w:p w14:paraId="0E549482" w14:textId="67C05F3A" w:rsidR="00E00CB0" w:rsidRPr="00236EA8" w:rsidRDefault="00E00CB0" w:rsidP="00E00CB0">
      <w:pPr>
        <w:jc w:val="both"/>
        <w:rPr>
          <w:rFonts w:ascii="Arial" w:eastAsia="Calibri" w:hAnsi="Arial" w:cs="Arial"/>
        </w:rPr>
      </w:pPr>
      <w:r w:rsidRPr="00236EA8">
        <w:rPr>
          <w:rFonts w:ascii="Arial" w:eastAsia="Calibri" w:hAnsi="Arial" w:cs="Arial"/>
        </w:rPr>
        <w:t>Particularly in the perspective of distributed services at the edge and beyond (see</w:t>
      </w:r>
      <w:r w:rsidR="00DA6395">
        <w:rPr>
          <w:rFonts w:ascii="Arial" w:eastAsia="Calibri" w:hAnsi="Arial" w:cs="Arial"/>
        </w:rPr>
        <w:t xml:space="preserve"> </w:t>
      </w:r>
      <w:r w:rsidRPr="00236EA8">
        <w:rPr>
          <w:rFonts w:ascii="Arial" w:eastAsia="Calibri" w:hAnsi="Arial" w:cs="Arial"/>
        </w:rPr>
        <w:fldChar w:fldCharType="begin"/>
      </w:r>
      <w:r w:rsidRPr="00236EA8">
        <w:rPr>
          <w:rFonts w:ascii="Arial" w:eastAsia="Calibri" w:hAnsi="Arial" w:cs="Arial"/>
        </w:rPr>
        <w:instrText xml:space="preserve"> REF _Ref39794005 \r \h </w:instrText>
      </w:r>
      <w:r>
        <w:rPr>
          <w:rFonts w:ascii="Arial" w:eastAsia="Calibri" w:hAnsi="Arial" w:cs="Arial"/>
        </w:rPr>
        <w:instrText xml:space="preserve"> \* MERGEFORMAT </w:instrText>
      </w:r>
      <w:r w:rsidRPr="00236EA8">
        <w:rPr>
          <w:rFonts w:ascii="Arial" w:eastAsia="Calibri" w:hAnsi="Arial" w:cs="Arial"/>
        </w:rPr>
      </w:r>
      <w:r w:rsidRPr="00236EA8">
        <w:rPr>
          <w:rFonts w:ascii="Arial" w:eastAsia="Calibri" w:hAnsi="Arial" w:cs="Arial"/>
        </w:rPr>
        <w:fldChar w:fldCharType="separate"/>
      </w:r>
      <w:r w:rsidR="003F0180">
        <w:rPr>
          <w:rFonts w:ascii="Arial" w:eastAsia="Calibri" w:hAnsi="Arial" w:cs="Arial"/>
        </w:rPr>
        <w:t>5.8</w:t>
      </w:r>
      <w:r w:rsidRPr="00236EA8">
        <w:rPr>
          <w:rFonts w:ascii="Arial" w:eastAsia="Calibri" w:hAnsi="Arial" w:cs="Arial"/>
        </w:rPr>
        <w:fldChar w:fldCharType="end"/>
      </w:r>
      <w:r w:rsidRPr="00236EA8">
        <w:rPr>
          <w:rFonts w:ascii="Arial" w:eastAsia="Calibri" w:hAnsi="Arial" w:cs="Arial"/>
        </w:rPr>
        <w:t>), edge AI is also a technique to keep data local to devices of their legitimate owners for privacy or ownership reasons such as, for example, data related to manufacturing processes in industrial environments. Moreover, keeping models “close” to edge devices might be the only viable solution to guarantee stringent time constraints. A research challenge is therefore how to guarantee accuracy and efficiency of both the training and inference phases given specific constraints in terms of where data can be moved inside the network.</w:t>
      </w:r>
    </w:p>
    <w:p w14:paraId="5DD1E836" w14:textId="77777777" w:rsidR="00E00CB0" w:rsidRPr="00236EA8" w:rsidRDefault="00E00CB0" w:rsidP="00C42C17">
      <w:pPr>
        <w:spacing w:after="0"/>
        <w:jc w:val="both"/>
        <w:rPr>
          <w:rFonts w:ascii="Arial" w:hAnsi="Arial" w:cs="Arial"/>
        </w:rPr>
      </w:pPr>
      <w:r w:rsidRPr="00236EA8">
        <w:rPr>
          <w:rFonts w:ascii="Arial" w:hAnsi="Arial" w:cs="Arial"/>
        </w:rPr>
        <w:lastRenderedPageBreak/>
        <w:t>AI will play an important role also for providing solution to the resource management problem in edge computing, the so-called AI for the edge, which is complementary to the problems above, where the issue is how to carry out the AI process on the edge (AI on the edge). Typical examples are radio resource management in wireless networking, computation offloading strategies and services placement and caching. In this case the challenges are on the model definition, which often has to be defined as a tractable Markov decision process, on the algorithm deployment, since it has to work on-line and, consequently, a trade-off between optimality and efficiency has to be found.</w:t>
      </w:r>
    </w:p>
    <w:p w14:paraId="58C6472B" w14:textId="34073A1F" w:rsidR="00E00CB0" w:rsidRPr="00236EA8" w:rsidRDefault="00E00CB0" w:rsidP="00C42C17">
      <w:pPr>
        <w:spacing w:after="0"/>
        <w:jc w:val="both"/>
        <w:rPr>
          <w:rFonts w:ascii="Arial" w:eastAsia="Calibri" w:hAnsi="Arial" w:cs="Arial"/>
          <w:color w:val="000000" w:themeColor="text1"/>
        </w:rPr>
      </w:pPr>
      <w:r w:rsidRPr="00236EA8">
        <w:rPr>
          <w:rFonts w:ascii="Arial" w:eastAsia="Calibri" w:hAnsi="Arial" w:cs="Arial"/>
          <w:color w:val="000000" w:themeColor="text1"/>
          <w:lang w:val="en-US"/>
        </w:rPr>
        <w:t xml:space="preserve">A possible distinction regarding in particular the application of AI parametric approximation models adopted for control and resource allocation purposes on the edge may be between “function approximation” and “parametrized infinite dimensional (or “functional”) optimization” </w:t>
      </w:r>
      <w:r w:rsidR="00DA6395" w:rsidRPr="00DA6395">
        <w:rPr>
          <w:rFonts w:ascii="Arial" w:hAnsi="Arial" w:cs="Arial"/>
        </w:rPr>
        <w:t>[C</w:t>
      </w:r>
      <w:r w:rsidR="00DA6395">
        <w:rPr>
          <w:rFonts w:ascii="Arial" w:hAnsi="Arial" w:cs="Arial"/>
        </w:rPr>
        <w:t>5-24</w:t>
      </w:r>
      <w:r w:rsidR="00DA6395" w:rsidRPr="00DA6395">
        <w:rPr>
          <w:rFonts w:ascii="Arial" w:hAnsi="Arial" w:cs="Arial"/>
        </w:rPr>
        <w:t>]</w:t>
      </w:r>
      <w:r w:rsidR="00DA6395">
        <w:rPr>
          <w:rFonts w:ascii="Arial" w:hAnsi="Arial" w:cs="Arial"/>
        </w:rPr>
        <w:t xml:space="preserve">. </w:t>
      </w:r>
      <w:r w:rsidRPr="00236EA8">
        <w:rPr>
          <w:rFonts w:ascii="Arial" w:eastAsia="Calibri" w:hAnsi="Arial" w:cs="Arial"/>
          <w:color w:val="000000" w:themeColor="text1"/>
          <w:lang w:val="en-US"/>
        </w:rPr>
        <w:t xml:space="preserve">The (functional) solution of many complex control and decision problems can be approximated by families of fixed structure parametrized functions, where parameters also appear within the basis functions themselves (e.g., one- or multiple-hidden-layer networks). If a family of approximating functions can be found that allows avoiding the so-called “curse of dimensionality” (the growth in the dimension of the parametrization with increasing number of variables the function to be approximated depends on), the optimization problem might be solved “off-line” (e.g., in the background in the cloud), whereas the “local” implementation of the decision strategies can be performed at almost negligible computational cost at the edge, over time frames within which the parameters do not vary. However, a possible problem to consider in this case would still be the transfer of big amounts of data to be processed. In this respect, techniques of local data aggregation and pre-processing, redundancy reduction, importance sampling and the like are worth investigating in this context. On the other hand, distributed computational methods for the local coordinated execution of parametric optimization techniques are also of interest, to perform the strategy approximation over limited computational resources in the edge. </w:t>
      </w:r>
      <w:r w:rsidRPr="00236EA8">
        <w:rPr>
          <w:rFonts w:ascii="Arial" w:eastAsia="Calibri" w:hAnsi="Arial" w:cs="Arial"/>
          <w:color w:val="000000" w:themeColor="text1"/>
        </w:rPr>
        <w:t>It is also worth noting that parametric approximations of infinite dimensional (functional) optimization problems can be based on sound problem formulations, which can help understanding their algorithmic behaviour.</w:t>
      </w:r>
    </w:p>
    <w:p w14:paraId="49A51782" w14:textId="77777777" w:rsidR="00E00CB0" w:rsidRPr="00236EA8" w:rsidRDefault="00E00CB0" w:rsidP="00E00CB0">
      <w:pPr>
        <w:jc w:val="both"/>
        <w:rPr>
          <w:rFonts w:ascii="Arial" w:hAnsi="Arial" w:cs="Arial"/>
          <w:lang w:eastAsia="de-DE"/>
        </w:rPr>
      </w:pPr>
      <w:r w:rsidRPr="00236EA8">
        <w:rPr>
          <w:rFonts w:ascii="Arial" w:hAnsi="Arial" w:cs="Arial"/>
          <w:lang w:eastAsia="de-DE"/>
        </w:rPr>
        <w:t>AI techniques and methods are necessary for IoT in an edge computing environment to provide advanced analytics and autonomous decision making. AI encompasses various, siloed technologies including Machine Learning, Deep Learning, Natural Language Processing, etc. In future IoT applications, AI techniques and methods will be increasingly embedded within several IoT architectural layers to strengthen security, safeguard assets and reduce fraud. Research challenges overlap with topics identified earlier in this document but it is worth mentioning AI-IoT integration subjects at the “edge” such as new energy- and resource-efficient methods for image recognition, edge computing implementations (neuromorphic, in-memory, distributed), distributed IoT end-to-end security, swarm intelligence algorithms, etc.</w:t>
      </w:r>
    </w:p>
    <w:p w14:paraId="22B0E634" w14:textId="2DBCAA7A" w:rsidR="00E00CB0" w:rsidRPr="00DA6395" w:rsidRDefault="00E00CB0" w:rsidP="00DA6395">
      <w:pPr>
        <w:jc w:val="both"/>
        <w:rPr>
          <w:rFonts w:ascii="Arial" w:hAnsi="Arial" w:cs="Arial"/>
          <w:lang w:eastAsia="de-DE"/>
        </w:rPr>
      </w:pPr>
      <w:r w:rsidRPr="00236EA8">
        <w:rPr>
          <w:rFonts w:ascii="Arial" w:hAnsi="Arial" w:cs="Arial"/>
        </w:rPr>
        <w:t>Finally, in the design of AI solutions it will be crucial to consider the energy consumed, as anticipated in the introduction. The high energy requirements of deep learning solutions suggest that both industry and academia promote the research of more energy efficient AI algorithms</w:t>
      </w:r>
      <w:r w:rsidR="00DA6395">
        <w:rPr>
          <w:rFonts w:ascii="Arial" w:hAnsi="Arial" w:cs="Arial"/>
        </w:rPr>
        <w:t xml:space="preserve"> </w:t>
      </w:r>
      <w:r w:rsidR="00DA6395" w:rsidRPr="00DA6395">
        <w:rPr>
          <w:rFonts w:ascii="Arial" w:hAnsi="Arial" w:cs="Arial"/>
        </w:rPr>
        <w:t>[C</w:t>
      </w:r>
      <w:r w:rsidR="00DA6395">
        <w:rPr>
          <w:rFonts w:ascii="Arial" w:hAnsi="Arial" w:cs="Arial"/>
        </w:rPr>
        <w:t>5-32</w:t>
      </w:r>
      <w:r w:rsidR="00DA6395" w:rsidRPr="00DA6395">
        <w:rPr>
          <w:rFonts w:ascii="Arial" w:hAnsi="Arial" w:cs="Arial"/>
        </w:rPr>
        <w:t>]</w:t>
      </w:r>
      <w:r w:rsidRPr="00236EA8">
        <w:rPr>
          <w:rFonts w:ascii="Arial" w:hAnsi="Arial" w:cs="Arial"/>
        </w:rPr>
        <w:t xml:space="preserve">. Moreover, all the new proposed AI solutions should be presented with their training time and computational resources required, as well as model sensitivity to hyperparameters. Examples of such analysis are the characterization of tuning time, which could reveal inconsistencies in time spent tuning baseline models compared to proposed contributions. To this respect, tools like Machine Learning Emission Calculator </w:t>
      </w:r>
      <w:r w:rsidR="00DA6395" w:rsidRPr="00DA6395">
        <w:rPr>
          <w:rFonts w:ascii="Arial" w:hAnsi="Arial" w:cs="Arial"/>
        </w:rPr>
        <w:t>[C</w:t>
      </w:r>
      <w:r w:rsidR="00DA6395">
        <w:rPr>
          <w:rFonts w:ascii="Arial" w:hAnsi="Arial" w:cs="Arial"/>
        </w:rPr>
        <w:t>5-33</w:t>
      </w:r>
      <w:r w:rsidR="00DA6395" w:rsidRPr="00DA6395">
        <w:rPr>
          <w:rFonts w:ascii="Arial" w:hAnsi="Arial" w:cs="Arial"/>
        </w:rPr>
        <w:t>]</w:t>
      </w:r>
      <w:r w:rsidRPr="00236EA8">
        <w:rPr>
          <w:rFonts w:ascii="Arial" w:hAnsi="Arial" w:cs="Arial"/>
        </w:rPr>
        <w:t xml:space="preserve"> and Green Algorithms </w:t>
      </w:r>
      <w:r w:rsidR="00DA6395" w:rsidRPr="00DA6395">
        <w:rPr>
          <w:rFonts w:ascii="Arial" w:hAnsi="Arial" w:cs="Arial"/>
        </w:rPr>
        <w:t>[C</w:t>
      </w:r>
      <w:r w:rsidR="00DA6395">
        <w:rPr>
          <w:rFonts w:ascii="Arial" w:hAnsi="Arial" w:cs="Arial"/>
        </w:rPr>
        <w:t>5-34</w:t>
      </w:r>
      <w:r w:rsidR="00DA6395" w:rsidRPr="00DA6395">
        <w:rPr>
          <w:rFonts w:ascii="Arial" w:hAnsi="Arial" w:cs="Arial"/>
        </w:rPr>
        <w:t>]</w:t>
      </w:r>
      <w:r w:rsidR="00DA6395">
        <w:rPr>
          <w:rFonts w:ascii="Arial" w:hAnsi="Arial" w:cs="Arial"/>
        </w:rPr>
        <w:t xml:space="preserve"> </w:t>
      </w:r>
      <w:r w:rsidRPr="00236EA8">
        <w:rPr>
          <w:rFonts w:ascii="Arial" w:hAnsi="Arial" w:cs="Arial"/>
        </w:rPr>
        <w:t xml:space="preserve">should be used to analyse, audit and report the carbon footprint of novel solutions proposed. </w:t>
      </w:r>
    </w:p>
    <w:p w14:paraId="03DD450B" w14:textId="77777777" w:rsidR="003F2CCB" w:rsidRDefault="003F2CCB">
      <w:pPr>
        <w:rPr>
          <w:rFonts w:ascii="Arial" w:eastAsiaTheme="majorEastAsia" w:hAnsi="Arial" w:cstheme="majorBidi"/>
          <w:b/>
          <w:sz w:val="36"/>
          <w:szCs w:val="32"/>
          <w:lang w:eastAsia="de-DE"/>
        </w:rPr>
      </w:pPr>
      <w:r>
        <w:rPr>
          <w:lang w:eastAsia="de-DE"/>
        </w:rPr>
        <w:br w:type="page"/>
      </w:r>
    </w:p>
    <w:p w14:paraId="28315D57" w14:textId="1BBEDAD1" w:rsidR="00837235" w:rsidRDefault="00837235" w:rsidP="00124439">
      <w:pPr>
        <w:pStyle w:val="Heading1"/>
        <w:numPr>
          <w:ilvl w:val="0"/>
          <w:numId w:val="9"/>
        </w:numPr>
        <w:rPr>
          <w:lang w:eastAsia="de-DE"/>
        </w:rPr>
      </w:pPr>
      <w:bookmarkStart w:id="190" w:name="_Toc42177274"/>
      <w:r w:rsidRPr="0012294F">
        <w:rPr>
          <w:lang w:eastAsia="de-DE"/>
        </w:rPr>
        <w:lastRenderedPageBreak/>
        <w:t xml:space="preserve">Radio </w:t>
      </w:r>
      <w:r w:rsidR="006757B7" w:rsidRPr="0012294F">
        <w:rPr>
          <w:lang w:eastAsia="de-DE"/>
        </w:rPr>
        <w:t>T</w:t>
      </w:r>
      <w:r w:rsidRPr="0012294F">
        <w:rPr>
          <w:lang w:eastAsia="de-DE"/>
        </w:rPr>
        <w:t xml:space="preserve">echnology and Signal </w:t>
      </w:r>
      <w:r w:rsidR="006757B7" w:rsidRPr="0012294F">
        <w:rPr>
          <w:lang w:eastAsia="de-DE"/>
        </w:rPr>
        <w:t>P</w:t>
      </w:r>
      <w:r w:rsidRPr="0012294F">
        <w:rPr>
          <w:lang w:eastAsia="de-DE"/>
        </w:rPr>
        <w:t>rocessing</w:t>
      </w:r>
      <w:bookmarkStart w:id="191" w:name="_Toc511140296"/>
      <w:bookmarkEnd w:id="156"/>
      <w:bookmarkEnd w:id="190"/>
      <w:bookmarkEnd w:id="191"/>
    </w:p>
    <w:p w14:paraId="3FAFB015" w14:textId="14248B67" w:rsidR="003F2CCB" w:rsidRDefault="003F2CCB" w:rsidP="003F2CCB">
      <w:pPr>
        <w:rPr>
          <w:lang w:eastAsia="de-DE"/>
        </w:rPr>
      </w:pPr>
    </w:p>
    <w:p w14:paraId="5B8D056F" w14:textId="04A912EB" w:rsidR="003F2CCB" w:rsidRPr="00DA5FA8" w:rsidRDefault="003F2CCB" w:rsidP="003F2CCB">
      <w:pPr>
        <w:spacing w:after="120"/>
        <w:jc w:val="both"/>
        <w:rPr>
          <w:rFonts w:ascii="Arial" w:hAnsi="Arial" w:cs="Arial"/>
        </w:rPr>
      </w:pPr>
      <w:r w:rsidRPr="00DA5FA8">
        <w:rPr>
          <w:rFonts w:ascii="Arial" w:hAnsi="Arial" w:cs="Arial"/>
        </w:rPr>
        <w:t>Whereas the current 5th generation wireless system provides basic support for a multitude of services, incl. enhanced mobile broadband (eMBB), massive machine type communications (mMTC), ultra-reliable low-latency communication (URLLC), V2X, etc, the beyond 5G/6G system is expected to meet significantly higher and more stringent requirements, such as Tbps data throughput, sub-ms latency, extremely high reliability, everywhere mMTC, extreme energy efficiency, very high security, cm-level accuracy localization, etc</w:t>
      </w:r>
      <w:r w:rsidR="0003266D">
        <w:rPr>
          <w:rFonts w:ascii="Arial" w:hAnsi="Arial" w:cs="Arial"/>
        </w:rPr>
        <w:t xml:space="preserve"> </w:t>
      </w:r>
      <w:r w:rsidR="0003266D">
        <w:rPr>
          <w:rFonts w:ascii="Arial" w:hAnsi="Arial" w:cs="Arial"/>
        </w:rPr>
        <w:fldChar w:fldCharType="begin"/>
      </w:r>
      <w:r w:rsidR="0003266D">
        <w:rPr>
          <w:rFonts w:ascii="Arial" w:hAnsi="Arial" w:cs="Arial"/>
        </w:rPr>
        <w:instrText xml:space="preserve"> REF _Ref42070716 \r \h </w:instrText>
      </w:r>
      <w:r w:rsidR="0003266D">
        <w:rPr>
          <w:rFonts w:ascii="Arial" w:hAnsi="Arial" w:cs="Arial"/>
        </w:rPr>
      </w:r>
      <w:r w:rsidR="0003266D">
        <w:rPr>
          <w:rFonts w:ascii="Arial" w:hAnsi="Arial" w:cs="Arial"/>
        </w:rPr>
        <w:fldChar w:fldCharType="separate"/>
      </w:r>
      <w:r w:rsidR="003F0180">
        <w:rPr>
          <w:rFonts w:ascii="Arial" w:hAnsi="Arial" w:cs="Arial"/>
        </w:rPr>
        <w:t>[C6-1]</w:t>
      </w:r>
      <w:r w:rsidR="0003266D">
        <w:rPr>
          <w:rFonts w:ascii="Arial" w:hAnsi="Arial" w:cs="Arial"/>
        </w:rPr>
        <w:fldChar w:fldCharType="end"/>
      </w:r>
      <w:r w:rsidRPr="00DA5FA8">
        <w:rPr>
          <w:rFonts w:ascii="Arial" w:hAnsi="Arial" w:cs="Arial"/>
        </w:rPr>
        <w:t xml:space="preserve">. </w:t>
      </w:r>
    </w:p>
    <w:p w14:paraId="4C16491E" w14:textId="77777777" w:rsidR="003F2CCB" w:rsidRPr="00DA5FA8" w:rsidRDefault="003F2CCB" w:rsidP="003F2CCB">
      <w:pPr>
        <w:spacing w:after="120"/>
        <w:jc w:val="both"/>
        <w:rPr>
          <w:rFonts w:ascii="Arial" w:hAnsi="Arial" w:cs="Arial"/>
        </w:rPr>
      </w:pPr>
      <w:r w:rsidRPr="00DA5FA8">
        <w:rPr>
          <w:rFonts w:ascii="Arial" w:hAnsi="Arial" w:cs="Arial"/>
        </w:rPr>
        <w:t xml:space="preserve">A straightforward way forward to deal with these challenges is to consider more and higher </w:t>
      </w:r>
      <w:r w:rsidRPr="00DA5FA8">
        <w:rPr>
          <w:rFonts w:ascii="Arial" w:hAnsi="Arial" w:cs="Arial"/>
          <w:lang w:eastAsia="zh-CN"/>
        </w:rPr>
        <w:t xml:space="preserve">electromagnetic spectrum such as the sub-THz or THz spectrum, infrared and visible light spectrum, and the relevant/specific transmit and receive technologies. Besides, the centimetre and millimetre spectrum currently utilised for 5G and other legacy wireless systems need to be re-farmed and more efficiently reused, and co-existence issues to be carefully addressed. In addition to further enhancing the widely used technologies (such as </w:t>
      </w:r>
      <w:r w:rsidRPr="00DA5FA8">
        <w:rPr>
          <w:rFonts w:ascii="Arial" w:eastAsia="Calibri" w:hAnsi="Arial" w:cs="Arial"/>
          <w:color w:val="000000"/>
        </w:rPr>
        <w:t>waveform, modulation and coding, non-orthogonal multiple access, full-duplex</w:t>
      </w:r>
      <w:r w:rsidRPr="00DA5FA8">
        <w:rPr>
          <w:rFonts w:ascii="Arial" w:hAnsi="Arial" w:cs="Arial"/>
          <w:lang w:eastAsia="zh-CN"/>
        </w:rPr>
        <w:t xml:space="preserve">, massive MIMO, etc) to approach the theoretic limits, e.g. in terms of spectral and energy efficiency, investigations are needed, e.g. for intelligent reflecting surfaces, </w:t>
      </w:r>
      <w:r w:rsidRPr="00DA5FA8">
        <w:rPr>
          <w:rFonts w:ascii="Arial" w:eastAsia="Calibri" w:hAnsi="Arial" w:cs="Arial"/>
          <w:color w:val="000000"/>
        </w:rPr>
        <w:t>integrated positioning, sensing and communications, random access for massive connections, w</w:t>
      </w:r>
      <w:r w:rsidRPr="00DA5FA8">
        <w:rPr>
          <w:rFonts w:ascii="Arial" w:eastAsia="Calibri" w:hAnsi="Arial" w:cs="Arial"/>
        </w:rPr>
        <w:t xml:space="preserve">ireless edge caching. Moreover, machine learning (ML) and artificial intelligence (AI) as a tool has been successfully applied in many applications. For the application in </w:t>
      </w:r>
      <w:r w:rsidRPr="00DA5FA8">
        <w:rPr>
          <w:rFonts w:ascii="Arial" w:hAnsi="Arial" w:cs="Arial"/>
          <w:lang w:eastAsia="zh-CN"/>
        </w:rPr>
        <w:t xml:space="preserve">communication technologies and radio interface design, careful study is required.  </w:t>
      </w:r>
    </w:p>
    <w:p w14:paraId="0DFFDCEB" w14:textId="77777777" w:rsidR="003F2CCB" w:rsidRPr="00DA5FA8" w:rsidRDefault="003F2CCB" w:rsidP="003F2CCB">
      <w:pPr>
        <w:spacing w:after="120"/>
        <w:jc w:val="both"/>
        <w:rPr>
          <w:rFonts w:ascii="Arial" w:hAnsi="Arial" w:cs="Arial"/>
        </w:rPr>
      </w:pPr>
      <w:r w:rsidRPr="00DA5FA8">
        <w:rPr>
          <w:rFonts w:ascii="Arial" w:hAnsi="Arial" w:cs="Arial"/>
        </w:rPr>
        <w:t>This chapter aims to address the enabling technologies for the next generation radio interface, including</w:t>
      </w:r>
    </w:p>
    <w:p w14:paraId="2BCACEC2"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Spectrum re-farming and reutilisation, as well as co-existence; </w:t>
      </w:r>
    </w:p>
    <w:p w14:paraId="1E6AA279"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Millimetre wave systems; </w:t>
      </w:r>
    </w:p>
    <w:p w14:paraId="7BE7C60F"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Optical wireless communications (OWC), especially VLC; </w:t>
      </w:r>
    </w:p>
    <w:p w14:paraId="05A61FF2"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Terahertz communications including new materials (graphene); </w:t>
      </w:r>
    </w:p>
    <w:p w14:paraId="51242901"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Massive and ultra-massive MIMO including intelligent reflecting surface; </w:t>
      </w:r>
    </w:p>
    <w:p w14:paraId="7345FE00"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Waveform, non-orthogonal multiple access and full-duplex; </w:t>
      </w:r>
    </w:p>
    <w:p w14:paraId="5F2E42C1"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Enhanced modulation and coding; </w:t>
      </w:r>
    </w:p>
    <w:p w14:paraId="0CC3D097"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Integrated positioning and sensing including radar; </w:t>
      </w:r>
    </w:p>
    <w:p w14:paraId="4F25E89A"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color w:val="000000"/>
        </w:rPr>
        <w:t xml:space="preserve">Random access for massive connections; </w:t>
      </w:r>
    </w:p>
    <w:p w14:paraId="7C593B2D" w14:textId="77777777" w:rsidR="003F2CCB" w:rsidRPr="00DA5FA8" w:rsidRDefault="003F2CCB" w:rsidP="00124439">
      <w:pPr>
        <w:pStyle w:val="ListParagraph"/>
        <w:numPr>
          <w:ilvl w:val="0"/>
          <w:numId w:val="40"/>
        </w:numPr>
        <w:spacing w:after="0" w:line="240" w:lineRule="auto"/>
        <w:jc w:val="both"/>
        <w:rPr>
          <w:rFonts w:ascii="Arial" w:hAnsi="Arial" w:cs="Arial"/>
          <w:color w:val="000000" w:themeColor="text1"/>
        </w:rPr>
      </w:pPr>
      <w:r w:rsidRPr="00DA5FA8">
        <w:rPr>
          <w:rFonts w:ascii="Arial" w:eastAsia="Calibri" w:hAnsi="Arial" w:cs="Arial"/>
        </w:rPr>
        <w:t>Wireless edge caching for further increased spectrum and energy efficiency</w:t>
      </w:r>
      <w:r w:rsidRPr="00DA5FA8">
        <w:rPr>
          <w:rFonts w:ascii="Arial" w:hAnsi="Arial" w:cs="Arial"/>
          <w:lang w:eastAsia="zh-CN"/>
        </w:rPr>
        <w:t>.</w:t>
      </w:r>
    </w:p>
    <w:p w14:paraId="06402862" w14:textId="77777777" w:rsidR="003F2CCB" w:rsidRPr="00DA5FA8" w:rsidRDefault="003F2CCB" w:rsidP="003F2CCB">
      <w:pPr>
        <w:rPr>
          <w:rFonts w:ascii="Arial" w:hAnsi="Arial" w:cs="Arial"/>
        </w:rPr>
      </w:pPr>
    </w:p>
    <w:p w14:paraId="6659F4F7" w14:textId="77777777" w:rsidR="003F2CCB" w:rsidRPr="00FB57C1" w:rsidRDefault="003F2CCB" w:rsidP="003F2CCB">
      <w:pPr>
        <w:pStyle w:val="Heading2"/>
        <w:spacing w:before="0" w:after="120"/>
        <w:jc w:val="both"/>
        <w:rPr>
          <w:rFonts w:cs="Arial"/>
          <w:color w:val="000000" w:themeColor="text1"/>
        </w:rPr>
      </w:pPr>
      <w:bookmarkStart w:id="192" w:name="_Toc32413490"/>
      <w:bookmarkStart w:id="193" w:name="_Toc32438288"/>
      <w:bookmarkStart w:id="194" w:name="_Toc42177275"/>
      <w:r w:rsidRPr="00FB57C1">
        <w:rPr>
          <w:rFonts w:cs="Arial"/>
          <w:color w:val="000000" w:themeColor="text1"/>
        </w:rPr>
        <w:t>Spectrum Re-farming and Reutilisation</w:t>
      </w:r>
      <w:bookmarkEnd w:id="192"/>
      <w:bookmarkEnd w:id="193"/>
      <w:bookmarkEnd w:id="194"/>
      <w:r w:rsidRPr="00FB57C1">
        <w:rPr>
          <w:rFonts w:cs="Arial"/>
          <w:color w:val="000000" w:themeColor="text1"/>
        </w:rPr>
        <w:t xml:space="preserve"> </w:t>
      </w:r>
    </w:p>
    <w:p w14:paraId="24179EDE"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Allocated frequency spectrum is one of the main factors that determines the system capacity. However, radio spectrum is a very scarce resource. Especially the lower frequency bands are precious and tightly regulated. In order to satisfy the high bandwidth demands of upcoming generations of mobile systems, it is crucial to reutilise the existing spectrum resources. While the traditional approach allocates a dedicated spectrum to each radio access technology (RAT), spectrum reutilisation between RATs offers a more efficient and flexible utilisation of resources, e.g., for load-balancing. Spectrum reutilisation, also known as spectrum sharing</w:t>
      </w:r>
      <w:r w:rsidRPr="00DA5FA8">
        <w:rPr>
          <w:rFonts w:ascii="Arial" w:hAnsi="Arial" w:cs="Arial"/>
          <w:i/>
          <w:color w:val="000000" w:themeColor="text1"/>
        </w:rPr>
        <w:t>,</w:t>
      </w:r>
      <w:r w:rsidRPr="00DA5FA8">
        <w:rPr>
          <w:rFonts w:ascii="Arial" w:hAnsi="Arial" w:cs="Arial"/>
          <w:color w:val="000000" w:themeColor="text1"/>
        </w:rPr>
        <w:t xml:space="preserve"> can be applied to both licensed and unlicensed bands.</w:t>
      </w:r>
    </w:p>
    <w:p w14:paraId="39367D25"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 straightforward approach to inter-RAT spectrum reutilisation is </w:t>
      </w:r>
      <w:r w:rsidRPr="00DA5FA8">
        <w:rPr>
          <w:rFonts w:ascii="Arial" w:hAnsi="Arial" w:cs="Arial"/>
          <w:i/>
          <w:color w:val="000000" w:themeColor="text1"/>
        </w:rPr>
        <w:t>spectrum re-farming</w:t>
      </w:r>
      <w:r w:rsidRPr="00DA5FA8">
        <w:rPr>
          <w:rFonts w:ascii="Arial" w:hAnsi="Arial" w:cs="Arial"/>
          <w:color w:val="000000" w:themeColor="text1"/>
        </w:rPr>
        <w:t>. Re-farming performs static allocation of spectrum resources to different RATs. This method was already used to clear GSM spectrum to make it available for 3G. Because of its static nature, it has a poor spectrum utilisation.</w:t>
      </w:r>
    </w:p>
    <w:p w14:paraId="7A6BCDC1"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lastRenderedPageBreak/>
        <w:t>A more efficient utilisation is achieved by dynamic inter-RAT resource scheduling with optimised multi-RAT handover and interference coordination. Preferably, this is based on a centralised multi-RAT radio resource management. The signalling overhead can be reduced by decentralised strategies.</w:t>
      </w:r>
    </w:p>
    <w:p w14:paraId="14C152BD" w14:textId="03BBDF1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For the joint utilisation of licensed and unlicensed spectrum, adaptive strategies are required such as cognitive radio concepts, in which spectrum awareness, e.g. based on a combination of advanced SIGINT (signal intelligence) techniques and AI (artificial intelligence) mechanisms, can be employed and co-existence with existing (e.g. analogue) services should be ensured.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theconventional sub-6GHz communications. Their highly directional links and susceptibility to blockage reduce interference, which significantly increases the potential gains of spectrum sharing and simplifies its use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_Ref32421077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w:t>
      </w:r>
      <w:r w:rsidRPr="00DA5FA8">
        <w:rPr>
          <w:rFonts w:ascii="Arial" w:hAnsi="Arial" w:cs="Arial"/>
          <w:color w:val="000000" w:themeColor="text1"/>
        </w:rPr>
        <w:fldChar w:fldCharType="end"/>
      </w:r>
      <w:r w:rsidRPr="00DA5FA8">
        <w:rPr>
          <w:rFonts w:ascii="Arial" w:hAnsi="Arial" w:cs="Arial"/>
          <w:color w:val="000000" w:themeColor="text1"/>
        </w:rPr>
        <w:t>.</w:t>
      </w:r>
    </w:p>
    <w:p w14:paraId="578FC63F"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Spectrum reutilisation is supported by multi-RAT connectivity, which allows the UE (user equipment) to choose the best RAT depending on the link qualities. This added diversity not only increases the performance due to better spectrum utilisation, it also makes the network more robust and resilient towards shadowing effects, hence improving the reliability and availability. On the other hand, spectrum awareness and reutilisation can help to </w:t>
      </w:r>
      <w:r w:rsidRPr="00DA5FA8">
        <w:rPr>
          <w:rFonts w:ascii="Arial" w:hAnsi="Arial" w:cs="Arial"/>
          <w:color w:val="000000" w:themeColor="text1"/>
          <w:lang w:val="en-US"/>
        </w:rPr>
        <w:t>increase security at radio level, e.g. through detection and countermeasure of threats such as RF jamming or spoofing.</w:t>
      </w:r>
    </w:p>
    <w:p w14:paraId="41B53175" w14:textId="77777777" w:rsidR="003F2CCB" w:rsidRPr="00DA5FA8" w:rsidRDefault="003F2CCB" w:rsidP="003F2CCB">
      <w:pPr>
        <w:spacing w:after="120"/>
        <w:jc w:val="both"/>
        <w:rPr>
          <w:rFonts w:ascii="Arial" w:hAnsi="Arial" w:cs="Arial"/>
        </w:rPr>
      </w:pPr>
      <w:r w:rsidRPr="00DA5FA8">
        <w:rPr>
          <w:rFonts w:ascii="Arial" w:hAnsi="Arial" w:cs="Arial"/>
          <w:color w:val="000000" w:themeColor="text1"/>
        </w:rPr>
        <w:t xml:space="preserve">Future networks will support different services, enabled by network slicing based on a multi-RAT radio access. Multi-RAT connectivity can also make flexible use of licensed and unlicensed bands. E.g., data and voice traffic can be offloaded to WiFi or LTE small cells operating in unlicensed bands as an enhanced mobility concept. Hence, utilising unlicensed bands is important and technologies to bring the quality to the licensed spectrum level are open to study. This not only increases the overall throughput but also enables low </w:t>
      </w:r>
      <w:r w:rsidRPr="00DA5FA8">
        <w:rPr>
          <w:rFonts w:ascii="Arial" w:hAnsi="Arial" w:cs="Arial"/>
        </w:rPr>
        <w:t>latency.</w:t>
      </w:r>
    </w:p>
    <w:p w14:paraId="5F3735C9" w14:textId="77777777" w:rsidR="003F2CCB" w:rsidRPr="00DA5FA8" w:rsidRDefault="003F2CCB" w:rsidP="003F2CCB">
      <w:pPr>
        <w:spacing w:after="120"/>
        <w:jc w:val="both"/>
        <w:rPr>
          <w:rFonts w:ascii="Arial" w:hAnsi="Arial" w:cs="Arial"/>
        </w:rPr>
      </w:pPr>
      <w:r w:rsidRPr="00DA5FA8">
        <w:rPr>
          <w:rFonts w:ascii="Arial" w:hAnsi="Arial" w:cs="Arial"/>
          <w:color w:val="000000" w:themeColor="text1"/>
        </w:rPr>
        <w:t>Network slicing and edge network function virtualization (NFV) also contemplate multi-RAT operating scenarios, based on highly reconfigurable software defined radio (SDR) hardware featuring heterogeneous processing resources (i.e., general purpose processing elements tightly coupled with hardware accelerators). The functionality of such agile SDR units could be updated at run-time according to traffic context, signal propagation conditions and required performance (e.g., in terms of throughput, latency, and resiliency). An efficient way to achieve field updates of this type is by jointly optimizing the multi-RAT radio and processing resources through suitably selected machine learning (ML) techniques.</w:t>
      </w:r>
    </w:p>
    <w:p w14:paraId="64174984" w14:textId="77777777" w:rsidR="003F2CCB" w:rsidRPr="00DA5FA8" w:rsidRDefault="003F2CCB" w:rsidP="003F2CCB">
      <w:pPr>
        <w:spacing w:after="120"/>
        <w:jc w:val="both"/>
        <w:rPr>
          <w:rFonts w:ascii="Arial" w:hAnsi="Arial" w:cs="Arial"/>
        </w:rPr>
      </w:pPr>
      <w:r w:rsidRPr="00DA5FA8">
        <w:rPr>
          <w:rFonts w:ascii="Arial" w:hAnsi="Arial" w:cs="Arial"/>
          <w:color w:val="000000" w:themeColor="text1"/>
        </w:rPr>
        <w:t xml:space="preserve">To evaluate these complex multi-RAT scenarios, open source simulation models for 4G and 5G technologies from 3GPP releases and different IEEE standard amendments in multiple bands, are needed for an end-to-end and high-fidelity evaluation of smart solutions. The simulation models need to capture the wide range of spectrum considered for communication services, e.g., from 0.4 up to 71 GHz for 5G NR Rel-17, and consider the multiple heterogeneous spectrum paradigms like licensed, unlicensed, dedicated and shared, which are to be harmoniously used through intelligent frameworks in order to take the best advantage of spectrum resources. </w:t>
      </w:r>
    </w:p>
    <w:p w14:paraId="6C6C4390" w14:textId="77777777" w:rsidR="003F2CCB" w:rsidRPr="00DA5FA8" w:rsidRDefault="003F2CCB" w:rsidP="003F2CCB">
      <w:pPr>
        <w:spacing w:after="120"/>
        <w:jc w:val="both"/>
        <w:rPr>
          <w:rFonts w:ascii="Arial" w:hAnsi="Arial" w:cs="Arial"/>
        </w:rPr>
      </w:pPr>
      <w:r w:rsidRPr="00DA5FA8">
        <w:rPr>
          <w:rFonts w:ascii="Arial" w:hAnsi="Arial" w:cs="Arial"/>
        </w:rPr>
        <w:t xml:space="preserve">Existing </w:t>
      </w:r>
      <w:r w:rsidRPr="00DA5FA8">
        <w:rPr>
          <w:rFonts w:ascii="Arial" w:hAnsi="Arial" w:cs="Arial"/>
          <w:i/>
        </w:rPr>
        <w:t>short-range wireless communication</w:t>
      </w:r>
      <w:r w:rsidRPr="00DA5FA8">
        <w:rPr>
          <w:rFonts w:ascii="Arial" w:hAnsi="Arial" w:cs="Arial"/>
        </w:rPr>
        <w:t xml:space="preserve"> technologies, including WiFi, Bluetooth and Zigbee, share the same spectrum, e.g. in 2.4GHz. Co-existence of diﬀerent wireless network technologies in/near such a carrier frequency may cause radio interference, which can lead to relatively high error rate in data transmission. This problem happens especially in unlicensed bands. How to efficiently share the spectrum and improve the co-existence needs careful </w:t>
      </w:r>
      <w:r w:rsidRPr="00DA5FA8">
        <w:rPr>
          <w:rFonts w:ascii="Arial" w:hAnsi="Arial" w:cs="Arial"/>
        </w:rPr>
        <w:lastRenderedPageBreak/>
        <w:t>considerations. Scalability and power efficiency are critical for success of a macro, micro, or pico network. Current short-range communication technology provides either high throughput with high power, or low throughput and low power consumption. Whereas IoT devices operate in a very low power mode in most of the time, they need to support a short-time high bandwidth transmission. Scalability is needed to support both short-time high throughput transmission and low power transmission. A unified and scalable architecture will be beneficial to support both low data rate (e.g. with Bluetooth, ZigBee, RFID, NFC, etc) and ultrahigh data rate (e.g. up to 100Gbps within 10m coverage). Further requirements to be considered include, e.g. scalable network topology supporting P2P (point-to-point), MP2MP (multipoint-to-multipoint), as well as the smart home and smart building coverage; more power/cost efficient designs, e.g. for zero-power consumption in some dedicated scenarios; and the capability of information and energy simultaneously transporting (IEST).</w:t>
      </w:r>
    </w:p>
    <w:p w14:paraId="1068D9C3" w14:textId="619EA688" w:rsidR="003F2CCB" w:rsidRPr="00DA5FA8" w:rsidRDefault="003F2CCB" w:rsidP="003F2CCB">
      <w:pPr>
        <w:jc w:val="both"/>
        <w:rPr>
          <w:rFonts w:ascii="Arial" w:hAnsi="Arial" w:cs="Arial"/>
        </w:rPr>
      </w:pPr>
      <w:r w:rsidRPr="00DA5FA8">
        <w:rPr>
          <w:rFonts w:ascii="Arial" w:hAnsi="Arial" w:cs="Arial"/>
          <w:color w:val="000000" w:themeColor="text1"/>
        </w:rPr>
        <w:t>The wide mmWave spectrum region accounts for different access paradigms, including licensed (e.g., 28 GHz bands), unlicensed (e.g., 60 GHz bands) and shared (e.g., 37 GHz bands) for various applications such as vehicular and cellular. Co-existence of multiple technologies and standards like 5G NR-U (NR in unlicensed), NR V2X (vehicle-to-everything communications) and 802.11ad, 802.11ay, 802.11bd in different spectrum</w:t>
      </w:r>
      <w:r w:rsidRPr="00DA5FA8" w:rsidDel="00C35C75">
        <w:rPr>
          <w:rFonts w:ascii="Arial" w:hAnsi="Arial" w:cs="Arial"/>
          <w:color w:val="000000" w:themeColor="text1"/>
        </w:rPr>
        <w:t xml:space="preserve"> </w:t>
      </w:r>
      <w:r w:rsidRPr="00DA5FA8">
        <w:rPr>
          <w:rFonts w:ascii="Arial" w:hAnsi="Arial" w:cs="Arial"/>
          <w:color w:val="000000" w:themeColor="text1"/>
        </w:rPr>
        <w:t xml:space="preserve">bands should be properly addressed considering various regulatory requirements and access mechanisms. Innovative solutions that increase spectral and energy efficiency need to be considered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_Ref38362024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w:t>
      </w:r>
      <w:r w:rsidRPr="00DA5FA8">
        <w:rPr>
          <w:rFonts w:ascii="Arial" w:hAnsi="Arial" w:cs="Arial"/>
          <w:color w:val="000000" w:themeColor="text1"/>
        </w:rPr>
        <w:fldChar w:fldCharType="end"/>
      </w:r>
      <w:r w:rsidRPr="00DA5FA8">
        <w:rPr>
          <w:rFonts w:ascii="Arial" w:hAnsi="Arial" w:cs="Arial"/>
          <w:color w:val="000000" w:themeColor="text1"/>
        </w:rPr>
        <w:t>.</w:t>
      </w:r>
    </w:p>
    <w:p w14:paraId="2176B76D" w14:textId="77777777" w:rsidR="003F2CCB" w:rsidRPr="00DA5FA8" w:rsidRDefault="003F2CCB" w:rsidP="003F2CCB">
      <w:pPr>
        <w:jc w:val="both"/>
        <w:rPr>
          <w:rFonts w:ascii="Arial" w:hAnsi="Arial" w:cs="Arial"/>
        </w:rPr>
      </w:pPr>
    </w:p>
    <w:p w14:paraId="6267A32B" w14:textId="77777777" w:rsidR="003F2CCB" w:rsidRPr="00FB57C1" w:rsidRDefault="003F2CCB" w:rsidP="003F2CCB">
      <w:pPr>
        <w:pStyle w:val="Heading2"/>
        <w:spacing w:before="0" w:after="120"/>
        <w:ind w:left="578" w:hanging="578"/>
        <w:jc w:val="both"/>
        <w:rPr>
          <w:rFonts w:cs="Arial"/>
        </w:rPr>
      </w:pPr>
      <w:bookmarkStart w:id="195" w:name="_Ref510625864"/>
      <w:bookmarkStart w:id="196" w:name="_Toc32413491"/>
      <w:bookmarkStart w:id="197" w:name="_Toc32438289"/>
      <w:bookmarkStart w:id="198" w:name="_Toc42177276"/>
      <w:r w:rsidRPr="00FB57C1">
        <w:rPr>
          <w:rFonts w:cs="Arial"/>
        </w:rPr>
        <w:t>Millimetre Wave</w:t>
      </w:r>
      <w:bookmarkEnd w:id="195"/>
      <w:r w:rsidRPr="00FB57C1">
        <w:rPr>
          <w:rFonts w:cs="Arial"/>
        </w:rPr>
        <w:t xml:space="preserve"> </w:t>
      </w:r>
      <w:bookmarkEnd w:id="196"/>
      <w:bookmarkEnd w:id="197"/>
      <w:r w:rsidRPr="00FB57C1">
        <w:rPr>
          <w:rFonts w:cs="Arial"/>
        </w:rPr>
        <w:t>System</w:t>
      </w:r>
      <w:bookmarkEnd w:id="198"/>
    </w:p>
    <w:p w14:paraId="3CEB88E8" w14:textId="7DB76A80"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Millimetre wave (mmWave) systems have attracted large research interest in recent years due to the huge available bandwidth required to fulfil the today’s traffic demand. This is reflected in WLAN and WPAN standards: in the license free 60 GHz band, the IEEE802.11ad WLAN standard provides rates up to 8 Gbps and the upcoming IEEE802.11ay WLAN standard will provide rates up to 30 Gbps. The fifth generation (5G) wireless networks aim to use mmWave in mobile networks, where the transmitter/receiver nodes may be moving, channels may have a complicated structure, and the coordination among multiple nodes is difficult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_Ref510624238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[C6-4]</w:t>
      </w:r>
      <w:r w:rsidRPr="00DA5FA8">
        <w:rPr>
          <w:rFonts w:ascii="Arial" w:hAnsi="Arial" w:cs="Arial"/>
          <w:noProof/>
          <w:color w:val="000000" w:themeColor="text1"/>
        </w:rPr>
        <w:fldChar w:fldCharType="end"/>
      </w:r>
      <w:r w:rsidRPr="00DA5FA8">
        <w:rPr>
          <w:rFonts w:ascii="Arial" w:hAnsi="Arial" w:cs="Arial"/>
          <w:noProof/>
          <w:color w:val="000000" w:themeColor="text1"/>
        </w:rPr>
        <w:t>.</w:t>
      </w:r>
      <w:r w:rsidRPr="00DA5FA8">
        <w:rPr>
          <w:rFonts w:ascii="Arial" w:hAnsi="Arial" w:cs="Arial"/>
          <w:color w:val="000000" w:themeColor="text1"/>
        </w:rPr>
        <w:t xml:space="preserve"> The 2018 Winter Olympics in Korea already provided first glimpse at the 5G services powered by Korea Telecom with support from global equipment makers. This show case included a 28 GHz mmWave backhaul network for moving hotspots, such as buses. Additionally, the mmWave band in combination with mobile edge computing (MEC) is highly suitable for on-demand content (multi-media) delivery services, hence enabling the enhanced mobile broadband (eMBB). This combination of mmWave and MEC is the only way to satisfy both extreme communications requirements of ultra-high speed and low latency at the same time. Beyond 2020, MEC is expected to enable automated driving using mmWave based V2X/V2V links. This requires, however, cooperative perception and the exchange of HD dynamic map information between vehicles and radio units, to enhance the visibility area. The automated driving use case can be considered as the most important application of mmWave and MEC, which requires both ultra-high speed and low latency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_Ref510624238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[C6-4]</w:t>
      </w:r>
      <w:r w:rsidRPr="00DA5FA8">
        <w:rPr>
          <w:rFonts w:ascii="Arial" w:hAnsi="Arial" w:cs="Arial"/>
          <w:noProof/>
          <w:color w:val="000000" w:themeColor="text1"/>
        </w:rPr>
        <w:fldChar w:fldCharType="end"/>
      </w:r>
      <w:r w:rsidRPr="00DA5FA8">
        <w:rPr>
          <w:rFonts w:ascii="Arial" w:hAnsi="Arial" w:cs="Arial"/>
          <w:color w:val="000000" w:themeColor="text1"/>
        </w:rPr>
        <w:t xml:space="preserve">. The high channel resolution due to the large bandwidth also makes mmWave technology a prime candidate for joint communication and radar, which can complement or replace conventional radar and lidar systems in autonomous vehicles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_Ref32422856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[C6-5]</w:t>
      </w:r>
      <w:r w:rsidRPr="00DA5FA8">
        <w:rPr>
          <w:rFonts w:ascii="Arial" w:hAnsi="Arial" w:cs="Arial"/>
          <w:color w:val="000000" w:themeColor="text1"/>
        </w:rPr>
        <w:fldChar w:fldCharType="end"/>
      </w:r>
      <w:r w:rsidRPr="00DA5FA8">
        <w:rPr>
          <w:rFonts w:ascii="Arial" w:hAnsi="Arial" w:cs="Arial"/>
          <w:color w:val="000000" w:themeColor="text1"/>
        </w:rPr>
        <w:t xml:space="preserve">. Mobile virtual and augmented reality application represent a further future use case with similarly high requirements that may only be met by mmWave technology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_Ref32423304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[C6-6]</w:t>
      </w:r>
      <w:r w:rsidRPr="00DA5FA8">
        <w:rPr>
          <w:rFonts w:ascii="Arial" w:hAnsi="Arial" w:cs="Arial"/>
          <w:color w:val="000000" w:themeColor="text1"/>
        </w:rPr>
        <w:fldChar w:fldCharType="end"/>
      </w:r>
      <w:r w:rsidRPr="00DA5FA8">
        <w:rPr>
          <w:rFonts w:ascii="Arial" w:hAnsi="Arial" w:cs="Arial"/>
          <w:color w:val="000000" w:themeColor="text1"/>
        </w:rPr>
        <w:t>.</w:t>
      </w:r>
    </w:p>
    <w:p w14:paraId="32EFEF6B" w14:textId="609B134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Beyond 5G, it is expected that the data traffic due to mobile nodes (smart phone and tablets) will be more than 100 petabytes per month by 2023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_Ref510624469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w:t>
      </w:r>
      <w:r w:rsidRPr="00DA5FA8">
        <w:rPr>
          <w:rFonts w:ascii="Arial" w:hAnsi="Arial" w:cs="Arial"/>
          <w:color w:val="000000" w:themeColor="text1"/>
        </w:rPr>
        <w:fldChar w:fldCharType="end"/>
      </w:r>
      <w:r w:rsidRPr="00DA5FA8">
        <w:rPr>
          <w:rFonts w:ascii="Arial" w:hAnsi="Arial" w:cs="Arial"/>
          <w:color w:val="000000" w:themeColor="text1"/>
        </w:rPr>
        <w:t xml:space="preserve">, which is 10 times of the traffic in </w:t>
      </w:r>
      <w:r w:rsidRPr="00DA5FA8">
        <w:rPr>
          <w:rFonts w:ascii="Arial" w:hAnsi="Arial" w:cs="Arial"/>
          <w:color w:val="000000" w:themeColor="text1"/>
        </w:rPr>
        <w:lastRenderedPageBreak/>
        <w:t>2017. In Western Europe</w:t>
      </w:r>
      <w:r w:rsidRPr="00DA5FA8">
        <w:rPr>
          <w:rFonts w:ascii="Arial" w:hAnsi="Arial" w:cs="Arial"/>
        </w:rPr>
        <w:t xml:space="preserve"> </w:t>
      </w:r>
      <w:r w:rsidRPr="00DA5FA8">
        <w:rPr>
          <w:rFonts w:ascii="Arial" w:hAnsi="Arial" w:cs="Arial"/>
          <w:color w:val="000000" w:themeColor="text1"/>
        </w:rPr>
        <w:t xml:space="preserve">alone, the data traffic is expected to be as high as 12 petabytes per month, which amounts to 56 terabytes per person per month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_Ref510624582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[C6-8]</w:t>
      </w:r>
      <w:r w:rsidRPr="00DA5FA8">
        <w:rPr>
          <w:rFonts w:ascii="Arial" w:hAnsi="Arial" w:cs="Arial"/>
          <w:color w:val="000000" w:themeColor="text1"/>
        </w:rPr>
        <w:fldChar w:fldCharType="end"/>
      </w:r>
      <w:r w:rsidRPr="00DA5FA8">
        <w:rPr>
          <w:rFonts w:ascii="Arial" w:hAnsi="Arial" w:cs="Arial"/>
          <w:color w:val="000000" w:themeColor="text1"/>
        </w:rPr>
        <w:t xml:space="preserve">, hence, offering a huge potential to exploit mmWave bands and even the Terahertz frequency range (not considered so far by 5G). It is projected 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_Ref510624677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w:t>
      </w:r>
      <w:r w:rsidRPr="00DA5FA8">
        <w:rPr>
          <w:rFonts w:ascii="Arial" w:hAnsi="Arial" w:cs="Arial"/>
          <w:color w:val="000000" w:themeColor="text1"/>
        </w:rPr>
        <w:fldChar w:fldCharType="end"/>
      </w:r>
      <w:r w:rsidRPr="00DA5FA8">
        <w:rPr>
          <w:rFonts w:ascii="Arial" w:hAnsi="Arial" w:cs="Arial"/>
          <w:color w:val="000000" w:themeColor="text1"/>
        </w:rPr>
        <w:t xml:space="preserve"> that the volume of traffic generated from smart phones will be 86% of the global data traffic by 2021 and among this more than 50% data will be offloaded to the fixed networks by means of Wi-Fi devices and small cells each month, while the remaining traffic will be covered by the cellular networks. In order to achieve high data rates, one would require a large amount of contiguous bandwidth suitable for communications over short ranges, that is to be found beyond 100 GHz, for example around 140 GHz. The use of these frequency bands provides an excellent opportunity, since many antennas can be packed in a small area to direct a beam to the intended user.</w:t>
      </w:r>
    </w:p>
    <w:p w14:paraId="39C0AC1F"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An important business case for mmWave is in so-called ‘smart factories – Industry 4.0’. Due to its ability for spectrum re-use that enables multi-connectivity for high reliability, mmWave provides a complementary solution to low frequencies. Additionally, due to the high penetration losses, mmWave is inherently more secure against eaves-dropper and is a suitable candidate for industry environments. An additional feature of mmWave is sensing/positioning with high accuracy. This allows detection with higher spatial and velocity resolution that is suitable for both V2X and industry automation scenarios. </w:t>
      </w:r>
    </w:p>
    <w:p w14:paraId="2F97E958" w14:textId="0AF1F8EF"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a variety of services offered by the 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_Ref510625093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w:t>
      </w:r>
      <w:r w:rsidRPr="00DA5FA8">
        <w:rPr>
          <w:rFonts w:ascii="Arial" w:hAnsi="Arial" w:cs="Arial"/>
          <w:color w:val="000000" w:themeColor="text1"/>
        </w:rPr>
        <w:fldChar w:fldCharType="end"/>
      </w:r>
      <w:r w:rsidRPr="00DA5FA8">
        <w:rPr>
          <w:rFonts w:ascii="Arial" w:hAnsi="Arial" w:cs="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71DFA4C4" w14:textId="73CE62D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One of the main challenges will be to manage the different network features introduced in 5G and developed beyond the first release and optimise them collectively. Diverse network components need to be integrated, such as D2D, self-backhauling, and multi-casting/broadcasting. While these technologies will be already available in 5G, the new challenge consists of extending them by advanced mmWave massive MIMO techniques, which are dynamically coordinated, considering interference and mobility. As mmWave network device density as well as the number of antenna elements and RF chains of devices increase, channel estimation overhead becomes a major challenge and intelligent solutions for initial access and beam training based on context information will be needed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_Ref32423686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w:t>
      </w:r>
      <w:r w:rsidRPr="00DA5FA8">
        <w:rPr>
          <w:rFonts w:ascii="Arial" w:hAnsi="Arial" w:cs="Arial"/>
          <w:color w:val="000000" w:themeColor="text1"/>
        </w:rPr>
        <w:fldChar w:fldCharType="end"/>
      </w:r>
      <w:r w:rsidRPr="00DA5FA8">
        <w:rPr>
          <w:rFonts w:ascii="Arial" w:hAnsi="Arial" w:cs="Arial"/>
          <w:color w:val="000000" w:themeColor="text1"/>
        </w:rPr>
        <w:t>.</w:t>
      </w:r>
    </w:p>
    <w:p w14:paraId="2BC0DE34" w14:textId="3150E88E"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 xml:space="preserve">Due to high propagation loss and severe atmospheric effects, mmWave communication are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_Ref524009809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w:t>
      </w:r>
      <w:r w:rsidRPr="00DA5FA8">
        <w:rPr>
          <w:rFonts w:ascii="Arial" w:hAnsi="Arial" w:cs="Arial"/>
          <w:color w:val="000000" w:themeColor="text1"/>
        </w:rPr>
        <w:fldChar w:fldCharType="end"/>
      </w:r>
      <w:r w:rsidRPr="00DA5FA8">
        <w:rPr>
          <w:rFonts w:ascii="Arial" w:hAnsi="Arial" w:cs="Arial"/>
          <w:color w:val="000000" w:themeColor="text1"/>
        </w:rPr>
        <w:t>.</w:t>
      </w:r>
    </w:p>
    <w:p w14:paraId="2119330E" w14:textId="77777777" w:rsidR="003F2CCB" w:rsidRPr="00DA5FA8" w:rsidRDefault="003F2CCB" w:rsidP="003F2CCB">
      <w:pPr>
        <w:rPr>
          <w:rFonts w:ascii="Arial" w:hAnsi="Arial" w:cs="Arial"/>
          <w:color w:val="000000" w:themeColor="text1"/>
        </w:rPr>
      </w:pPr>
    </w:p>
    <w:p w14:paraId="5EC86279" w14:textId="77777777" w:rsidR="003F2CCB" w:rsidRPr="00FB57C1" w:rsidRDefault="003F2CCB" w:rsidP="003F2CCB">
      <w:pPr>
        <w:pStyle w:val="Heading2"/>
        <w:spacing w:before="0" w:after="120"/>
        <w:ind w:left="578" w:hanging="578"/>
        <w:jc w:val="both"/>
        <w:rPr>
          <w:rFonts w:cs="Arial"/>
          <w:color w:val="000000" w:themeColor="text1"/>
        </w:rPr>
      </w:pPr>
      <w:bookmarkStart w:id="199" w:name="_Toc32413492"/>
      <w:bookmarkStart w:id="200" w:name="_Toc32438290"/>
      <w:bookmarkStart w:id="201" w:name="_Toc42177277"/>
      <w:r w:rsidRPr="00FB57C1">
        <w:rPr>
          <w:rFonts w:cs="Arial"/>
          <w:color w:val="000000" w:themeColor="text1"/>
        </w:rPr>
        <w:t>Optical Wireless Communication</w:t>
      </w:r>
      <w:bookmarkEnd w:id="199"/>
      <w:bookmarkEnd w:id="200"/>
      <w:bookmarkEnd w:id="201"/>
      <w:r w:rsidRPr="00FB57C1">
        <w:rPr>
          <w:rFonts w:cs="Arial"/>
          <w:color w:val="000000" w:themeColor="text1"/>
        </w:rPr>
        <w:t xml:space="preserve"> </w:t>
      </w:r>
    </w:p>
    <w:p w14:paraId="48769340" w14:textId="74F6DB26"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Despite the tremendous improvements due to the small cell concept and the allocation of new radio frequency (RF) spectrum, the continued exponential growth in mobile traffic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_Ref510625728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w:t>
      </w:r>
      <w:r w:rsidRPr="00DA5FA8">
        <w:rPr>
          <w:rFonts w:ascii="Arial" w:hAnsi="Arial" w:cs="Arial"/>
          <w:color w:val="000000" w:themeColor="text1"/>
        </w:rPr>
        <w:fldChar w:fldCharType="end"/>
      </w:r>
      <w:r w:rsidRPr="00DA5FA8">
        <w:rPr>
          <w:rFonts w:ascii="Arial" w:hAnsi="Arial" w:cs="Arial"/>
          <w:color w:val="000000" w:themeColor="text1"/>
        </w:rPr>
        <w:t xml:space="preserve"> means that inevitably the RF part of the electromagnetic spectrum will not be sufficient to be </w:t>
      </w:r>
      <w:r w:rsidRPr="00DA5FA8">
        <w:rPr>
          <w:rFonts w:ascii="Arial" w:hAnsi="Arial" w:cs="Arial"/>
          <w:color w:val="000000" w:themeColor="text1"/>
        </w:rPr>
        <w:lastRenderedPageBreak/>
        <w:t>able to drive the 4</w:t>
      </w:r>
      <w:r w:rsidRPr="00DA5FA8">
        <w:rPr>
          <w:rFonts w:ascii="Arial" w:hAnsi="Arial" w:cs="Arial"/>
          <w:color w:val="000000" w:themeColor="text1"/>
          <w:vertAlign w:val="superscript"/>
        </w:rPr>
        <w:t>th</w:t>
      </w:r>
      <w:r w:rsidRPr="00DA5FA8">
        <w:rPr>
          <w:rFonts w:ascii="Arial" w:hAnsi="Arial" w:cs="Arial"/>
          <w:color w:val="000000" w:themeColor="text1"/>
        </w:rPr>
        <w:t xml:space="preserve"> industry revolution which is centred around data-driven economies and data-driven societies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_Ref510625743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[C6-14]</w:t>
      </w:r>
      <w:r w:rsidRPr="00DA5FA8">
        <w:rPr>
          <w:rFonts w:ascii="Arial" w:hAnsi="Arial" w:cs="Arial"/>
          <w:color w:val="000000" w:themeColor="text1"/>
        </w:rPr>
        <w:fldChar w:fldCharType="end"/>
      </w:r>
      <w:r w:rsidRPr="00DA5FA8">
        <w:rPr>
          <w:rFonts w:ascii="Arial" w:hAnsi="Arial" w:cs="Arial"/>
          <w:color w:val="000000" w:themeColor="text1"/>
        </w:rPr>
        <w:t>.</w:t>
      </w:r>
    </w:p>
    <w:p w14:paraId="07FBC92F" w14:textId="31FB5918"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It is, therefore, natural to consider the infrared and visible light spectrum, both of which are part of the electromagnetic spectrum for future terrestrial wireless systems. In fact, wireless systems using these parts of the electromagnetic spectrum could be classified as nmWave wireless communications systems in relation to Section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_Ref510625864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6.2</w:t>
      </w:r>
      <w:r w:rsidRPr="00DA5FA8">
        <w:rPr>
          <w:rFonts w:ascii="Arial" w:hAnsi="Arial" w:cs="Arial"/>
          <w:color w:val="000000" w:themeColor="text1"/>
        </w:rPr>
        <w:fldChar w:fldCharType="end"/>
      </w:r>
      <w:r w:rsidRPr="00DA5FA8">
        <w:rPr>
          <w:rFonts w:ascii="Arial" w:hAnsi="Arial" w:cs="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6161B5C3" w14:textId="2DC2766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diodes (LEDs) and 17.6 Gbps using laser diodes (LEDs)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_Ref510626090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[C6-15]</w:t>
      </w:r>
      <w:r w:rsidRPr="00DA5FA8">
        <w:rPr>
          <w:rFonts w:ascii="Arial" w:hAnsi="Arial" w:cs="Arial"/>
          <w:color w:val="000000" w:themeColor="text1"/>
        </w:rPr>
        <w:fldChar w:fldCharType="end"/>
      </w:r>
      <w:r w:rsidRPr="00DA5FA8">
        <w:rPr>
          <w:rFonts w:ascii="Arial" w:hAnsi="Arial" w:cs="Arial"/>
          <w:color w:val="000000" w:themeColor="text1"/>
        </w:rPr>
        <w:t xml:space="preserve">. Recently, a record of received data rates of 500 Mbps by using a single solar cell has been demonstrated. The use of these types of ‘data’ detectors has the appealing advantage of achieving simultaneous energy harvesting and high-speed data communication – a feature that will become ever more important in mobile machine-type communication (MTC)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_Ref510626104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[C6-16]</w:t>
      </w:r>
      <w:r w:rsidRPr="00DA5FA8">
        <w:rPr>
          <w:rFonts w:ascii="Arial" w:hAnsi="Arial" w:cs="Arial"/>
          <w:color w:val="000000" w:themeColor="text1"/>
        </w:rPr>
        <w:fldChar w:fldCharType="end"/>
      </w:r>
      <w:r w:rsidRPr="00DA5FA8">
        <w:rPr>
          <w:rFonts w:ascii="Arial" w:hAnsi="Arial" w:cs="Arial"/>
          <w:color w:val="000000" w:themeColor="text1"/>
        </w:rPr>
        <w:t xml:space="preserve">. By 2026, it is expected that micro-LED technologies and spatial multiplexing techniques will be mature and cost effective such that white light based on different wavelengths will unlock throughput, leading to potentially 100 Gb/s plus for ultrahigh-data-rate VLC access points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_Ref33202222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[C6-17]</w:t>
      </w:r>
      <w:r w:rsidRPr="00DA5FA8">
        <w:rPr>
          <w:rFonts w:ascii="Arial" w:hAnsi="Arial" w:cs="Arial"/>
          <w:color w:val="000000" w:themeColor="text1"/>
        </w:rPr>
        <w:fldChar w:fldCharType="end"/>
      </w:r>
      <w:r w:rsidRPr="00DA5FA8">
        <w:rPr>
          <w:rFonts w:ascii="Arial" w:hAnsi="Arial" w:cs="Arial"/>
          <w:color w:val="000000" w:themeColor="text1"/>
        </w:rPr>
        <w:t>.</w:t>
      </w:r>
    </w:p>
    <w:tbl>
      <w:tblPr>
        <w:tblW w:w="0" w:type="auto"/>
        <w:tblLook w:val="04A0" w:firstRow="1" w:lastRow="0" w:firstColumn="1" w:lastColumn="0" w:noHBand="0" w:noVBand="1"/>
      </w:tblPr>
      <w:tblGrid>
        <w:gridCol w:w="9016"/>
      </w:tblGrid>
      <w:tr w:rsidR="003F2CCB" w:rsidRPr="00DA5FA8" w14:paraId="5D8D13B3" w14:textId="77777777" w:rsidTr="003F2CCB">
        <w:tc>
          <w:tcPr>
            <w:tcW w:w="9016" w:type="dxa"/>
          </w:tcPr>
          <w:p w14:paraId="7C86E1B0" w14:textId="77777777" w:rsidR="003F2CCB" w:rsidRPr="00DA5FA8" w:rsidRDefault="003F2CCB" w:rsidP="003F2CCB">
            <w:pPr>
              <w:keepNext/>
              <w:spacing w:after="120"/>
              <w:jc w:val="center"/>
              <w:rPr>
                <w:rFonts w:ascii="Arial" w:hAnsi="Arial" w:cs="Arial"/>
                <w:color w:val="000000" w:themeColor="text1"/>
              </w:rPr>
            </w:pPr>
            <w:r w:rsidRPr="00DA5FA8">
              <w:rPr>
                <w:rFonts w:ascii="Arial" w:hAnsi="Arial" w:cs="Arial"/>
                <w:noProof/>
                <w:color w:val="000000" w:themeColor="text1"/>
                <w:lang w:eastAsia="en-GB"/>
              </w:rPr>
              <w:drawing>
                <wp:inline distT="0" distB="0" distL="0" distR="0" wp14:anchorId="6591C6E5" wp14:editId="248819A2">
                  <wp:extent cx="3649628" cy="256032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r w:rsidR="003F2CCB" w:rsidRPr="00DA5FA8" w14:paraId="235AC3CA" w14:textId="77777777" w:rsidTr="003F2CCB">
        <w:tc>
          <w:tcPr>
            <w:tcW w:w="9016" w:type="dxa"/>
          </w:tcPr>
          <w:p w14:paraId="08399020" w14:textId="77777777" w:rsidR="003F2CCB" w:rsidRPr="00DA5FA8" w:rsidRDefault="003F2CCB" w:rsidP="003F2CCB">
            <w:pPr>
              <w:keepNext/>
              <w:spacing w:after="120"/>
              <w:jc w:val="center"/>
              <w:rPr>
                <w:rFonts w:ascii="Arial" w:hAnsi="Arial" w:cs="Arial"/>
                <w:noProof/>
                <w:color w:val="000000" w:themeColor="text1"/>
                <w:lang w:val="en-US" w:eastAsia="zh-CN"/>
              </w:rPr>
            </w:pPr>
          </w:p>
        </w:tc>
      </w:tr>
    </w:tbl>
    <w:p w14:paraId="6C15DDA5" w14:textId="77777777" w:rsidR="003F2CCB" w:rsidRPr="00DA5FA8" w:rsidRDefault="003F2CCB" w:rsidP="00124439">
      <w:pPr>
        <w:pStyle w:val="ListParagraph"/>
        <w:numPr>
          <w:ilvl w:val="0"/>
          <w:numId w:val="83"/>
        </w:numPr>
        <w:ind w:left="360"/>
        <w:jc w:val="center"/>
        <w:rPr>
          <w:rFonts w:ascii="Arial" w:hAnsi="Arial" w:cs="Arial"/>
          <w:color w:val="000000" w:themeColor="text1"/>
        </w:rPr>
      </w:pPr>
      <w:bookmarkStart w:id="202" w:name="_Ref42070902"/>
      <w:r w:rsidRPr="00DA5FA8">
        <w:rPr>
          <w:rFonts w:ascii="Arial" w:hAnsi="Arial" w:cs="Arial"/>
          <w:color w:val="000000" w:themeColor="text1"/>
        </w:rPr>
        <w:t>A taxonomy of emerging light communication technologies</w:t>
      </w:r>
      <w:bookmarkEnd w:id="202"/>
    </w:p>
    <w:p w14:paraId="1DE4E4CD" w14:textId="77777777" w:rsidR="003F2CCB" w:rsidRPr="00DA5FA8" w:rsidRDefault="003F2CCB" w:rsidP="003F2CCB">
      <w:pPr>
        <w:spacing w:after="120"/>
        <w:jc w:val="both"/>
        <w:rPr>
          <w:rFonts w:ascii="Arial" w:hAnsi="Arial" w:cs="Arial"/>
          <w:color w:val="000000" w:themeColor="text1"/>
        </w:rPr>
      </w:pPr>
    </w:p>
    <w:p w14:paraId="712A48A3" w14:textId="46B13B48" w:rsidR="003F2CCB" w:rsidRPr="00DA5FA8" w:rsidRDefault="00CD22D9" w:rsidP="003F2CCB">
      <w:pPr>
        <w:spacing w:after="120"/>
        <w:jc w:val="both"/>
        <w:rPr>
          <w:rFonts w:ascii="Arial" w:hAnsi="Arial" w:cs="Arial"/>
          <w:color w:val="000000" w:themeColor="text1"/>
        </w:rPr>
      </w:pPr>
      <w:r>
        <w:rPr>
          <w:rFonts w:ascii="Arial" w:hAnsi="Arial" w:cs="Arial"/>
          <w:color w:val="000000" w:themeColor="text1"/>
        </w:rPr>
        <w:fldChar w:fldCharType="begin"/>
      </w:r>
      <w:r>
        <w:rPr>
          <w:rFonts w:ascii="Arial" w:hAnsi="Arial" w:cs="Arial"/>
          <w:color w:val="000000" w:themeColor="text1"/>
        </w:rPr>
        <w:instrText xml:space="preserve"> REF _Ref42070902 \r \h </w:instrText>
      </w:r>
      <w:r>
        <w:rPr>
          <w:rFonts w:ascii="Arial" w:hAnsi="Arial" w:cs="Arial"/>
          <w:color w:val="000000" w:themeColor="text1"/>
        </w:rPr>
      </w:r>
      <w:r>
        <w:rPr>
          <w:rFonts w:ascii="Arial" w:hAnsi="Arial" w:cs="Arial"/>
          <w:color w:val="000000" w:themeColor="text1"/>
        </w:rPr>
        <w:fldChar w:fldCharType="separate"/>
      </w:r>
      <w:r w:rsidR="003F0180">
        <w:rPr>
          <w:rFonts w:ascii="Arial" w:hAnsi="Arial" w:cs="Arial"/>
          <w:color w:val="000000" w:themeColor="text1"/>
        </w:rPr>
        <w:t>Figure 6-1</w:t>
      </w:r>
      <w:r>
        <w:rPr>
          <w:rFonts w:ascii="Arial" w:hAnsi="Arial" w:cs="Arial"/>
          <w:color w:val="000000" w:themeColor="text1"/>
        </w:rPr>
        <w:fldChar w:fldCharType="end"/>
      </w:r>
      <w:r>
        <w:rPr>
          <w:rFonts w:ascii="Arial" w:hAnsi="Arial" w:cs="Arial"/>
          <w:color w:val="000000" w:themeColor="text1"/>
        </w:rPr>
        <w:t xml:space="preserve"> </w:t>
      </w:r>
      <w:r w:rsidR="003F2CCB" w:rsidRPr="00DA5FA8">
        <w:rPr>
          <w:rFonts w:ascii="Arial" w:hAnsi="Arial" w:cs="Arial"/>
          <w:color w:val="000000" w:themeColor="text1"/>
        </w:rPr>
        <w:t xml:space="preserve">shows a taxonomy of different light communication approaches. Free-space optical (FSO) is point-to-point long range optical wireless communications with target data rates of tens of Gbps primarily using laser diodes and coherent transmission. Visible light communication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w:t>
      </w:r>
      <w:r w:rsidR="003F2CCB" w:rsidRPr="00DA5FA8">
        <w:rPr>
          <w:rFonts w:ascii="Arial" w:hAnsi="Arial" w:cs="Arial"/>
          <w:color w:val="000000" w:themeColor="text1"/>
        </w:rPr>
        <w:lastRenderedPageBreak/>
        <w:t>rates are well below 1 Mbps. OCC is primarily used for indoor navigation, asset tracking and positioning. These applications assume some user mobility.</w:t>
      </w:r>
    </w:p>
    <w:p w14:paraId="7E318FF2" w14:textId="1E5FF706"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Cellular wireless networks which are based on VLC are referred to as LiFi (light fidelity)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_Ref510626463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[C6-18]</w:t>
      </w:r>
      <w:r w:rsidRPr="00DA5FA8">
        <w:rPr>
          <w:rFonts w:ascii="Arial" w:hAnsi="Arial" w:cs="Arial"/>
          <w:color w:val="000000" w:themeColor="text1"/>
        </w:rPr>
        <w:fldChar w:fldCharType="end"/>
      </w:r>
      <w:r w:rsidRPr="00DA5FA8">
        <w:rPr>
          <w:rFonts w:ascii="Arial" w:hAnsi="Arial" w:cs="Arial"/>
          <w:color w:val="000000" w:themeColor="text1"/>
        </w:rPr>
        <w:t xml:space="preserve">. LiFi enables bi-directional networked communication including multiuser access and handover. The blue arrow in </w:t>
      </w:r>
      <w:r w:rsidR="00441EB0">
        <w:rPr>
          <w:rFonts w:ascii="Arial" w:hAnsi="Arial" w:cs="Arial"/>
          <w:color w:val="000000" w:themeColor="text1"/>
        </w:rPr>
        <w:fldChar w:fldCharType="begin"/>
      </w:r>
      <w:r w:rsidR="00441EB0">
        <w:rPr>
          <w:rFonts w:ascii="Arial" w:hAnsi="Arial" w:cs="Arial"/>
          <w:color w:val="000000" w:themeColor="text1"/>
        </w:rPr>
        <w:instrText xml:space="preserve"> REF _Ref42070902 \r \h </w:instrText>
      </w:r>
      <w:r w:rsidR="00441EB0">
        <w:rPr>
          <w:rFonts w:ascii="Arial" w:hAnsi="Arial" w:cs="Arial"/>
          <w:color w:val="000000" w:themeColor="text1"/>
        </w:rPr>
      </w:r>
      <w:r w:rsidR="00441EB0">
        <w:rPr>
          <w:rFonts w:ascii="Arial" w:hAnsi="Arial" w:cs="Arial"/>
          <w:color w:val="000000" w:themeColor="text1"/>
        </w:rPr>
        <w:fldChar w:fldCharType="separate"/>
      </w:r>
      <w:r w:rsidR="003F0180">
        <w:rPr>
          <w:rFonts w:ascii="Arial" w:hAnsi="Arial" w:cs="Arial"/>
          <w:color w:val="000000" w:themeColor="text1"/>
        </w:rPr>
        <w:t>Figure 6-1</w:t>
      </w:r>
      <w:r w:rsidR="00441EB0">
        <w:rPr>
          <w:rFonts w:ascii="Arial" w:hAnsi="Arial" w:cs="Arial"/>
          <w:color w:val="000000" w:themeColor="text1"/>
        </w:rPr>
        <w:fldChar w:fldCharType="end"/>
      </w:r>
      <w:r w:rsidRPr="00DA5FA8">
        <w:rPr>
          <w:rFonts w:ascii="Arial" w:hAnsi="Arial" w:cs="Arial"/>
          <w:color w:val="000000" w:themeColor="text1"/>
        </w:rPr>
        <w:t xml:space="preserve"> indicates that the major research efforts in the last 15 years have been focused on enhancing link data rates of intensity modulated (IM) / direction detection (DD) optical wireless communication systems. With the advent of LiFi the research focus has begun to shift to challenges related to networking issues using light.</w:t>
      </w:r>
    </w:p>
    <w:p w14:paraId="4E6C2522"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DA5FA8">
        <w:rPr>
          <w:rFonts w:ascii="Arial" w:hAnsi="Arial" w:cs="Arial"/>
          <w:color w:val="000000" w:themeColor="text1"/>
          <w:vertAlign w:val="superscript"/>
        </w:rPr>
        <w:t>2</w:t>
      </w:r>
      <w:r w:rsidRPr="00DA5FA8">
        <w:rPr>
          <w:rFonts w:ascii="Arial" w:hAnsi="Arial" w:cs="Arial"/>
          <w:color w:val="000000" w:themeColor="text1"/>
        </w:rPr>
        <w:t xml:space="preserve"> areas.</w:t>
      </w:r>
    </w:p>
    <w:p w14:paraId="25D96AAF"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Furthermore, due to the extremely small wavelength, the active detector sizes are very small, and massive MIMO structures can be implemented at chip-level. This property can be used to develop unique and LiFi-bespoke MIMO systems, networked MIMO approaches, and new angular diversity techniques in conjunction with low computational complexity cooperative multipoint systems. Diversity techniques in LiFi systems are especially powerful to combat random blockages that naturally occur in a mobile scenario. Moreover, the spatial confinement of signals in LiFi enables the development of radically new physical layer security concepts.</w:t>
      </w:r>
    </w:p>
    <w:p w14:paraId="20DE938B"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15CEF86A" w14:textId="7479E969" w:rsidR="003F2CCB" w:rsidRPr="00DA5FA8" w:rsidRDefault="003F2CCB" w:rsidP="003F2CCB">
      <w:pPr>
        <w:jc w:val="both"/>
        <w:rPr>
          <w:rFonts w:ascii="Arial" w:hAnsi="Arial" w:cs="Arial"/>
          <w:color w:val="000000" w:themeColor="text1"/>
        </w:rPr>
      </w:pPr>
      <w:r w:rsidRPr="00DA5FA8">
        <w:rPr>
          <w:rFonts w:ascii="Arial" w:hAnsi="Arial" w:cs="Arial"/>
          <w:b/>
          <w:color w:val="000000" w:themeColor="text1"/>
        </w:rPr>
        <w:t xml:space="preserve">Convergence with 3GPP access: </w:t>
      </w:r>
      <w:r w:rsidRPr="00DA5FA8">
        <w:rPr>
          <w:rFonts w:ascii="Arial" w:hAnsi="Arial" w:cs="Arial"/>
          <w:color w:val="000000" w:themeColor="text1"/>
        </w:rPr>
        <w:t xml:space="preserve">LiFi communication is bi-directional. Due to the abundance of optical spectrum, typically the visible spectrum is used for the downlink by piggy-backing on lighting systems, while the infrared spectrum is used for uplink transmission. The simplicity of IM/DD in conjunction with advanced modulation techniques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_Ref525117752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[C6-19]</w:t>
      </w:r>
      <w:r w:rsidRPr="00DA5FA8">
        <w:rPr>
          <w:rFonts w:ascii="Arial" w:hAnsi="Arial" w:cs="Arial"/>
          <w:color w:val="000000" w:themeColor="text1"/>
        </w:rPr>
        <w:fldChar w:fldCharType="end"/>
      </w:r>
      <w:r w:rsidRPr="00DA5FA8">
        <w:rPr>
          <w:rFonts w:ascii="Arial" w:hAnsi="Arial" w:cs="Arial"/>
          <w:color w:val="000000" w:themeColor="text1"/>
        </w:rPr>
        <w:t xml:space="preserve"> enable highly energy- and spectrum-efficient transmission systems suitable for the uplink. These modulation techniques are based on multicarrier approaches. Therefore, it could be argued that a </w:t>
      </w:r>
      <w:r w:rsidRPr="00DA5FA8">
        <w:rPr>
          <w:rFonts w:ascii="Arial" w:hAnsi="Arial" w:cs="Arial"/>
          <w:i/>
          <w:color w:val="000000" w:themeColor="text1"/>
        </w:rPr>
        <w:t>tight interaction between radio and optical components should be considered at the level of baseband processing</w:t>
      </w:r>
      <w:r w:rsidRPr="00DA5FA8">
        <w:rPr>
          <w:rFonts w:ascii="Arial" w:hAnsi="Arial" w:cs="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DA5FA8">
        <w:rPr>
          <w:rFonts w:ascii="Arial" w:hAnsi="Arial" w:cs="Arial"/>
          <w:i/>
          <w:color w:val="000000" w:themeColor="text1"/>
        </w:rPr>
        <w:t>common baseband processing platform</w:t>
      </w:r>
      <w:r w:rsidRPr="00DA5FA8">
        <w:rPr>
          <w:rFonts w:ascii="Arial" w:hAnsi="Arial" w:cs="Arial"/>
          <w:color w:val="000000" w:themeColor="text1"/>
        </w:rPr>
        <w:t xml:space="preserve"> in both the small-cell transmitters and terminal receivers. Moreover, the 3GPP access-layer protocols are perfectly adapted to the use of downlink-only component carriers. </w:t>
      </w:r>
    </w:p>
    <w:p w14:paraId="401CC7D6" w14:textId="77777777" w:rsidR="003F2CCB" w:rsidRPr="00DA5FA8" w:rsidRDefault="003F2CCB" w:rsidP="003F2CCB">
      <w:pPr>
        <w:jc w:val="both"/>
        <w:rPr>
          <w:rFonts w:ascii="Arial" w:hAnsi="Arial" w:cs="Arial"/>
          <w:color w:val="000000" w:themeColor="text1"/>
        </w:rPr>
      </w:pPr>
    </w:p>
    <w:p w14:paraId="2B2B219A" w14:textId="77777777" w:rsidR="003F2CCB" w:rsidRPr="00FB57C1" w:rsidRDefault="003F2CCB" w:rsidP="003F2CCB">
      <w:pPr>
        <w:pStyle w:val="Heading2"/>
        <w:spacing w:before="0" w:after="120"/>
        <w:ind w:left="578" w:hanging="578"/>
        <w:jc w:val="both"/>
        <w:rPr>
          <w:rFonts w:cs="Arial"/>
          <w:color w:val="000000" w:themeColor="text1"/>
        </w:rPr>
      </w:pPr>
      <w:bookmarkStart w:id="203" w:name="_Ref510686357"/>
      <w:bookmarkStart w:id="204" w:name="_Toc32413493"/>
      <w:bookmarkStart w:id="205" w:name="_Toc32438291"/>
      <w:bookmarkStart w:id="206" w:name="_Toc42177278"/>
      <w:r w:rsidRPr="00FB57C1">
        <w:rPr>
          <w:rFonts w:cs="Arial"/>
          <w:color w:val="000000" w:themeColor="text1"/>
        </w:rPr>
        <w:t>Terahertz Communication</w:t>
      </w:r>
      <w:bookmarkEnd w:id="203"/>
      <w:bookmarkEnd w:id="204"/>
      <w:bookmarkEnd w:id="205"/>
      <w:bookmarkEnd w:id="206"/>
    </w:p>
    <w:p w14:paraId="30B4E803"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w:t>
      </w:r>
      <w:r w:rsidRPr="00DA5FA8">
        <w:rPr>
          <w:rFonts w:ascii="Arial" w:hAnsi="Arial" w:cs="Arial"/>
          <w:color w:val="000000" w:themeColor="text1"/>
        </w:rPr>
        <w:lastRenderedPageBreak/>
        <w:t>supporting Tbps would require a physical layer efficiency of 100 bit/s/Hz, which is several times higher than the state of the art.</w:t>
      </w:r>
    </w:p>
    <w:p w14:paraId="2735977A" w14:textId="09FF7C18"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this context, </w:t>
      </w:r>
      <w:r w:rsidRPr="00DA5FA8">
        <w:rPr>
          <w:rFonts w:ascii="Arial" w:hAnsi="Arial" w:cs="Arial"/>
          <w:b/>
          <w:color w:val="000000" w:themeColor="text1"/>
        </w:rPr>
        <w:t xml:space="preserve">Terahertz-band (0.1–10 THz) </w:t>
      </w:r>
      <w:r w:rsidRPr="00DA5FA8">
        <w:rPr>
          <w:rFonts w:ascii="Arial" w:hAnsi="Arial" w:cs="Arial"/>
          <w:color w:val="000000" w:themeColor="text1"/>
        </w:rPr>
        <w:t xml:space="preserve">communication is envisioned as a key technology to satisfy the need for much higher wireless data rates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_Ref510627419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[C6-20]</w:t>
      </w:r>
      <w:r w:rsidRPr="00DA5FA8">
        <w:rPr>
          <w:rFonts w:ascii="Arial" w:hAnsi="Arial" w:cs="Arial"/>
          <w:color w:val="000000" w:themeColor="text1"/>
        </w:rPr>
        <w:fldChar w:fldCharType="end"/>
      </w:r>
      <w:r w:rsidRPr="00DA5FA8">
        <w:rPr>
          <w:rFonts w:ascii="Arial" w:hAnsi="Arial" w:cs="Arial"/>
          <w:color w:val="000000" w:themeColor="text1"/>
        </w:rPr>
        <w:t xml:space="preserve">. This frequency band, which lies in between mmWave and the far infrared, supports huge transmission bandwidths: from almost 10 THz for distances below one meter, to multiple transmission windows, each tens to hundreds of GHz wide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_Ref38526106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[C6-21]</w:t>
      </w:r>
      <w:r w:rsidRPr="00DA5FA8">
        <w:rPr>
          <w:rFonts w:ascii="Arial" w:hAnsi="Arial" w:cs="Arial"/>
          <w:color w:val="000000" w:themeColor="text1"/>
        </w:rPr>
        <w:fldChar w:fldCharType="end"/>
      </w:r>
      <w:r w:rsidRPr="00DA5FA8">
        <w:rPr>
          <w:rFonts w:ascii="Arial" w:hAnsi="Arial" w:cs="Arial"/>
          <w:color w:val="000000" w:themeColor="text1"/>
        </w:rPr>
        <w:t>, for distances beyond several tens of meters. However, this very large bandwidth comes at the cost of a very high propagation loss. Moreover, for many years, the lack of efficient ways to generate and detect THz signals has hampered the use of the THz-band in practical communication systems.</w:t>
      </w:r>
    </w:p>
    <w:p w14:paraId="4E00FBBC" w14:textId="510B47F8"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To date, different technologies are being considered to close the so-called THz gap. In an </w:t>
      </w:r>
      <w:r w:rsidRPr="00DA5FA8">
        <w:rPr>
          <w:rFonts w:ascii="Arial" w:hAnsi="Arial" w:cs="Arial"/>
          <w:i/>
          <w:color w:val="000000" w:themeColor="text1"/>
        </w:rPr>
        <w:t>electronic</w:t>
      </w:r>
      <w:r w:rsidRPr="00DA5FA8">
        <w:rPr>
          <w:rFonts w:ascii="Arial" w:hAnsi="Arial" w:cs="Arial"/>
          <w:color w:val="000000" w:themeColor="text1"/>
        </w:rPr>
        <w:t xml:space="preserve"> approach, the limits of silicon CMOS technology [29], silicon-germanium BiCMOS technology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_Ref510627932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[C6-23]</w:t>
      </w:r>
      <w:r w:rsidRPr="00DA5FA8">
        <w:rPr>
          <w:rFonts w:ascii="Arial" w:hAnsi="Arial" w:cs="Arial"/>
          <w:color w:val="000000" w:themeColor="text1"/>
        </w:rPr>
        <w:fldChar w:fldCharType="end"/>
      </w:r>
      <w:r w:rsidRPr="00DA5FA8">
        <w:rPr>
          <w:rFonts w:ascii="Arial" w:hAnsi="Arial" w:cs="Arial"/>
          <w:color w:val="000000" w:themeColor="text1"/>
        </w:rPr>
        <w:t xml:space="preserve">, and III-V semiconductor HEMT, mHEMT, HBT and Schottky diode technologies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_Ref510627944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[C6-24]</w:t>
      </w:r>
      <w:r w:rsidRPr="00DA5FA8">
        <w:rPr>
          <w:rFonts w:ascii="Arial" w:hAnsi="Arial" w:cs="Arial"/>
          <w:color w:val="000000" w:themeColor="text1"/>
        </w:rPr>
        <w:fldChar w:fldCharType="end"/>
      </w:r>
      <w:r w:rsidRPr="00DA5FA8">
        <w:rPr>
          <w:rFonts w:ascii="Arial" w:hAnsi="Arial" w:cs="Arial"/>
          <w:color w:val="000000" w:themeColor="text1"/>
        </w:rPr>
        <w:t xml:space="preserve"> are being pushed to reach the 1 THz mark. In a </w:t>
      </w:r>
      <w:r w:rsidRPr="00DA5FA8">
        <w:rPr>
          <w:rFonts w:ascii="Arial" w:hAnsi="Arial" w:cs="Arial"/>
          <w:i/>
          <w:color w:val="000000" w:themeColor="text1"/>
        </w:rPr>
        <w:t>photonics</w:t>
      </w:r>
      <w:r w:rsidRPr="00DA5FA8">
        <w:rPr>
          <w:rFonts w:ascii="Arial" w:hAnsi="Arial" w:cs="Arial"/>
          <w:color w:val="000000" w:themeColor="text1"/>
        </w:rPr>
        <w:t xml:space="preserve"> approach, uni-travelling carrier photodiodes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_Ref511560216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[C6-25]</w:t>
      </w:r>
      <w:r w:rsidRPr="00DA5FA8">
        <w:rPr>
          <w:rFonts w:ascii="Arial" w:hAnsi="Arial" w:cs="Arial"/>
          <w:color w:val="000000" w:themeColor="text1"/>
        </w:rPr>
        <w:fldChar w:fldCharType="end"/>
      </w:r>
      <w:r w:rsidRPr="00DA5FA8">
        <w:rPr>
          <w:rFonts w:ascii="Arial" w:hAnsi="Arial" w:cs="Arial"/>
          <w:color w:val="000000" w:themeColor="text1"/>
        </w:rPr>
        <w:t xml:space="preserve">, photoconductive antennas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_Ref510627967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[C6-26]</w:t>
      </w:r>
      <w:r w:rsidRPr="00DA5FA8">
        <w:rPr>
          <w:rFonts w:ascii="Arial" w:hAnsi="Arial" w:cs="Arial"/>
          <w:color w:val="000000" w:themeColor="text1"/>
        </w:rPr>
        <w:fldChar w:fldCharType="end"/>
      </w:r>
      <w:r w:rsidRPr="00DA5FA8">
        <w:rPr>
          <w:rFonts w:ascii="Arial" w:hAnsi="Arial" w:cs="Arial"/>
          <w:color w:val="000000" w:themeColor="text1"/>
        </w:rPr>
        <w:t xml:space="preserve">, optical down conversion systems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_Ref510627976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[C6-27]</w:t>
      </w:r>
      <w:r w:rsidRPr="00DA5FA8">
        <w:rPr>
          <w:rFonts w:ascii="Arial" w:hAnsi="Arial" w:cs="Arial"/>
          <w:color w:val="000000" w:themeColor="text1"/>
        </w:rPr>
        <w:fldChar w:fldCharType="end"/>
      </w:r>
      <w:r w:rsidRPr="00DA5FA8">
        <w:rPr>
          <w:rFonts w:ascii="Arial" w:hAnsi="Arial" w:cs="Arial"/>
          <w:color w:val="000000" w:themeColor="text1"/>
        </w:rPr>
        <w:t xml:space="preserve"> or, more recently, quantum cascade lasers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_Ref510627988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[C6-28]</w:t>
      </w:r>
      <w:r w:rsidRPr="00DA5FA8">
        <w:rPr>
          <w:rFonts w:ascii="Arial" w:hAnsi="Arial" w:cs="Arial"/>
          <w:color w:val="000000" w:themeColor="text1"/>
        </w:rPr>
        <w:fldChar w:fldCharType="end"/>
      </w:r>
      <w:r w:rsidRPr="00DA5FA8">
        <w:rPr>
          <w:rFonts w:ascii="Arial" w:hAnsi="Arial" w:cs="Arial"/>
          <w:color w:val="000000" w:themeColor="text1"/>
        </w:rPr>
        <w:t xml:space="preserve"> are being investigated for high-power THz systems. In both approaches, fundamental device limits are being reached, as the frequency is ”too high” for electronic devices and the photon energy is ”too low” for photonic devices to efficiently operate at </w:t>
      </w:r>
      <w:r w:rsidRPr="00DA5FA8">
        <w:rPr>
          <w:rFonts w:ascii="Arial" w:hAnsi="Arial" w:cs="Arial"/>
          <w:i/>
          <w:color w:val="000000" w:themeColor="text1"/>
        </w:rPr>
        <w:t>true</w:t>
      </w:r>
      <w:r w:rsidRPr="00DA5FA8">
        <w:rPr>
          <w:rFonts w:ascii="Arial" w:hAnsi="Arial" w:cs="Arial"/>
          <w:color w:val="000000" w:themeColor="text1"/>
        </w:rPr>
        <w:t xml:space="preserve"> THz frequencies.</w:t>
      </w:r>
    </w:p>
    <w:p w14:paraId="16C64207" w14:textId="285F1FA1"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More recently, the use of </w:t>
      </w:r>
      <w:r w:rsidRPr="00DA5FA8">
        <w:rPr>
          <w:rFonts w:ascii="Arial" w:hAnsi="Arial" w:cs="Arial"/>
          <w:b/>
          <w:color w:val="000000" w:themeColor="text1"/>
        </w:rPr>
        <w:t>graphene to develop novel plasmonic devices</w:t>
      </w:r>
      <w:r w:rsidRPr="00DA5FA8">
        <w:rPr>
          <w:rFonts w:ascii="Arial" w:hAnsi="Arial" w:cs="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_Ref510628385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[C6-29]</w:t>
      </w:r>
      <w:r w:rsidRPr="00DA5FA8">
        <w:rPr>
          <w:rFonts w:ascii="Arial" w:hAnsi="Arial" w:cs="Arial"/>
          <w:color w:val="000000" w:themeColor="text1"/>
        </w:rPr>
        <w:fldChar w:fldCharType="end"/>
      </w:r>
      <w:r w:rsidRPr="00DA5FA8">
        <w:rPr>
          <w:rFonts w:ascii="Arial" w:hAnsi="Arial" w:cs="Arial"/>
          <w:color w:val="000000" w:themeColor="text1"/>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_Ref510628399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[C6-30]</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_Ref510628413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[C6-31]</w:t>
      </w:r>
      <w:r w:rsidRPr="00DA5FA8">
        <w:rPr>
          <w:rFonts w:ascii="Arial" w:hAnsi="Arial" w:cs="Arial"/>
          <w:color w:val="000000" w:themeColor="text1"/>
        </w:rPr>
        <w:fldChar w:fldCharType="end"/>
      </w:r>
      <w:r w:rsidRPr="00DA5FA8">
        <w:rPr>
          <w:rFonts w:ascii="Arial" w:hAnsi="Arial" w:cs="Arial"/>
          <w:color w:val="000000" w:themeColor="text1"/>
        </w:rPr>
        <w:t xml:space="preserve"> and nano-antennas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_Ref510628425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[C6-32]</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_Ref510628439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[C6-33]</w:t>
      </w:r>
      <w:r w:rsidRPr="00DA5FA8">
        <w:rPr>
          <w:rFonts w:ascii="Arial" w:hAnsi="Arial" w:cs="Arial"/>
          <w:color w:val="000000" w:themeColor="text1"/>
        </w:rPr>
        <w:fldChar w:fldCharType="end"/>
      </w:r>
      <w:r w:rsidRPr="00DA5FA8">
        <w:rPr>
          <w:rFonts w:ascii="Arial" w:hAnsi="Arial" w:cs="Arial"/>
          <w:color w:val="000000" w:themeColor="text1"/>
        </w:rPr>
        <w:t xml:space="preserve"> have been proposed and are being developed. These devices are intrinsically small, efficient to operate at THz frequencies, and can support very large modulation bandwidths. Moreover, graphene is ”just the first” of a new generation of 2D materials (such as MoS2 or Hb-N), which can be stacked to create new types of devices and leverage new physics.</w:t>
      </w:r>
    </w:p>
    <w:p w14:paraId="4EDFBB24" w14:textId="5449D10C"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parallel to the development of new device technologies, there is a need to understand and model the THz-band channel. In the case of line-of-sight (LoS) propagation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_Ref510628657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[C6-34]</w:t>
      </w:r>
      <w:r w:rsidRPr="00DA5FA8">
        <w:rPr>
          <w:rFonts w:ascii="Arial" w:hAnsi="Arial" w:cs="Arial"/>
          <w:color w:val="000000" w:themeColor="text1"/>
        </w:rPr>
        <w:fldChar w:fldCharType="end"/>
      </w:r>
      <w:r w:rsidRPr="00DA5FA8">
        <w:rPr>
          <w:rFonts w:ascii="Arial" w:hAnsi="Arial" w:cs="Arial"/>
          <w:color w:val="000000" w:themeColor="text1"/>
        </w:rPr>
        <w:t xml:space="preserve">, the main phenomena affecting the propagation of THz waves are the (i) spreading loss and the (ii) molecular absorption loss. The </w:t>
      </w:r>
      <w:r w:rsidRPr="00DA5FA8">
        <w:rPr>
          <w:rFonts w:ascii="Arial" w:hAnsi="Arial" w:cs="Arial"/>
          <w:i/>
          <w:color w:val="000000" w:themeColor="text1"/>
        </w:rPr>
        <w:t xml:space="preserve">spreading loss </w:t>
      </w:r>
      <w:r w:rsidRPr="00DA5FA8">
        <w:rPr>
          <w:rFonts w:ascii="Arial" w:hAnsi="Arial" w:cs="Arial"/>
          <w:color w:val="000000" w:themeColor="text1"/>
        </w:rPr>
        <w:t xml:space="preserve">accounts for the attenuation due to expansion of the wave as it propagates through the medium and is common to any wireless communication system. The </w:t>
      </w:r>
      <w:r w:rsidRPr="00DA5FA8">
        <w:rPr>
          <w:rFonts w:ascii="Arial" w:hAnsi="Arial" w:cs="Arial"/>
          <w:i/>
          <w:color w:val="000000" w:themeColor="text1"/>
        </w:rPr>
        <w:t xml:space="preserve">molecular absorption loss </w:t>
      </w:r>
      <w:r w:rsidRPr="00DA5FA8">
        <w:rPr>
          <w:rFonts w:ascii="Arial" w:hAnsi="Arial" w:cs="Arial"/>
          <w:color w:val="000000" w:themeColor="text1"/>
        </w:rPr>
        <w:t xml:space="preserve">accounts for the attenuation that a propagating wave suffers because a fraction of its energy is converted in vibrational kinetic energy in molecules (especially water vapour). In the case of non-line-of-sight (NLoS) propagation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_Ref510628668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[C6-35]</w:t>
      </w:r>
      <w:r w:rsidRPr="00DA5FA8">
        <w:rPr>
          <w:rFonts w:ascii="Arial" w:hAnsi="Arial" w:cs="Arial"/>
          <w:color w:val="000000" w:themeColor="text1"/>
        </w:rPr>
        <w:fldChar w:fldCharType="end"/>
      </w:r>
      <w:r w:rsidRPr="00DA5FA8">
        <w:rPr>
          <w:rFonts w:ascii="Arial" w:hAnsi="Arial" w:cs="Arial"/>
          <w:color w:val="000000" w:themeColor="text1"/>
        </w:rPr>
        <w:t xml:space="preserve">, in addition to the two aforementioned phenomena, high reflection loss, diffused scattering and diffraction by obstacles need to be captured. Ultimately, stochastic multi-path channel models are needed to statistically characterise the channel. In addition, there is a need to understand the channel characteristics in mobile environments, see e.g.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_Ref33026806 \n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[C6-36]</w:t>
      </w:r>
      <w:r w:rsidRPr="00DA5FA8">
        <w:rPr>
          <w:rFonts w:ascii="Arial" w:hAnsi="Arial" w:cs="Arial"/>
          <w:color w:val="000000" w:themeColor="text1"/>
        </w:rPr>
        <w:fldChar w:fldCharType="end"/>
      </w:r>
      <w:r w:rsidRPr="00DA5FA8">
        <w:rPr>
          <w:rFonts w:ascii="Arial" w:hAnsi="Arial" w:cs="Arial"/>
          <w:color w:val="000000" w:themeColor="text1"/>
        </w:rPr>
        <w:t>.</w:t>
      </w:r>
    </w:p>
    <w:p w14:paraId="781B418C" w14:textId="7939693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light of the capabilities of THz devices and the peculiarities of the THz-band channel, there is a need to develop new communication algorithms and networking protocols, tailored to THz communication systems. At the physical layer, new types of modulations are needed. For short-range communications (below one meter), the use of impulse-radio-like communication </w:t>
      </w:r>
      <w:r w:rsidRPr="00DA5FA8">
        <w:rPr>
          <w:rFonts w:ascii="Arial" w:hAnsi="Arial" w:cs="Arial"/>
          <w:color w:val="000000" w:themeColor="text1"/>
        </w:rPr>
        <w:lastRenderedPageBreak/>
        <w:t xml:space="preserve">based on the transmission of one-hundred-femtosecond-long pulses following an on-off keying modulation spread in time has been proposed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_Ref510628874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[C6-37]</w:t>
      </w:r>
      <w:r w:rsidRPr="00DA5FA8">
        <w:rPr>
          <w:rFonts w:ascii="Arial" w:hAnsi="Arial" w:cs="Arial"/>
          <w:color w:val="000000" w:themeColor="text1"/>
        </w:rPr>
        <w:fldChar w:fldCharType="end"/>
      </w:r>
      <w:r w:rsidRPr="00DA5FA8">
        <w:rPr>
          <w:rFonts w:ascii="Arial" w:hAnsi="Arial" w:cs="Arial"/>
          <w:color w:val="000000" w:themeColor="text1"/>
        </w:rPr>
        <w:t xml:space="preserve">. Such very short pulses are already at the basis of many THz sensing systems and can be generated and detected with current technologies. For longer communication distances, new </w:t>
      </w:r>
      <w:r w:rsidRPr="00DA5FA8">
        <w:rPr>
          <w:rFonts w:ascii="Arial" w:hAnsi="Arial" w:cs="Arial"/>
          <w:b/>
          <w:color w:val="000000" w:themeColor="text1"/>
        </w:rPr>
        <w:t>dynamic bandwidth modulations</w:t>
      </w:r>
      <w:r w:rsidRPr="00DA5FA8">
        <w:rPr>
          <w:rFonts w:ascii="Arial" w:hAnsi="Arial" w:cs="Arial"/>
          <w:color w:val="000000" w:themeColor="text1"/>
        </w:rPr>
        <w:t xml:space="preserv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_Ref510628886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[C6-39]</w:t>
      </w:r>
      <w:r w:rsidRPr="00DA5FA8">
        <w:rPr>
          <w:rFonts w:ascii="Arial" w:hAnsi="Arial" w:cs="Arial"/>
          <w:color w:val="000000" w:themeColor="text1"/>
        </w:rPr>
        <w:fldChar w:fldCharType="end"/>
      </w:r>
      <w:r w:rsidRPr="00DA5FA8">
        <w:rPr>
          <w:rFonts w:ascii="Arial" w:hAnsi="Arial" w:cs="Arial"/>
          <w:color w:val="000000" w:themeColor="text1"/>
        </w:rPr>
        <w:t xml:space="preserve"> are needed to not only overcome but even leverage the unique distance-dependent bandwidth created by molecular absorption. Specialized (single-carrier) waveforms that are robust to phase noise, Doppler, and carrier frequency offset have been investigated as well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_Ref33027496 \n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[C6-38]</w:t>
      </w:r>
      <w:r w:rsidRPr="00DA5FA8">
        <w:rPr>
          <w:rFonts w:ascii="Arial" w:hAnsi="Arial" w:cs="Arial"/>
          <w:color w:val="000000" w:themeColor="text1"/>
        </w:rPr>
        <w:fldChar w:fldCharType="end"/>
      </w:r>
      <w:r w:rsidRPr="00DA5FA8">
        <w:rPr>
          <w:rFonts w:ascii="Arial" w:hAnsi="Arial" w:cs="Arial"/>
          <w:color w:val="000000" w:themeColor="text1"/>
        </w:rPr>
        <w:t xml:space="preserve">. </w:t>
      </w:r>
    </w:p>
    <w:p w14:paraId="48AE8029"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Independent of the modulation, and similar to any wired or wireless Tbps communication system, physical-layer synchronisation (both in time, frequency and phase) becomes a major challenge. The front-end non-idealities, e.g. non-linearity and phase noise, can severely impact the achievable throughput. Going to Tbps throughputs implies increasing the bandwidth to tens of GHz. This is another challenge for implementations for two reasons: first, ADCs and DACs in the tens of Gsamples/s are needed; second very wideband analogue baseband circuits are needed (half the RF bandwidth). The lack of digital-to-analogue and analogue-to-digital converters (DACs and ADCs, respectively) able to handle multi-GHz bandwidth signals, limits the application of traditional digital signal processing and motivates the research and development of new mixed (digital and analogue) techniques where some traditionally digital functions such as synchronisation or equalisation can be moved to the analogue domain. Additional challenges include new channel coding strategies, which leverage the uniqueness of the THz-channel, or physical layer security schemes for THz-signals. Very generally, efficiencies become dominant bottlenecks: at 1 Tbps, an efficiency of 1 pJ/bit (impossible today if we consider the whole PHY) translates into 1 Watt of power consumption; similar considerations about implementation efficiencies in silicon technology (area efficiency (bit/s/mm²) and power density (W/mm²)) show huge challenges at Tbps rates.</w:t>
      </w:r>
    </w:p>
    <w:p w14:paraId="697778BD"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Similarly, many challenges arise in the higher layers of the protocol stack. At the link layer, novel </w:t>
      </w:r>
      <w:r w:rsidRPr="00DA5FA8">
        <w:rPr>
          <w:rFonts w:ascii="Arial" w:hAnsi="Arial" w:cs="Arial"/>
          <w:b/>
          <w:color w:val="000000" w:themeColor="text1"/>
        </w:rPr>
        <w:t>MAC protocols</w:t>
      </w:r>
      <w:r w:rsidRPr="00DA5FA8">
        <w:rPr>
          <w:rFonts w:ascii="Arial" w:hAnsi="Arial" w:cs="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minimises the chances for collisions. All these come at the cost of more complex synchronisation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optimisation and adaptive error control strategies.</w:t>
      </w:r>
    </w:p>
    <w:p w14:paraId="275FCE51"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At the network layer, new </w:t>
      </w:r>
      <w:r w:rsidRPr="00DA5FA8">
        <w:rPr>
          <w:rFonts w:ascii="Arial" w:hAnsi="Arial" w:cs="Arial"/>
          <w:b/>
          <w:color w:val="000000" w:themeColor="text1"/>
        </w:rPr>
        <w:t xml:space="preserve">routing mechanisms </w:t>
      </w:r>
      <w:r w:rsidRPr="00DA5FA8">
        <w:rPr>
          <w:rFonts w:ascii="Arial" w:hAnsi="Arial" w:cs="Arial"/>
          <w:color w:val="000000" w:themeColor="text1"/>
        </w:rPr>
        <w:t xml:space="preserve">could be developed that take into account the availability of both classical active relaying nodes as well as novel passive dielectric mirrors, which can direct the signal towards its final destination. In addition, new routing metrics that consider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DA5FA8">
        <w:rPr>
          <w:rFonts w:ascii="Arial" w:hAnsi="Arial" w:cs="Arial"/>
          <w:b/>
          <w:color w:val="000000" w:themeColor="text1"/>
        </w:rPr>
        <w:t>congestion control</w:t>
      </w:r>
      <w:r w:rsidRPr="00DA5FA8">
        <w:rPr>
          <w:rFonts w:ascii="Arial" w:hAnsi="Arial" w:cs="Arial"/>
          <w:color w:val="000000" w:themeColor="text1"/>
        </w:rPr>
        <w:t xml:space="preserve"> as well as end-to-end reliable transport. For example, we expect that a revision of the TCP congestion control window mechanism will be necessary to cope with the traffic dynamics of THz-band communication networks.</w:t>
      </w:r>
    </w:p>
    <w:p w14:paraId="217AC33B" w14:textId="139D38BF"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For the validation and refinement of the developed solutions, new </w:t>
      </w:r>
      <w:r w:rsidRPr="00DA5FA8">
        <w:rPr>
          <w:rFonts w:ascii="Arial" w:hAnsi="Arial" w:cs="Arial"/>
          <w:b/>
          <w:color w:val="000000" w:themeColor="text1"/>
        </w:rPr>
        <w:t>experimental platforms</w:t>
      </w:r>
      <w:r w:rsidRPr="00DA5FA8">
        <w:rPr>
          <w:rFonts w:ascii="Arial" w:hAnsi="Arial" w:cs="Arial"/>
          <w:color w:val="000000" w:themeColor="text1"/>
        </w:rPr>
        <w:t xml:space="preserve"> and integrated testbeds will be needed. For the time being, these are mainly focused in the sub-THz windows (300 GHz, 650 GHz), but systems at </w:t>
      </w:r>
      <w:r w:rsidRPr="00DA5FA8">
        <w:rPr>
          <w:rFonts w:ascii="Arial" w:hAnsi="Arial" w:cs="Arial"/>
          <w:i/>
          <w:color w:val="000000" w:themeColor="text1"/>
        </w:rPr>
        <w:t>true</w:t>
      </w:r>
      <w:r w:rsidRPr="00DA5FA8">
        <w:rPr>
          <w:rFonts w:ascii="Arial" w:hAnsi="Arial" w:cs="Arial"/>
          <w:color w:val="000000" w:themeColor="text1"/>
        </w:rPr>
        <w:t xml:space="preserve"> THz frequencies will be required. </w:t>
      </w:r>
      <w:r w:rsidRPr="00DA5FA8">
        <w:rPr>
          <w:rFonts w:ascii="Arial" w:hAnsi="Arial" w:cs="Arial"/>
          <w:color w:val="000000" w:themeColor="text1"/>
        </w:rPr>
        <w:lastRenderedPageBreak/>
        <w:t xml:space="preserve">Finally, in parallel to all the scientific developments, work needs to be done towards regulation and standardisation of the THz-band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_Ref510629448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[C6-40]</w:t>
      </w:r>
      <w:r w:rsidRPr="00DA5FA8">
        <w:rPr>
          <w:rFonts w:ascii="Arial" w:hAnsi="Arial" w:cs="Arial"/>
          <w:color w:val="000000" w:themeColor="text1"/>
        </w:rPr>
        <w:fldChar w:fldCharType="end"/>
      </w:r>
      <w:r w:rsidRPr="00DA5FA8">
        <w:rPr>
          <w:rFonts w:ascii="Arial" w:hAnsi="Arial" w:cs="Arial"/>
          <w:color w:val="000000" w:themeColor="text1"/>
        </w:rPr>
        <w:t>.</w:t>
      </w:r>
    </w:p>
    <w:p w14:paraId="7DA0850C" w14:textId="77777777"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key component of next generation smart networking, which will push the integration of data analytics to a new level.</w:t>
      </w:r>
    </w:p>
    <w:p w14:paraId="121D1CAA" w14:textId="77777777" w:rsidR="003F2CCB" w:rsidRPr="00DA5FA8" w:rsidRDefault="003F2CCB" w:rsidP="003F2CCB">
      <w:pPr>
        <w:jc w:val="both"/>
        <w:rPr>
          <w:rFonts w:ascii="Arial" w:hAnsi="Arial" w:cs="Arial"/>
          <w:color w:val="000000" w:themeColor="text1"/>
        </w:rPr>
      </w:pPr>
    </w:p>
    <w:p w14:paraId="01E1709E" w14:textId="77777777" w:rsidR="003F2CCB" w:rsidRPr="00FB57C1" w:rsidRDefault="003F2CCB" w:rsidP="003F2CCB">
      <w:pPr>
        <w:pStyle w:val="Heading2"/>
        <w:spacing w:before="0" w:after="120"/>
        <w:ind w:left="578" w:hanging="578"/>
        <w:jc w:val="both"/>
        <w:rPr>
          <w:rFonts w:cs="Arial"/>
          <w:color w:val="000000" w:themeColor="text1"/>
        </w:rPr>
      </w:pPr>
      <w:bookmarkStart w:id="207" w:name="_Ref520040919"/>
      <w:bookmarkStart w:id="208" w:name="_Toc32413494"/>
      <w:bookmarkStart w:id="209" w:name="_Toc32438292"/>
      <w:bookmarkStart w:id="210" w:name="_Toc42177279"/>
      <w:r w:rsidRPr="00FB57C1">
        <w:rPr>
          <w:rFonts w:cs="Arial"/>
          <w:color w:val="000000" w:themeColor="text1"/>
        </w:rPr>
        <w:t>Massive and Ultra-Massive MIMO</w:t>
      </w:r>
      <w:bookmarkEnd w:id="207"/>
      <w:bookmarkEnd w:id="208"/>
      <w:bookmarkEnd w:id="209"/>
      <w:bookmarkEnd w:id="210"/>
    </w:p>
    <w:p w14:paraId="40A9FC1F"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The grand challenge for mmWave, THz-band and optical communications is posed by the very high and frequency-selective path loss, which easily exceeds 100 dB for distances over just a few meters in the presence of LoS (line-of-sight) and becomes even worse in NLoS (non-line-of-sight) conditions. As a result, high-gain directional antennas are needed to communicate over distances beyond a few meters.</w:t>
      </w:r>
    </w:p>
    <w:p w14:paraId="5439F6DF" w14:textId="1F2514E8"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Similarly, as in lower frequency communication systems, antenna arrays can be utilised to implement MIMO systems, which are able to increase either the communication distance by means of beamforming, or the achievable data rates by means of spatial multiplexing. In the last few years, the concept of </w:t>
      </w:r>
      <w:r w:rsidRPr="00DA5FA8">
        <w:rPr>
          <w:rFonts w:ascii="Arial" w:hAnsi="Arial" w:cs="Arial"/>
          <w:b/>
          <w:color w:val="000000" w:themeColor="text1"/>
        </w:rPr>
        <w:t>massive MIMO</w:t>
      </w:r>
      <w:r w:rsidRPr="00DA5FA8">
        <w:rPr>
          <w:rFonts w:ascii="Arial" w:hAnsi="Arial" w:cs="Arial"/>
          <w:color w:val="000000" w:themeColor="text1"/>
        </w:rPr>
        <w:t xml:space="preserve"> (mMIMO) has been introduced and heavily studied in the context of 5G systems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_Ref510637152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[C6-41]</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_Ref510637168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[C6-42]</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_Ref510637182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[C6-43]</w:t>
      </w:r>
      <w:r w:rsidRPr="00DA5FA8">
        <w:rPr>
          <w:rFonts w:ascii="Arial" w:hAnsi="Arial" w:cs="Arial"/>
          <w:color w:val="000000" w:themeColor="text1"/>
        </w:rPr>
        <w:fldChar w:fldCharType="end"/>
      </w:r>
      <w:r w:rsidRPr="00DA5FA8">
        <w:rPr>
          <w:rFonts w:ascii="Arial" w:hAnsi="Arial" w:cs="Arial"/>
          <w:color w:val="000000" w:themeColor="text1"/>
        </w:rPr>
        <w:t xml:space="preserve">. In such schemes, very large antenna arrays with tens to hundreds of elements are utilised to increase the spectral efficiency to communicate over a large distance. In these arrays, it is important to take mutual coupling between the antenna elements into account in a physically consistent way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_Ref33201811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[C6-44]</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_Ref33202339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[C6-45]</w:t>
      </w:r>
      <w:r w:rsidRPr="00DA5FA8">
        <w:rPr>
          <w:rFonts w:ascii="Arial" w:hAnsi="Arial" w:cs="Arial"/>
          <w:color w:val="000000" w:themeColor="text1"/>
        </w:rPr>
        <w:fldChar w:fldCharType="end"/>
      </w:r>
      <w:r w:rsidRPr="00DA5FA8">
        <w:rPr>
          <w:rFonts w:ascii="Arial" w:hAnsi="Arial" w:cs="Arial"/>
          <w:color w:val="000000" w:themeColor="text1"/>
        </w:rPr>
        <w:t xml:space="preserve">. Very large antenna arrays have been proved to be very useful for mmWave communication systems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_Ref510637224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[C6-46]</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_Ref510637260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[C6-47]</w:t>
      </w:r>
      <w:r w:rsidRPr="00DA5FA8">
        <w:rPr>
          <w:rFonts w:ascii="Arial" w:hAnsi="Arial" w:cs="Arial"/>
          <w:color w:val="000000" w:themeColor="text1"/>
        </w:rPr>
        <w:fldChar w:fldCharType="end"/>
      </w:r>
      <w:r w:rsidRPr="00DA5FA8">
        <w:rPr>
          <w:rFonts w:ascii="Arial" w:hAnsi="Arial" w:cs="Arial"/>
          <w:color w:val="000000" w:themeColor="text1"/>
        </w:rPr>
        <w:t>. When moving to the THz-band, antennas become even smaller and more elements can be embedded in the same footprint. However, linearly increasing the number of antennas is not enough to overcome the much higher path loss in THz-band.</w:t>
      </w:r>
    </w:p>
    <w:p w14:paraId="4EC0B00A" w14:textId="4648D3E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this context, the concept of </w:t>
      </w:r>
      <w:r w:rsidRPr="00DA5FA8">
        <w:rPr>
          <w:rFonts w:ascii="Arial" w:hAnsi="Arial" w:cs="Arial"/>
          <w:b/>
          <w:color w:val="000000" w:themeColor="text1"/>
        </w:rPr>
        <w:t xml:space="preserve">ultra-massive MIMO (um-MIMO) </w:t>
      </w:r>
      <w:r w:rsidRPr="00DA5FA8">
        <w:rPr>
          <w:rFonts w:ascii="Arial" w:hAnsi="Arial" w:cs="Arial"/>
          <w:color w:val="000000" w:themeColor="text1"/>
        </w:rPr>
        <w:t>communications,</w:t>
      </w:r>
      <w:r w:rsidRPr="00DA5FA8">
        <w:rPr>
          <w:rFonts w:ascii="Arial" w:hAnsi="Arial" w:cs="Arial"/>
          <w:b/>
          <w:color w:val="000000" w:themeColor="text1"/>
        </w:rPr>
        <w:t xml:space="preserve"> </w:t>
      </w:r>
      <w:r w:rsidRPr="00DA5FA8">
        <w:rPr>
          <w:rFonts w:ascii="Arial" w:hAnsi="Arial" w:cs="Arial"/>
          <w:color w:val="000000" w:themeColor="text1"/>
        </w:rPr>
        <w:t xml:space="preserve">enabled by very dense plasmonic nano-antenna arrays, has been recently introduced 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_Ref510637278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[C6-48]</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bCs/>
          <w:color w:val="000000" w:themeColor="text1"/>
        </w:rPr>
        <w:instrText xml:space="preserve"> REF _Ref525118206 \r \h </w:instrText>
      </w:r>
      <w:r w:rsidRPr="00DA5FA8">
        <w:rPr>
          <w:rFonts w:ascii="Arial" w:hAnsi="Arial" w:cs="Arial"/>
          <w:color w:val="000000" w:themeColor="text1"/>
        </w:rPr>
        <w:instrText xml:space="preserve">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bCs/>
          <w:color w:val="000000" w:themeColor="text1"/>
        </w:rPr>
        <w:t>[C6-49]</w:t>
      </w:r>
      <w:r w:rsidRPr="00DA5FA8">
        <w:rPr>
          <w:rFonts w:ascii="Arial" w:hAnsi="Arial" w:cs="Arial"/>
          <w:color w:val="000000" w:themeColor="text1"/>
        </w:rPr>
        <w:fldChar w:fldCharType="end"/>
      </w:r>
      <w:r w:rsidRPr="00DA5FA8">
        <w:rPr>
          <w:rFonts w:ascii="Arial" w:hAnsi="Arial" w:cs="Arial"/>
          <w:color w:val="000000" w:themeColor="text1"/>
        </w:rPr>
        <w:t xml:space="preserve">. Instead of relying on conventional metals, nanomaterials and metamaterials can be utilised to build plasmonic nano-antennas (see Section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_Ref510686357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6.4</w:t>
      </w:r>
      <w:r w:rsidRPr="00DA5FA8">
        <w:rPr>
          <w:rFonts w:ascii="Arial" w:hAnsi="Arial" w:cs="Arial"/>
          <w:color w:val="000000" w:themeColor="text1"/>
        </w:rPr>
        <w:fldChar w:fldCharType="end"/>
      </w:r>
      <w:r w:rsidRPr="00DA5FA8">
        <w:rPr>
          <w:rFonts w:ascii="Arial" w:hAnsi="Arial" w:cs="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utilised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512E401B"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By properly feeding the antenna array elements, different operation modes can be adaptively generated. In </w:t>
      </w:r>
      <w:r w:rsidRPr="00DA5FA8">
        <w:rPr>
          <w:rFonts w:ascii="Arial" w:hAnsi="Arial" w:cs="Arial"/>
          <w:b/>
          <w:color w:val="000000" w:themeColor="text1"/>
        </w:rPr>
        <w:t>ultra-massive beamforming</w:t>
      </w:r>
      <w:r w:rsidRPr="00DA5FA8">
        <w:rPr>
          <w:rFonts w:ascii="Arial" w:hAnsi="Arial" w:cs="Arial"/>
          <w:color w:val="000000" w:themeColor="text1"/>
        </w:rPr>
        <w:t xml:space="preserve">, all the nano-antennas are fed with the same plasmonic signal, as in conventional beamforming. This mode can effectively overcome the very high attenuation at mmWave, the THz-band and optical frequencies and thus enhance </w:t>
      </w:r>
      <w:r w:rsidRPr="00DA5FA8">
        <w:rPr>
          <w:rFonts w:ascii="Arial" w:hAnsi="Arial" w:cs="Arial"/>
          <w:color w:val="000000" w:themeColor="text1"/>
        </w:rPr>
        <w:lastRenderedPageBreak/>
        <w:t xml:space="preserve">the communication distance. Moreover, beamforming has the benefit of avoiding co-channel interference while exploiting the angle diversity by steering the narrow beam dynamically to the targeted angle directions. In </w:t>
      </w:r>
      <w:r w:rsidRPr="00DA5FA8">
        <w:rPr>
          <w:rFonts w:ascii="Arial" w:hAnsi="Arial" w:cs="Arial"/>
          <w:b/>
          <w:color w:val="000000" w:themeColor="text1"/>
        </w:rPr>
        <w:t>ultra-massive spatial multiplexing (um-SM)</w:t>
      </w:r>
      <w:r w:rsidRPr="00DA5FA8">
        <w:rPr>
          <w:rFonts w:ascii="Arial" w:hAnsi="Arial" w:cs="Arial"/>
          <w:color w:val="000000" w:themeColor="text1"/>
        </w:rPr>
        <w:t>, physically or virtually grouped array elements can be assigned to communicate with an individual user. This mode uses multiple streams on a single carrier to increase the capacity per user and can be most effective when radio links operate in a high SNR regime with a bandwidth limitation. This mode improves the network throughput by means of spatial multiplexing, given that the um-MIMO channel matrix is well-conditioned, or equivalently, provides sufficient diversity and rank. Obviously, any combination in between UM Beamforming and UM Spatial Multiplexing is possible.</w:t>
      </w:r>
    </w:p>
    <w:p w14:paraId="765E28CB"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addition, to maximise the utilisation of the mmWave- and THz-channel and enable the targeted Tbps-links, more than one spectral window could be utilised at the same time. In this direction, </w:t>
      </w:r>
      <w:r w:rsidRPr="00DA5FA8">
        <w:rPr>
          <w:rFonts w:ascii="Arial" w:hAnsi="Arial" w:cs="Arial"/>
          <w:b/>
          <w:color w:val="000000" w:themeColor="text1"/>
        </w:rPr>
        <w:t>multi-band um-MIMO</w:t>
      </w:r>
      <w:r w:rsidRPr="00DA5FA8">
        <w:rPr>
          <w:rFonts w:ascii="Arial" w:hAnsi="Arial" w:cs="Arial"/>
          <w:color w:val="000000" w:themeColor="text1"/>
        </w:rPr>
        <w:t xml:space="preserve"> enables the simultaneous utilisation of different frequency bands by leveraging the electrically tunable frequency response of graphene-based plasmonic nano-antennas. By tuning (virtually) grouped sub-arrays to different frequencies, a single um-MIMO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DA5FA8">
        <w:rPr>
          <w:rFonts w:ascii="Arial" w:hAnsi="Arial" w:cs="Arial"/>
          <w:b/>
          <w:color w:val="000000" w:themeColor="text1"/>
        </w:rPr>
        <w:t>space-time-frequency coding and modulation techniques</w:t>
      </w:r>
      <w:r w:rsidRPr="00DA5FA8">
        <w:rPr>
          <w:rFonts w:ascii="Arial" w:hAnsi="Arial" w:cs="Arial"/>
          <w:color w:val="000000" w:themeColor="text1"/>
        </w:rPr>
        <w:t xml:space="preserve"> need to be developed for the um-MIMO systems to exploit all of the spatial, temporal and frequency diversities, and hence, promise to yield remarkable performance improvements.</w:t>
      </w:r>
    </w:p>
    <w:p w14:paraId="154FDD8C" w14:textId="5D569422"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Besides the challenges related to the plasmonic nano-antenna array technology, the realisation of um-MIMO communication requires the development of novel </w:t>
      </w:r>
      <w:r w:rsidRPr="00DA5FA8">
        <w:rPr>
          <w:rFonts w:ascii="Arial" w:hAnsi="Arial" w:cs="Arial"/>
          <w:b/>
          <w:color w:val="000000" w:themeColor="text1"/>
        </w:rPr>
        <w:t>accurate channel models</w:t>
      </w:r>
      <w:r w:rsidRPr="00DA5FA8">
        <w:rPr>
          <w:rFonts w:ascii="Arial" w:hAnsi="Arial" w:cs="Arial"/>
          <w:color w:val="000000" w:themeColor="text1"/>
        </w:rPr>
        <w:t xml:space="preserve"> able to capture the impact of both plasmonic nano-antenna arrays in transmission and reception, as well as the behaviour of a very large number of parallel THz-waves propagating in space. Existing MIMO or mMIMO channel models for lower frequency bands (e.g.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_Ref510637152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[C6-41]</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_Ref510637168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[C6-42]</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_Ref510637182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[C6-43]</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_Ref510637805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[C6-50]</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_Ref510637871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[C6-51]</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_Ref510637889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[C6-52]</w:t>
      </w:r>
      <w:r w:rsidRPr="00DA5FA8">
        <w:rPr>
          <w:rFonts w:ascii="Arial" w:hAnsi="Arial" w:cs="Arial"/>
          <w:color w:val="000000" w:themeColor="text1"/>
        </w:rPr>
        <w:fldChar w:fldCharType="end"/>
      </w:r>
      <w:r w:rsidRPr="00DA5FA8">
        <w:rPr>
          <w:rFonts w:ascii="Arial" w:hAnsi="Arial" w:cs="Arial"/>
          <w:color w:val="000000" w:themeColor="text1"/>
        </w:rPr>
        <w:t xml:space="preserve">) cannot be utilised because they do not capture the peculiarities of the THz-band channel, including the frequency-selective absorption loss or the very high reflection loss. Similarly, the few THz mMIMO channel models developed to date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_Ref510637908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[C6-53]</w:t>
      </w:r>
      <w:r w:rsidRPr="00DA5FA8">
        <w:rPr>
          <w:rFonts w:ascii="Arial" w:hAnsi="Arial" w:cs="Arial"/>
          <w:noProof/>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_Ref510637924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[C6-54]</w:t>
      </w:r>
      <w:r w:rsidRPr="00DA5FA8">
        <w:rPr>
          <w:rFonts w:ascii="Arial" w:hAnsi="Arial" w:cs="Arial"/>
          <w:color w:val="000000" w:themeColor="text1"/>
        </w:rPr>
        <w:fldChar w:fldCharType="end"/>
      </w:r>
      <w:r w:rsidRPr="00DA5FA8">
        <w:rPr>
          <w:rFonts w:ascii="Arial" w:hAnsi="Arial" w:cs="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33F3099E" w14:textId="380C08D3"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DA5FA8">
        <w:rPr>
          <w:rFonts w:ascii="Arial" w:hAnsi="Arial" w:cs="Arial"/>
          <w:b/>
          <w:bCs/>
          <w:noProof/>
          <w:color w:val="000000" w:themeColor="text1"/>
        </w:rPr>
        <w:t>intelligent reflecting surfaces</w:t>
      </w:r>
      <w:r w:rsidRPr="00DA5FA8">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_Ref32308433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[C6-55]</w:t>
      </w:r>
      <w:r w:rsidRPr="00DA5FA8">
        <w:rPr>
          <w:rFonts w:ascii="Arial" w:hAnsi="Arial" w:cs="Arial"/>
          <w:noProof/>
          <w:color w:val="000000" w:themeColor="text1"/>
        </w:rPr>
        <w:fldChar w:fldCharType="end"/>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_Ref32308437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[C6-56]</w:t>
      </w:r>
      <w:r w:rsidRPr="00DA5FA8">
        <w:rPr>
          <w:rFonts w:ascii="Arial" w:hAnsi="Arial" w:cs="Arial"/>
          <w:noProof/>
          <w:color w:val="000000" w:themeColor="text1"/>
        </w:rPr>
        <w:fldChar w:fldCharType="end"/>
      </w:r>
      <w:r w:rsidRPr="00DA5FA8">
        <w:rPr>
          <w:rFonts w:ascii="Arial" w:hAnsi="Arial" w:cs="Arial"/>
          <w:noProof/>
          <w:color w:val="000000" w:themeColor="text1"/>
        </w:rPr>
        <w:t>. The IRS can be used to improve the coverage, reduce interference levels, increase system capacity. Additionally, they can be employed to increase physical layer security and even support wireless power transference.</w:t>
      </w:r>
    </w:p>
    <w:p w14:paraId="0DC4D05D" w14:textId="0F9875AD"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b/>
          <w:bCs/>
          <w:noProof/>
          <w:color w:val="000000" w:themeColor="text1"/>
        </w:rPr>
        <w:t>Large intelligent surfaces</w:t>
      </w:r>
      <w:r w:rsidRPr="00DA5FA8">
        <w:rPr>
          <w:rFonts w:ascii="Arial" w:hAnsi="Arial" w:cs="Arial"/>
          <w:noProof/>
          <w:color w:val="000000" w:themeColor="text1"/>
        </w:rPr>
        <w:t xml:space="preserve"> (LIS)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_Ref32308549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[C6-57]</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_Ref32308549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[C6-57]</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as well as accurate positioning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_Ref32308597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[C6-58]</w:t>
      </w:r>
      <w:r w:rsidRPr="00DA5FA8">
        <w:rPr>
          <w:rFonts w:ascii="Arial" w:hAnsi="Arial" w:cs="Arial"/>
          <w:noProof/>
          <w:color w:val="000000" w:themeColor="text1"/>
        </w:rPr>
        <w:fldChar w:fldCharType="end"/>
      </w:r>
      <w:r w:rsidRPr="00DA5FA8">
        <w:rPr>
          <w:rFonts w:ascii="Arial" w:hAnsi="Arial" w:cs="Arial"/>
          <w:noProof/>
          <w:color w:val="000000" w:themeColor="text1"/>
        </w:rPr>
        <w:t>. LIS can also be used for wireless transference of power.</w:t>
      </w:r>
    </w:p>
    <w:p w14:paraId="527A2AB8" w14:textId="044BEA05"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noProof/>
          <w:color w:val="000000" w:themeColor="text1"/>
        </w:rPr>
        <w:lastRenderedPageBreak/>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separate a small number of users (say, 2 or 4 users), and only a fraction of the panels is activated. Radio stripes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_Ref32308627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[C6-59]</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_Ref32308640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[C6-60]</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together with accurate positioning, having the additional advantage of a very simple and low cost and implementation. </w:t>
      </w:r>
    </w:p>
    <w:p w14:paraId="33C5B1C2" w14:textId="062983A3"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noProof/>
          <w:color w:val="000000" w:themeColor="text1"/>
        </w:rPr>
        <w:t xml:space="preserve">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mmWaves and THz). To further improve the performance, disruptive techniques that take advantage of hardware imperfections such as nonlinear and/or memory effects can be employed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_Ref32308662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[C6-61]</w:t>
      </w:r>
      <w:r w:rsidRPr="00DA5FA8">
        <w:rPr>
          <w:rFonts w:ascii="Arial" w:hAnsi="Arial" w:cs="Arial"/>
          <w:noProof/>
          <w:color w:val="000000" w:themeColor="text1"/>
        </w:rPr>
        <w:fldChar w:fldCharType="end"/>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_Ref32308668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[C6-62]</w:t>
      </w:r>
      <w:r w:rsidRPr="00DA5FA8">
        <w:rPr>
          <w:rFonts w:ascii="Arial" w:hAnsi="Arial" w:cs="Arial"/>
          <w:noProof/>
          <w:color w:val="000000" w:themeColor="text1"/>
        </w:rPr>
        <w:fldChar w:fldCharType="end"/>
      </w:r>
      <w:r w:rsidRPr="00DA5FA8">
        <w:rPr>
          <w:rFonts w:ascii="Arial" w:hAnsi="Arial" w:cs="Arial"/>
          <w:noProof/>
          <w:color w:val="000000" w:themeColor="text1"/>
        </w:rPr>
        <w:t>.</w:t>
      </w:r>
    </w:p>
    <w:p w14:paraId="42411BF2" w14:textId="3314BA16" w:rsidR="003F2CCB" w:rsidRPr="00DA5FA8" w:rsidRDefault="003F2CCB" w:rsidP="003F2CCB">
      <w:pPr>
        <w:tabs>
          <w:tab w:val="left" w:pos="1703"/>
        </w:tabs>
        <w:spacing w:after="120"/>
        <w:jc w:val="both"/>
        <w:rPr>
          <w:rFonts w:ascii="Arial" w:hAnsi="Arial" w:cs="Arial"/>
          <w:noProof/>
          <w:color w:val="000000" w:themeColor="text1"/>
        </w:rPr>
      </w:pPr>
      <w:r w:rsidRPr="00DA5FA8">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_Ref32308678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[C6-63]</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can be employed, eventually supported by positioning information.</w:t>
      </w:r>
    </w:p>
    <w:p w14:paraId="56D9DCCB" w14:textId="2578C414" w:rsidR="003F2CCB" w:rsidRPr="00DA5FA8" w:rsidRDefault="003F2CCB" w:rsidP="003F2CCB">
      <w:pPr>
        <w:spacing w:after="120"/>
        <w:jc w:val="both"/>
        <w:rPr>
          <w:rFonts w:ascii="Arial" w:hAnsi="Arial" w:cs="Arial"/>
        </w:rPr>
      </w:pPr>
      <w:r w:rsidRPr="00DA5FA8">
        <w:rPr>
          <w:rFonts w:ascii="Arial" w:hAnsi="Arial" w:cs="Arial"/>
        </w:rPr>
        <w:t xml:space="preserve">Network densification, which increases the number of antennas per site and leads to smaller cells, is one of the solutions offered to achieve high data rates targeted for 5G </w:t>
      </w:r>
      <w:r w:rsidRPr="00DA5FA8">
        <w:rPr>
          <w:rFonts w:ascii="Arial" w:hAnsi="Arial" w:cs="Arial"/>
        </w:rPr>
        <w:fldChar w:fldCharType="begin"/>
      </w:r>
      <w:r w:rsidRPr="00DA5FA8">
        <w:rPr>
          <w:rFonts w:ascii="Arial" w:hAnsi="Arial" w:cs="Arial"/>
        </w:rPr>
        <w:instrText xml:space="preserve"> REF _Ref32308640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[C6-60]</w:t>
      </w:r>
      <w:r w:rsidRPr="00DA5FA8">
        <w:rPr>
          <w:rFonts w:ascii="Arial" w:hAnsi="Arial" w:cs="Arial"/>
        </w:rPr>
        <w:fldChar w:fldCharType="end"/>
      </w:r>
      <w:r w:rsidRPr="00DA5FA8">
        <w:rPr>
          <w:rFonts w:ascii="Arial" w:hAnsi="Arial" w:cs="Arial"/>
        </w:rPr>
        <w:t xml:space="preserve">. The antennas of such massive MIMO systems can be deployed either in a collocated fashion where a large array of antennas is mounted in a single location in a compact way or in a distributed fashion with antennas spread over the covered area. The former approach is known as the centralized mMIMO </w:t>
      </w:r>
      <w:r w:rsidRPr="00DA5FA8">
        <w:rPr>
          <w:rFonts w:ascii="Arial" w:hAnsi="Arial" w:cs="Arial"/>
        </w:rPr>
        <w:fldChar w:fldCharType="begin"/>
      </w:r>
      <w:r w:rsidRPr="00DA5FA8">
        <w:rPr>
          <w:rFonts w:ascii="Arial" w:hAnsi="Arial" w:cs="Arial"/>
        </w:rPr>
        <w:instrText xml:space="preserve"> REF _Ref38967723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[C6-66]</w:t>
      </w:r>
      <w:r w:rsidRPr="00DA5FA8">
        <w:rPr>
          <w:rFonts w:ascii="Arial" w:hAnsi="Arial" w:cs="Arial"/>
        </w:rPr>
        <w:fldChar w:fldCharType="end"/>
      </w:r>
      <w:r w:rsidRPr="00DA5FA8">
        <w:rPr>
          <w:rFonts w:ascii="Arial" w:hAnsi="Arial" w:cs="Arial"/>
        </w:rPr>
        <w:t xml:space="preserve"> and the latter the distributed mMIMO </w:t>
      </w:r>
      <w:r w:rsidRPr="00DA5FA8">
        <w:rPr>
          <w:rFonts w:ascii="Arial" w:hAnsi="Arial" w:cs="Arial"/>
        </w:rPr>
        <w:fldChar w:fldCharType="begin"/>
      </w:r>
      <w:r w:rsidRPr="00DA5FA8">
        <w:rPr>
          <w:rFonts w:ascii="Arial" w:hAnsi="Arial" w:cs="Arial"/>
        </w:rPr>
        <w:instrText xml:space="preserve"> REF _Ref38968026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[C6-67]</w:t>
      </w:r>
      <w:r w:rsidRPr="00DA5FA8">
        <w:rPr>
          <w:rFonts w:ascii="Arial" w:hAnsi="Arial" w:cs="Arial"/>
        </w:rPr>
        <w:fldChar w:fldCharType="end"/>
      </w:r>
      <w:r w:rsidRPr="00DA5FA8">
        <w:rPr>
          <w:rFonts w:ascii="Arial" w:hAnsi="Arial" w:cs="Arial"/>
        </w:rPr>
        <w:t xml:space="preserve">. Distributed mMIMO can be implemented with a cell-based approach where the access points (APs) are divided into disjoint clusters and APs of each cluster cooperate to serve the user equipments (UEs) within the cell defined by the cluster. This scheme is called coordinated multi-point (CoMP) with joint transmission in 3GPP LTE </w:t>
      </w:r>
      <w:r w:rsidRPr="00DA5FA8">
        <w:rPr>
          <w:rFonts w:ascii="Arial" w:hAnsi="Arial" w:cs="Arial"/>
        </w:rPr>
        <w:fldChar w:fldCharType="begin"/>
      </w:r>
      <w:r w:rsidRPr="00DA5FA8">
        <w:rPr>
          <w:rFonts w:ascii="Arial" w:hAnsi="Arial" w:cs="Arial"/>
        </w:rPr>
        <w:instrText xml:space="preserve"> REF _Ref38976978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[C6-68]</w:t>
      </w:r>
      <w:r w:rsidRPr="00DA5FA8">
        <w:rPr>
          <w:rFonts w:ascii="Arial" w:hAnsi="Arial" w:cs="Arial"/>
        </w:rPr>
        <w:fldChar w:fldCharType="end"/>
      </w:r>
      <w:r w:rsidRPr="00DA5FA8">
        <w:rPr>
          <w:rFonts w:ascii="Arial" w:hAnsi="Arial" w:cs="Arial"/>
        </w:rPr>
        <w:t xml:space="preserve">, but unfortunately it did not provide much practical gains </w:t>
      </w:r>
      <w:r w:rsidRPr="00DA5FA8">
        <w:rPr>
          <w:rFonts w:ascii="Arial" w:hAnsi="Arial" w:cs="Arial"/>
        </w:rPr>
        <w:fldChar w:fldCharType="begin"/>
      </w:r>
      <w:r w:rsidRPr="00DA5FA8">
        <w:rPr>
          <w:rFonts w:ascii="Arial" w:hAnsi="Arial" w:cs="Arial"/>
        </w:rPr>
        <w:instrText xml:space="preserve"> REF _Ref38977183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[C6-69]</w:t>
      </w:r>
      <w:r w:rsidRPr="00DA5FA8">
        <w:rPr>
          <w:rFonts w:ascii="Arial" w:hAnsi="Arial" w:cs="Arial"/>
        </w:rPr>
        <w:fldChar w:fldCharType="end"/>
      </w:r>
      <w:r w:rsidRPr="00DA5FA8">
        <w:rPr>
          <w:rFonts w:ascii="Arial" w:hAnsi="Arial" w:cs="Arial"/>
        </w:rPr>
        <w:t xml:space="preserve">. </w:t>
      </w:r>
    </w:p>
    <w:p w14:paraId="7EF83554" w14:textId="6E0991E1" w:rsidR="003F2CCB" w:rsidRPr="00DA5FA8" w:rsidRDefault="003F2CCB" w:rsidP="003F2CCB">
      <w:pPr>
        <w:spacing w:after="120"/>
        <w:jc w:val="both"/>
        <w:rPr>
          <w:rFonts w:ascii="Arial" w:hAnsi="Arial" w:cs="Arial"/>
          <w:noProof/>
          <w:color w:val="000000" w:themeColor="text1"/>
        </w:rPr>
      </w:pPr>
      <w:r w:rsidRPr="00DA5FA8">
        <w:rPr>
          <w:rFonts w:ascii="Arial" w:hAnsi="Arial" w:cs="Arial"/>
        </w:rPr>
        <w:t xml:space="preserve">The cell-centric approach can be changed to the user-centric one where the cluster serving a particular UE can be determined dynamically by choosing the subset of APs closest to the UE. The combination of TDD and mMIMO operations with the dense distributed network topology and the user-centric approach leads to the concept of </w:t>
      </w:r>
      <w:r w:rsidRPr="00DA5FA8">
        <w:rPr>
          <w:rFonts w:ascii="Arial" w:hAnsi="Arial" w:cs="Arial"/>
          <w:b/>
        </w:rPr>
        <w:t>cell-free massive MIMO</w:t>
      </w:r>
      <w:r w:rsidRPr="00DA5FA8">
        <w:rPr>
          <w:rFonts w:ascii="Arial" w:hAnsi="Arial" w:cs="Arial"/>
        </w:rPr>
        <w:t xml:space="preserve"> in which all APs are able to serve UEs cooperatively without any cell restrictions. The cooperation among the APs can be implemented via a fronthaul connection between each AP and CPU and a backhaul connection between CPUs. Compared to its cell-centric counterpart, the cell-free mMIMO is considered as a promising technology </w:t>
      </w:r>
      <w:r w:rsidRPr="00DA5FA8">
        <w:rPr>
          <w:rFonts w:ascii="Arial" w:hAnsi="Arial" w:cs="Arial"/>
        </w:rPr>
        <w:fldChar w:fldCharType="begin"/>
      </w:r>
      <w:r w:rsidRPr="00DA5FA8">
        <w:rPr>
          <w:rFonts w:ascii="Arial" w:hAnsi="Arial" w:cs="Arial"/>
        </w:rPr>
        <w:instrText xml:space="preserve"> REF _Ref39404091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[C6-70]</w:t>
      </w:r>
      <w:r w:rsidRPr="00DA5FA8">
        <w:rPr>
          <w:rFonts w:ascii="Arial" w:hAnsi="Arial" w:cs="Arial"/>
        </w:rPr>
        <w:fldChar w:fldCharType="end"/>
      </w:r>
      <w:r w:rsidRPr="00DA5FA8">
        <w:rPr>
          <w:rFonts w:ascii="Arial" w:hAnsi="Arial" w:cs="Arial"/>
        </w:rPr>
        <w:t xml:space="preserve"> due to its improvements in terms of spectral and energy efficiency, as well as its ability to balance the centralized and distributed processing, especially for indoor and hot-spot coverage scenarios </w:t>
      </w:r>
      <w:r w:rsidRPr="00DA5FA8">
        <w:rPr>
          <w:rFonts w:ascii="Arial" w:hAnsi="Arial" w:cs="Arial"/>
        </w:rPr>
        <w:fldChar w:fldCharType="begin"/>
      </w:r>
      <w:r w:rsidRPr="00DA5FA8">
        <w:rPr>
          <w:rFonts w:ascii="Arial" w:hAnsi="Arial" w:cs="Arial"/>
        </w:rPr>
        <w:instrText xml:space="preserve"> REF _Ref39404116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[C6-71]</w:t>
      </w:r>
      <w:r w:rsidRPr="00DA5FA8">
        <w:rPr>
          <w:rFonts w:ascii="Arial" w:hAnsi="Arial" w:cs="Arial"/>
        </w:rPr>
        <w:fldChar w:fldCharType="end"/>
      </w:r>
      <w:r w:rsidRPr="00DA5FA8">
        <w:rPr>
          <w:rFonts w:ascii="Arial" w:hAnsi="Arial" w:cs="Arial"/>
        </w:rPr>
        <w:t xml:space="preserve">. Nevertheless, some crucial questions remain open, such as the relevant initial access, power control, distributed processing considering encoding/decoding, resource allocation, channel modelling, downlink channel estimation, compliance with existing cellular standards and prototype design. </w:t>
      </w:r>
    </w:p>
    <w:p w14:paraId="1322D2B3" w14:textId="2E5B3F1C"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lastRenderedPageBreak/>
        <w:t xml:space="preserve">In the </w:t>
      </w:r>
      <w:r w:rsidRPr="00DA5FA8">
        <w:rPr>
          <w:rFonts w:ascii="Arial" w:hAnsi="Arial" w:cs="Arial"/>
          <w:noProof/>
          <w:color w:val="000000" w:themeColor="text1"/>
        </w:rPr>
        <w:t xml:space="preserve">different variations of massive and </w:t>
      </w:r>
      <w:r w:rsidRPr="00DA5FA8">
        <w:rPr>
          <w:rFonts w:ascii="Arial" w:hAnsi="Arial" w:cs="Arial"/>
          <w:color w:val="000000" w:themeColor="text1"/>
        </w:rPr>
        <w:t xml:space="preserve">ultra-massive MIMO </w:t>
      </w:r>
      <w:r w:rsidRPr="00DA5FA8">
        <w:rPr>
          <w:rFonts w:ascii="Arial" w:hAnsi="Arial" w:cs="Arial"/>
          <w:noProof/>
          <w:color w:val="000000" w:themeColor="text1"/>
        </w:rPr>
        <w:t>schemes</w:t>
      </w:r>
      <w:r w:rsidRPr="00DA5FA8">
        <w:rPr>
          <w:rFonts w:ascii="Arial" w:hAnsi="Arial" w:cs="Arial"/>
          <w:color w:val="000000" w:themeColor="text1"/>
        </w:rPr>
        <w:t xml:space="preserve">, </w:t>
      </w:r>
      <w:r w:rsidRPr="00DA5FA8">
        <w:rPr>
          <w:rFonts w:ascii="Arial" w:hAnsi="Arial" w:cs="Arial"/>
          <w:b/>
          <w:color w:val="000000" w:themeColor="text1"/>
        </w:rPr>
        <w:t>machine learning</w:t>
      </w:r>
      <w:r w:rsidRPr="00DA5FA8">
        <w:rPr>
          <w:rFonts w:ascii="Arial" w:hAnsi="Arial" w:cs="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Pr="00DA5FA8">
        <w:rPr>
          <w:rFonts w:ascii="Arial" w:hAnsi="Arial" w:cs="Arial"/>
          <w:noProof/>
          <w:color w:val="000000" w:themeColor="text1"/>
        </w:rPr>
        <w:t xml:space="preserve">ML can also be effective to define detection schemes that take advantage of nonlinear effects </w:t>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_Ref32308697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[C6-64]</w:t>
      </w:r>
      <w:r w:rsidRPr="00DA5FA8">
        <w:rPr>
          <w:rFonts w:ascii="Arial" w:hAnsi="Arial" w:cs="Arial"/>
          <w:noProof/>
          <w:color w:val="000000" w:themeColor="text1"/>
        </w:rPr>
        <w:fldChar w:fldCharType="end"/>
      </w:r>
      <w:r w:rsidRPr="00DA5FA8">
        <w:rPr>
          <w:rFonts w:ascii="Arial" w:hAnsi="Arial" w:cs="Arial"/>
          <w:noProof/>
          <w:color w:val="000000" w:themeColor="text1"/>
        </w:rPr>
        <w:fldChar w:fldCharType="begin"/>
      </w:r>
      <w:r w:rsidRPr="00DA5FA8">
        <w:rPr>
          <w:rFonts w:ascii="Arial" w:hAnsi="Arial" w:cs="Arial"/>
          <w:noProof/>
          <w:color w:val="000000" w:themeColor="text1"/>
        </w:rPr>
        <w:instrText xml:space="preserve"> REF _Ref32308700 \r \h  \* MERGEFORMAT </w:instrText>
      </w:r>
      <w:r w:rsidRPr="00DA5FA8">
        <w:rPr>
          <w:rFonts w:ascii="Arial" w:hAnsi="Arial" w:cs="Arial"/>
          <w:noProof/>
          <w:color w:val="000000" w:themeColor="text1"/>
        </w:rPr>
      </w:r>
      <w:r w:rsidRPr="00DA5FA8">
        <w:rPr>
          <w:rFonts w:ascii="Arial" w:hAnsi="Arial" w:cs="Arial"/>
          <w:noProof/>
          <w:color w:val="000000" w:themeColor="text1"/>
        </w:rPr>
        <w:fldChar w:fldCharType="separate"/>
      </w:r>
      <w:r w:rsidR="003F0180">
        <w:rPr>
          <w:rFonts w:ascii="Arial" w:hAnsi="Arial" w:cs="Arial"/>
          <w:noProof/>
          <w:color w:val="000000" w:themeColor="text1"/>
        </w:rPr>
        <w:t>[C6-65]</w:t>
      </w:r>
      <w:r w:rsidRPr="00DA5FA8">
        <w:rPr>
          <w:rFonts w:ascii="Arial" w:hAnsi="Arial" w:cs="Arial"/>
          <w:noProof/>
          <w:color w:val="000000" w:themeColor="text1"/>
        </w:rPr>
        <w:fldChar w:fldCharType="end"/>
      </w:r>
      <w:r w:rsidRPr="00DA5FA8">
        <w:rPr>
          <w:rFonts w:ascii="Arial" w:hAnsi="Arial" w:cs="Arial"/>
          <w:noProof/>
          <w:color w:val="000000" w:themeColor="text1"/>
        </w:rPr>
        <w:t xml:space="preserve">. </w:t>
      </w:r>
      <w:r w:rsidRPr="00DA5FA8">
        <w:rPr>
          <w:rFonts w:ascii="Arial" w:hAnsi="Arial" w:cs="Arial"/>
          <w:color w:val="000000" w:themeColor="text1"/>
        </w:rPr>
        <w:t>A further example is molecular communications discussed in Chapter 11,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39F9E82E" w14:textId="77777777" w:rsidR="003F2CCB" w:rsidRPr="00DA5FA8" w:rsidRDefault="003F2CCB" w:rsidP="003F2CCB">
      <w:pPr>
        <w:jc w:val="both"/>
        <w:rPr>
          <w:rFonts w:ascii="Arial" w:hAnsi="Arial" w:cs="Arial"/>
          <w:color w:val="000000" w:themeColor="text1"/>
        </w:rPr>
      </w:pPr>
    </w:p>
    <w:p w14:paraId="434D0DAB" w14:textId="77777777" w:rsidR="003F2CCB" w:rsidRPr="00FB57C1" w:rsidRDefault="003F2CCB" w:rsidP="003F2CCB">
      <w:pPr>
        <w:pStyle w:val="Heading2"/>
        <w:spacing w:before="0" w:after="120"/>
        <w:ind w:left="578" w:hanging="578"/>
        <w:jc w:val="both"/>
        <w:rPr>
          <w:rFonts w:cs="Arial"/>
          <w:color w:val="000000" w:themeColor="text1"/>
        </w:rPr>
      </w:pPr>
      <w:bookmarkStart w:id="211" w:name="_Toc32413495"/>
      <w:bookmarkStart w:id="212" w:name="_Toc32438293"/>
      <w:bookmarkStart w:id="213" w:name="_Toc42177280"/>
      <w:r w:rsidRPr="00FB57C1">
        <w:rPr>
          <w:rFonts w:cs="Arial"/>
          <w:color w:val="000000" w:themeColor="text1"/>
        </w:rPr>
        <w:t xml:space="preserve">Waveform, Multiple Access and </w:t>
      </w:r>
      <w:bookmarkEnd w:id="211"/>
      <w:bookmarkEnd w:id="212"/>
      <w:r w:rsidRPr="00FB57C1">
        <w:rPr>
          <w:rFonts w:cs="Arial"/>
          <w:color w:val="000000" w:themeColor="text1"/>
        </w:rPr>
        <w:t>Full-Duplex</w:t>
      </w:r>
      <w:bookmarkEnd w:id="213"/>
    </w:p>
    <w:p w14:paraId="7E12349B" w14:textId="3D7E25A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Cyclic prefix orthogonal frequency division multiplexing (CP-OFDM) has been adopted in several wireline and wireless standards such as ADSL, Wi-Fi, LTE, and recently in 5G NR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_Ref32441985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[C6-72]</w:t>
      </w:r>
      <w:r w:rsidRPr="00DA5FA8">
        <w:rPr>
          <w:rFonts w:ascii="Arial" w:hAnsi="Arial" w:cs="Arial"/>
          <w:color w:val="000000" w:themeColor="text1"/>
        </w:rPr>
        <w:fldChar w:fldCharType="end"/>
      </w:r>
      <w:r w:rsidRPr="00DA5FA8">
        <w:rPr>
          <w:rFonts w:ascii="Arial" w:hAnsi="Arial" w:cs="Arial"/>
          <w:color w:val="000000" w:themeColor="text1"/>
        </w:rPr>
        <w:t xml:space="preserve">. CP-OFDM divides the bandwidth into several orthogonal subcarriers. The orthogonality is preserved as long as the transmitters are synchronised to each other. Fine time and frequency synchronisation is then required to maintain the subcarrier orthogonality. However, strict synchronisation is limiting in certain scenarios. For example, sporadic access in internet of things (IoT) and machine-type communications (MTC) requires relaxed synchronisation schemes, in order to limit the length of the signalling overhead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_Ref510638501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[C6-73]</w:t>
      </w:r>
      <w:r w:rsidRPr="00DA5FA8">
        <w:rPr>
          <w:rFonts w:ascii="Arial" w:hAnsi="Arial" w:cs="Arial"/>
          <w:color w:val="000000" w:themeColor="text1"/>
        </w:rPr>
        <w:fldChar w:fldCharType="end"/>
      </w:r>
      <w:r w:rsidRPr="00DA5FA8">
        <w:rPr>
          <w:rFonts w:ascii="Arial" w:hAnsi="Arial" w:cs="Arial"/>
          <w:color w:val="000000" w:themeColor="text1"/>
        </w:rPr>
        <w:t xml:space="preserve">. Ideally, the massive number of devices could just transmit their messages asynchronously; being only coarsely synchronised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_Ref510638501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[C6-73]</w:t>
      </w:r>
      <w:r w:rsidRPr="00DA5FA8">
        <w:rPr>
          <w:rFonts w:ascii="Arial" w:hAnsi="Arial" w:cs="Arial"/>
          <w:color w:val="000000" w:themeColor="text1"/>
        </w:rPr>
        <w:fldChar w:fldCharType="end"/>
      </w:r>
      <w:r w:rsidRPr="00DA5FA8">
        <w:rPr>
          <w:rFonts w:ascii="Arial" w:hAnsi="Arial" w:cs="Arial"/>
          <w:color w:val="000000" w:themeColor="text1"/>
        </w:rPr>
        <w:t xml:space="preserve">. This could also be advantageous for low-latency communications. However, in multi-user asynchronous access, the CP-OFDM subcarriers are no longer orthogonal, which introduces high inter-carrier interference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_Ref510638534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[C6-74]</w:t>
      </w:r>
      <w:r w:rsidRPr="00DA5FA8">
        <w:rPr>
          <w:rFonts w:ascii="Arial" w:hAnsi="Arial" w:cs="Arial"/>
          <w:color w:val="000000" w:themeColor="text1"/>
        </w:rPr>
        <w:fldChar w:fldCharType="end"/>
      </w:r>
      <w:r w:rsidRPr="00DA5FA8">
        <w:rPr>
          <w:rFonts w:ascii="Arial" w:hAnsi="Arial" w:cs="Arial"/>
          <w:color w:val="000000" w:themeColor="text1"/>
        </w:rPr>
        <w:t>. Therefore, CP-OFDM is no longer viable in such scenarios.</w:t>
      </w:r>
    </w:p>
    <w:p w14:paraId="1B791632"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Several waveforms, e.g. filter bank multi-carrier (FBMC), generalised frequency division multiplexing (GFDM) and universal filtered multi-carrier (UFMC) may be more suitable since their subcarriers are better localised in the frequency domain, and therefore limit the inter-carrier interference. A good frequency localisation may also be beneficial due to other reasons, e.g. sensitivity to phase noise in mmWave, required accuracy of frequency-synchronisation, etc.</w:t>
      </w:r>
    </w:p>
    <w:p w14:paraId="0F55479F" w14:textId="58B7BA04"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The waveforms differ in whether they are orthogonal, whether and how they employ a cyclic prefix, and how the subcarriers are filtered to make them well localised in the frequency domain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_Ref510638561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[C6-75]</w:t>
      </w:r>
      <w:r w:rsidRPr="00DA5FA8">
        <w:rPr>
          <w:rFonts w:ascii="Arial" w:hAnsi="Arial" w:cs="Arial"/>
          <w:color w:val="000000" w:themeColor="text1"/>
        </w:rPr>
        <w:fldChar w:fldCharType="end"/>
      </w:r>
      <w:r w:rsidRPr="00DA5FA8">
        <w:rPr>
          <w:rFonts w:ascii="Arial" w:hAnsi="Arial" w:cs="Arial"/>
          <w:color w:val="000000" w:themeColor="text1"/>
        </w:rPr>
        <w:t xml:space="preserve">. FBMC is quasi-orthogonal, performs a per sub-carrier filtering and eliminates the cyclic prefix, but care must be taken in the implementation since contrary to OFDM, GFDM and UFMC, it uses offset quadrature amplitude modulation (OQAM). GFDM also performs per-subcarrier filtering and reduces the overhead of the cyclic prefix by employing it for several symbols, instead of per symbol as in OFDM. However, its non-orthogonality introduces self-interference even if the transmitters are perfectly synchronised.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_Ref510638600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[C6-76]</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_Ref510638619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[C6-77]</w:t>
      </w:r>
      <w:r w:rsidRPr="00DA5FA8">
        <w:rPr>
          <w:rFonts w:ascii="Arial" w:hAnsi="Arial" w:cs="Arial"/>
          <w:color w:val="000000" w:themeColor="text1"/>
        </w:rPr>
        <w:fldChar w:fldCharType="end"/>
      </w:r>
      <w:r w:rsidRPr="00DA5FA8">
        <w:rPr>
          <w:rFonts w:ascii="Arial" w:hAnsi="Arial" w:cs="Arial"/>
          <w:color w:val="000000" w:themeColor="text1"/>
        </w:rPr>
        <w:t>.</w:t>
      </w:r>
    </w:p>
    <w:p w14:paraId="55A94EDD" w14:textId="316E7D01"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lastRenderedPageBreak/>
        <w:t xml:space="preserve">There are further new waveforms, including orthogonal time frequency space (OTFS) modulation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_Ref38632774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[C6-78]</w:t>
      </w:r>
      <w:r w:rsidRPr="00DA5FA8">
        <w:rPr>
          <w:rFonts w:ascii="Arial" w:hAnsi="Arial" w:cs="Arial"/>
          <w:color w:val="000000" w:themeColor="text1"/>
        </w:rPr>
        <w:fldChar w:fldCharType="end"/>
      </w:r>
      <w:r w:rsidRPr="00DA5FA8">
        <w:rPr>
          <w:rFonts w:ascii="Arial" w:hAnsi="Arial" w:cs="Arial"/>
          <w:color w:val="000000" w:themeColor="text1"/>
        </w:rPr>
        <w:t xml:space="preserve">, which can be considered as a special case of multicarrier code division multiple access (MC-CDMA). It uses long spreading sequences that are well localized in the delay-Doppler domain. This kind of spreading sequences have originally been designed for radar systems. Constant envelope OFDM (CE-OFDM)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_Ref38634211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[C6-80]</w:t>
      </w:r>
      <w:r w:rsidRPr="00DA5FA8">
        <w:rPr>
          <w:rFonts w:ascii="Arial" w:hAnsi="Arial" w:cs="Arial"/>
          <w:color w:val="000000" w:themeColor="text1"/>
        </w:rPr>
        <w:fldChar w:fldCharType="end"/>
      </w:r>
      <w:r w:rsidRPr="00DA5FA8">
        <w:rPr>
          <w:rFonts w:ascii="Arial" w:hAnsi="Arial" w:cs="Arial"/>
          <w:color w:val="000000" w:themeColor="text1"/>
        </w:rPr>
        <w:t xml:space="preserve"> uses phase modulation to modulate an OFDM signal onto a carrier to reduce the peak to average power ratio (PAPR). A low PAPR is advantageous, as it enables more efficient power amplification, as the lower the PAPR is, the smaller the power backoff can be. CE-OFDM uses Hermitian-symmetric inputs to the IDFT, which leads to a real valued output used to modulate the phase. Low-complexity receivers for CE-OFDM have been studied 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_Ref38888813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[C6-81]</w:t>
      </w:r>
      <w:r w:rsidRPr="00DA5FA8">
        <w:rPr>
          <w:rFonts w:ascii="Arial" w:hAnsi="Arial" w:cs="Arial"/>
          <w:color w:val="000000" w:themeColor="text1"/>
        </w:rPr>
        <w:fldChar w:fldCharType="end"/>
      </w:r>
      <w:r w:rsidRPr="00DA5FA8">
        <w:rPr>
          <w:rFonts w:ascii="Arial" w:hAnsi="Arial" w:cs="Arial"/>
          <w:color w:val="000000" w:themeColor="text1"/>
        </w:rPr>
        <w:t>.</w:t>
      </w:r>
    </w:p>
    <w:p w14:paraId="5B4365A6"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439F8AB0" w14:textId="02BCB738" w:rsidR="003F2CCB" w:rsidRPr="00DA5FA8" w:rsidRDefault="003F2CCB" w:rsidP="003F2CCB">
      <w:pPr>
        <w:jc w:val="both"/>
        <w:rPr>
          <w:rFonts w:ascii="Arial" w:hAnsi="Arial" w:cs="Arial"/>
          <w:bCs/>
        </w:rPr>
      </w:pPr>
      <w:r w:rsidRPr="00DA5FA8">
        <w:rPr>
          <w:rFonts w:ascii="Arial" w:hAnsi="Arial" w:cs="Arial"/>
          <w:color w:val="000000" w:themeColor="text1"/>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t>
      </w:r>
      <w:r w:rsidRPr="00DA5FA8">
        <w:rPr>
          <w:rFonts w:ascii="Arial" w:hAnsi="Arial" w:cs="Arial"/>
        </w:rPr>
        <w:t xml:space="preserve">with grant-free access </w:t>
      </w:r>
      <w:r w:rsidRPr="00DA5FA8">
        <w:rPr>
          <w:rFonts w:ascii="Arial" w:hAnsi="Arial" w:cs="Arial"/>
        </w:rPr>
        <w:fldChar w:fldCharType="begin"/>
      </w:r>
      <w:r w:rsidRPr="00DA5FA8">
        <w:rPr>
          <w:rFonts w:ascii="Arial" w:hAnsi="Arial" w:cs="Arial"/>
        </w:rPr>
        <w:instrText xml:space="preserve"> REF _Ref523991672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[C6-82]</w:t>
      </w:r>
      <w:r w:rsidRPr="00DA5FA8">
        <w:rPr>
          <w:rFonts w:ascii="Arial" w:hAnsi="Arial" w:cs="Arial"/>
        </w:rPr>
        <w:fldChar w:fldCharType="end"/>
      </w:r>
      <w:r w:rsidRPr="00DA5FA8">
        <w:rPr>
          <w:rFonts w:ascii="Arial" w:hAnsi="Arial" w:cs="Arial"/>
        </w:rPr>
        <w:t>. C</w:t>
      </w:r>
      <w:r w:rsidRPr="00DA5FA8">
        <w:rPr>
          <w:rFonts w:ascii="Arial" w:hAnsi="Arial" w:cs="Arial"/>
          <w:bCs/>
        </w:rPr>
        <w:t>hallenges for NOMA research include</w:t>
      </w:r>
    </w:p>
    <w:p w14:paraId="5A9865AA" w14:textId="17D0B995"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i/>
        </w:rPr>
        <w:t>User pairing:</w:t>
      </w:r>
      <w:r w:rsidRPr="00DA5FA8">
        <w:rPr>
          <w:rFonts w:ascii="Arial" w:hAnsi="Arial" w:cs="Arial"/>
        </w:rPr>
        <w:t xml:space="preserve"> Current research in NOMA mostly considers pairing of two users with the same resource due to high interference accumulation at receiver. However, some publications suggest that with a careful design, more than two users can be paired to use same resource </w:t>
      </w:r>
      <w:r w:rsidRPr="00DA5FA8">
        <w:rPr>
          <w:rFonts w:ascii="Arial" w:hAnsi="Arial" w:cs="Arial"/>
        </w:rPr>
        <w:fldChar w:fldCharType="begin"/>
      </w:r>
      <w:r w:rsidRPr="00DA5FA8">
        <w:rPr>
          <w:rFonts w:ascii="Arial" w:hAnsi="Arial" w:cs="Arial"/>
        </w:rPr>
        <w:instrText xml:space="preserve"> REF _Ref36412082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[C6-83]</w:t>
      </w:r>
      <w:r w:rsidRPr="00DA5FA8">
        <w:rPr>
          <w:rFonts w:ascii="Arial" w:hAnsi="Arial" w:cs="Arial"/>
        </w:rPr>
        <w:fldChar w:fldCharType="end"/>
      </w:r>
      <w:r w:rsidRPr="00DA5FA8">
        <w:rPr>
          <w:rFonts w:ascii="Arial" w:hAnsi="Arial" w:cs="Arial"/>
        </w:rPr>
        <w:t>. The application of dense users using same resource can be further extended by considering other candidates such as massive MIMO and mmWave.</w:t>
      </w:r>
    </w:p>
    <w:p w14:paraId="238121E5" w14:textId="003D8B5E"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i/>
        </w:rPr>
        <w:t xml:space="preserve">Interference cancellation: </w:t>
      </w:r>
      <w:r w:rsidRPr="00DA5FA8">
        <w:rPr>
          <w:rFonts w:ascii="Arial" w:hAnsi="Arial" w:cs="Arial"/>
        </w:rPr>
        <w:t xml:space="preserve">Several potential candidates for interference cancellation in NOMA have been discussed intensively. Successive interference cancellation (SIC), parallel interference cancellation (PIC) and hybrid interference cancellation are some possibilities </w:t>
      </w:r>
      <w:r w:rsidRPr="00DA5FA8">
        <w:rPr>
          <w:rFonts w:ascii="Arial" w:hAnsi="Arial" w:cs="Arial"/>
        </w:rPr>
        <w:fldChar w:fldCharType="begin"/>
      </w:r>
      <w:r w:rsidRPr="00DA5FA8">
        <w:rPr>
          <w:rFonts w:ascii="Arial" w:hAnsi="Arial" w:cs="Arial"/>
        </w:rPr>
        <w:instrText xml:space="preserve"> REF _Ref36412132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[C6-84]</w:t>
      </w:r>
      <w:r w:rsidRPr="00DA5FA8">
        <w:rPr>
          <w:rFonts w:ascii="Arial" w:hAnsi="Arial" w:cs="Arial"/>
        </w:rPr>
        <w:fldChar w:fldCharType="end"/>
      </w:r>
      <w:r w:rsidRPr="00DA5FA8">
        <w:rPr>
          <w:rFonts w:ascii="Arial" w:hAnsi="Arial" w:cs="Arial"/>
        </w:rPr>
        <w:t xml:space="preserve">. Yet the challenge to find the optimal one is still broadly open. The main focus is to find a balance between error rate performance, number of paired users, each user’s throughput and overall throughput. </w:t>
      </w:r>
    </w:p>
    <w:p w14:paraId="2BFE20B0" w14:textId="423C9895"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i/>
        </w:rPr>
        <w:t xml:space="preserve">Power control: </w:t>
      </w:r>
      <w:r w:rsidRPr="00DA5FA8">
        <w:rPr>
          <w:rFonts w:ascii="Arial" w:hAnsi="Arial" w:cs="Arial"/>
        </w:rPr>
        <w:t xml:space="preserve">It is important to design an intelligent power control scheme since power is a crucial resource in NOMA. The design of power control in NOMA can affect other performances such as receiver interference level and throughput. E.g. the work in </w:t>
      </w:r>
      <w:r w:rsidRPr="00DA5FA8">
        <w:rPr>
          <w:rFonts w:ascii="Arial" w:hAnsi="Arial" w:cs="Arial"/>
        </w:rPr>
        <w:fldChar w:fldCharType="begin"/>
      </w:r>
      <w:r w:rsidRPr="00DA5FA8">
        <w:rPr>
          <w:rFonts w:ascii="Arial" w:hAnsi="Arial" w:cs="Arial"/>
        </w:rPr>
        <w:instrText xml:space="preserve"> REF _Ref36412342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[C6-85]</w:t>
      </w:r>
      <w:r w:rsidRPr="00DA5FA8">
        <w:rPr>
          <w:rFonts w:ascii="Arial" w:hAnsi="Arial" w:cs="Arial"/>
        </w:rPr>
        <w:fldChar w:fldCharType="end"/>
      </w:r>
      <w:r w:rsidRPr="00DA5FA8">
        <w:rPr>
          <w:rFonts w:ascii="Arial" w:hAnsi="Arial" w:cs="Arial"/>
        </w:rPr>
        <w:t xml:space="preserve">, where the power constraint is jointly allocated in full-duplex NOMA, can be further extended to multi-cell scenario. </w:t>
      </w:r>
    </w:p>
    <w:p w14:paraId="4F38D940" w14:textId="5763F664" w:rsidR="003F2CCB" w:rsidRPr="00DA5FA8" w:rsidRDefault="003F2CCB" w:rsidP="00124439">
      <w:pPr>
        <w:pStyle w:val="ListParagraph"/>
        <w:numPr>
          <w:ilvl w:val="0"/>
          <w:numId w:val="14"/>
        </w:numPr>
        <w:spacing w:after="120" w:line="240" w:lineRule="auto"/>
        <w:jc w:val="both"/>
        <w:rPr>
          <w:rFonts w:ascii="Arial" w:hAnsi="Arial" w:cs="Arial"/>
          <w:color w:val="000000" w:themeColor="text1"/>
        </w:rPr>
      </w:pPr>
      <w:r w:rsidRPr="00DA5FA8">
        <w:rPr>
          <w:rFonts w:ascii="Arial" w:hAnsi="Arial" w:cs="Arial"/>
          <w:i/>
        </w:rPr>
        <w:t xml:space="preserve">Physical layer security: </w:t>
      </w:r>
      <w:r w:rsidRPr="00DA5FA8">
        <w:rPr>
          <w:rFonts w:ascii="Arial" w:hAnsi="Arial" w:cs="Arial"/>
        </w:rPr>
        <w:t xml:space="preserve">One of the earliest questions when NOMA was introduced is: Is NOMA safe? This question arose since in most NOMA cancellation techniques, one user can decode another user’s signal in its own device. Such an issue needs further investigations (see e.g. </w:t>
      </w:r>
      <w:r w:rsidRPr="00DA5FA8">
        <w:rPr>
          <w:rFonts w:ascii="Arial" w:hAnsi="Arial" w:cs="Arial"/>
        </w:rPr>
        <w:fldChar w:fldCharType="begin"/>
      </w:r>
      <w:r w:rsidRPr="00DA5FA8">
        <w:rPr>
          <w:rFonts w:ascii="Arial" w:hAnsi="Arial" w:cs="Arial"/>
        </w:rPr>
        <w:instrText xml:space="preserve"> REF _Ref36412521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[C6-86]</w:t>
      </w:r>
      <w:r w:rsidRPr="00DA5FA8">
        <w:rPr>
          <w:rFonts w:ascii="Arial" w:hAnsi="Arial" w:cs="Arial"/>
        </w:rPr>
        <w:fldChar w:fldCharType="end"/>
      </w:r>
      <w:r w:rsidRPr="00DA5FA8">
        <w:rPr>
          <w:rFonts w:ascii="Arial" w:hAnsi="Arial" w:cs="Arial"/>
        </w:rPr>
        <w:t>).</w:t>
      </w:r>
    </w:p>
    <w:p w14:paraId="52F359DF" w14:textId="21C5B26A" w:rsidR="003F2CCB" w:rsidRPr="00DA5FA8" w:rsidRDefault="003F2CCB" w:rsidP="003F2CCB">
      <w:pPr>
        <w:jc w:val="both"/>
        <w:rPr>
          <w:rFonts w:ascii="Arial" w:hAnsi="Arial" w:cs="Arial"/>
          <w:color w:val="000000" w:themeColor="text1"/>
        </w:rPr>
      </w:pPr>
      <w:r w:rsidRPr="00DA5FA8">
        <w:rPr>
          <w:rFonts w:ascii="Arial" w:hAnsi="Arial" w:cs="Arial"/>
        </w:rPr>
        <w:t xml:space="preserve">Furthermore, advanced self-interference cancellation </w:t>
      </w:r>
      <w:r w:rsidRPr="00DA5FA8">
        <w:rPr>
          <w:rFonts w:ascii="Arial" w:hAnsi="Arial" w:cs="Arial"/>
          <w:color w:val="000000" w:themeColor="text1"/>
        </w:rPr>
        <w:t>techniques can potentially double the spectral efficiency, and enable in-band full-duplex (</w:t>
      </w:r>
      <w:r w:rsidRPr="00DA5FA8">
        <w:rPr>
          <w:rFonts w:ascii="Arial" w:hAnsi="Arial" w:cs="Arial"/>
          <w:lang w:val="en-US"/>
        </w:rPr>
        <w:t>IBFD</w:t>
      </w:r>
      <w:r w:rsidRPr="00DA5FA8">
        <w:rPr>
          <w:rFonts w:ascii="Arial" w:hAnsi="Arial" w:cs="Arial"/>
          <w:color w:val="000000" w:themeColor="text1"/>
        </w:rPr>
        <w:t xml:space="preserve">) transceivers that offer a wide range of benefits, e.g., for relay, bidirectional communication, cooperative transmission in heterogeneous networks, and cognitive radio applications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_Ref523991680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[C6-87]</w:t>
      </w:r>
      <w:r w:rsidRPr="00DA5FA8">
        <w:rPr>
          <w:rFonts w:ascii="Arial" w:hAnsi="Arial" w:cs="Arial"/>
          <w:color w:val="000000" w:themeColor="text1"/>
        </w:rPr>
        <w:fldChar w:fldCharType="end"/>
      </w:r>
      <w:r w:rsidRPr="00DA5FA8">
        <w:rPr>
          <w:rFonts w:ascii="Arial" w:hAnsi="Arial" w:cs="Arial"/>
          <w:color w:val="000000" w:themeColor="text1"/>
        </w:rPr>
        <w:t xml:space="preserve">. </w:t>
      </w:r>
      <w:r w:rsidRPr="00DA5FA8">
        <w:rPr>
          <w:rFonts w:ascii="Arial" w:hAnsi="Arial" w:cs="Arial"/>
          <w:lang w:val="en-US"/>
        </w:rPr>
        <w:t>However, for the full-duplex technique to be successfully employed in next generation wireless</w:t>
      </w:r>
      <w:r w:rsidRPr="00DA5FA8">
        <w:rPr>
          <w:rFonts w:ascii="Arial" w:hAnsi="Arial" w:cs="Arial"/>
          <w:color w:val="000000" w:themeColor="text1"/>
        </w:rPr>
        <w:t xml:space="preserve"> </w:t>
      </w:r>
      <w:r w:rsidRPr="00DA5FA8">
        <w:rPr>
          <w:rFonts w:ascii="Arial" w:hAnsi="Arial" w:cs="Arial"/>
          <w:lang w:val="en-US"/>
        </w:rPr>
        <w:t>systems, there exist challenges at all layers, ranging from antenna and circuit design (e.g. due</w:t>
      </w:r>
      <w:r w:rsidRPr="00DA5FA8">
        <w:rPr>
          <w:rFonts w:ascii="Arial" w:hAnsi="Arial" w:cs="Arial"/>
          <w:color w:val="000000" w:themeColor="text1"/>
        </w:rPr>
        <w:t xml:space="preserve"> </w:t>
      </w:r>
      <w:r w:rsidRPr="00DA5FA8">
        <w:rPr>
          <w:rFonts w:ascii="Arial" w:hAnsi="Arial" w:cs="Arial"/>
          <w:lang w:val="en-US"/>
        </w:rPr>
        <w:t>to hardware imperfection and nonlinearity, non-ideal frequency response of the circuits, phase</w:t>
      </w:r>
      <w:r w:rsidRPr="00DA5FA8">
        <w:rPr>
          <w:rFonts w:ascii="Arial" w:hAnsi="Arial" w:cs="Arial"/>
          <w:color w:val="000000" w:themeColor="text1"/>
        </w:rPr>
        <w:t xml:space="preserve"> </w:t>
      </w:r>
      <w:r w:rsidRPr="00DA5FA8">
        <w:rPr>
          <w:rFonts w:ascii="Arial" w:hAnsi="Arial" w:cs="Arial"/>
          <w:lang w:val="en-US"/>
        </w:rPr>
        <w:t>noise, etc, especially when taking MIMO and massive MIMO into account), to the development</w:t>
      </w:r>
      <w:r w:rsidRPr="00DA5FA8">
        <w:rPr>
          <w:rFonts w:ascii="Arial" w:hAnsi="Arial" w:cs="Arial"/>
          <w:color w:val="000000" w:themeColor="text1"/>
        </w:rPr>
        <w:t xml:space="preserve"> </w:t>
      </w:r>
      <w:r w:rsidRPr="00DA5FA8">
        <w:rPr>
          <w:rFonts w:ascii="Arial" w:hAnsi="Arial" w:cs="Arial"/>
          <w:lang w:val="en-US"/>
        </w:rPr>
        <w:t>of theoretical foundations for wireless networks with IBFD terminals. Much work remains to</w:t>
      </w:r>
      <w:r w:rsidRPr="00DA5FA8">
        <w:rPr>
          <w:rFonts w:ascii="Arial" w:hAnsi="Arial" w:cs="Arial"/>
          <w:color w:val="000000" w:themeColor="text1"/>
        </w:rPr>
        <w:t xml:space="preserve"> </w:t>
      </w:r>
      <w:r w:rsidRPr="00DA5FA8">
        <w:rPr>
          <w:rFonts w:ascii="Arial" w:hAnsi="Arial" w:cs="Arial"/>
          <w:lang w:val="en-US"/>
        </w:rPr>
        <w:t>be done, and an inter-disciplinary approach will be essential to meet the numerous challenges</w:t>
      </w:r>
      <w:r w:rsidRPr="00DA5FA8">
        <w:rPr>
          <w:rFonts w:ascii="Arial" w:hAnsi="Arial" w:cs="Arial"/>
          <w:color w:val="000000" w:themeColor="text1"/>
        </w:rPr>
        <w:t xml:space="preserve"> </w:t>
      </w:r>
      <w:r w:rsidRPr="00DA5FA8">
        <w:rPr>
          <w:rFonts w:ascii="Arial" w:hAnsi="Arial" w:cs="Arial"/>
          <w:lang w:val="en-US"/>
        </w:rPr>
        <w:t xml:space="preserve">ahead </w:t>
      </w:r>
      <w:r w:rsidRPr="00DA5FA8">
        <w:rPr>
          <w:rFonts w:ascii="Arial" w:hAnsi="Arial" w:cs="Arial"/>
          <w:lang w:val="en-US"/>
        </w:rPr>
        <w:fldChar w:fldCharType="begin"/>
      </w:r>
      <w:r w:rsidRPr="00DA5FA8">
        <w:rPr>
          <w:rFonts w:ascii="Arial" w:hAnsi="Arial" w:cs="Arial"/>
          <w:lang w:val="en-US"/>
        </w:rPr>
        <w:instrText xml:space="preserve"> REF _Ref38364423 \r \h  \* MERGEFORMAT </w:instrText>
      </w:r>
      <w:r w:rsidRPr="00DA5FA8">
        <w:rPr>
          <w:rFonts w:ascii="Arial" w:hAnsi="Arial" w:cs="Arial"/>
          <w:lang w:val="en-US"/>
        </w:rPr>
      </w:r>
      <w:r w:rsidRPr="00DA5FA8">
        <w:rPr>
          <w:rFonts w:ascii="Arial" w:hAnsi="Arial" w:cs="Arial"/>
          <w:lang w:val="en-US"/>
        </w:rPr>
        <w:fldChar w:fldCharType="separate"/>
      </w:r>
      <w:r w:rsidR="003F0180">
        <w:rPr>
          <w:rFonts w:ascii="Arial" w:hAnsi="Arial" w:cs="Arial"/>
          <w:lang w:val="en-US"/>
        </w:rPr>
        <w:t>[C6-88]</w:t>
      </w:r>
      <w:r w:rsidRPr="00DA5FA8">
        <w:rPr>
          <w:rFonts w:ascii="Arial" w:hAnsi="Arial" w:cs="Arial"/>
          <w:lang w:val="en-US"/>
        </w:rPr>
        <w:fldChar w:fldCharType="end"/>
      </w:r>
      <w:r w:rsidRPr="00DA5FA8">
        <w:rPr>
          <w:rFonts w:ascii="Arial" w:hAnsi="Arial" w:cs="Arial"/>
          <w:lang w:val="en-US"/>
        </w:rPr>
        <w:t>.</w:t>
      </w:r>
    </w:p>
    <w:p w14:paraId="5CCB8FE2" w14:textId="77777777" w:rsidR="003F2CCB" w:rsidRPr="00DA5FA8" w:rsidRDefault="003F2CCB" w:rsidP="003F2CCB">
      <w:pPr>
        <w:jc w:val="both"/>
        <w:rPr>
          <w:rFonts w:ascii="Arial" w:hAnsi="Arial" w:cs="Arial"/>
          <w:color w:val="000000" w:themeColor="text1"/>
        </w:rPr>
      </w:pPr>
    </w:p>
    <w:p w14:paraId="085BC312" w14:textId="77777777" w:rsidR="003F2CCB" w:rsidRPr="00FB57C1" w:rsidRDefault="003F2CCB" w:rsidP="003F2CCB">
      <w:pPr>
        <w:pStyle w:val="Heading2"/>
        <w:spacing w:before="0" w:after="120"/>
        <w:ind w:left="578" w:hanging="578"/>
        <w:jc w:val="both"/>
        <w:rPr>
          <w:rFonts w:cs="Arial"/>
          <w:color w:val="000000" w:themeColor="text1"/>
        </w:rPr>
      </w:pPr>
      <w:bookmarkStart w:id="214" w:name="_Toc32413496"/>
      <w:bookmarkStart w:id="215" w:name="_Toc32438294"/>
      <w:bookmarkStart w:id="216" w:name="_Toc42177281"/>
      <w:r w:rsidRPr="00FB57C1">
        <w:rPr>
          <w:rFonts w:cs="Arial"/>
          <w:color w:val="000000" w:themeColor="text1"/>
        </w:rPr>
        <w:t>Coding and Modulation</w:t>
      </w:r>
      <w:bookmarkEnd w:id="214"/>
      <w:bookmarkEnd w:id="215"/>
      <w:bookmarkEnd w:id="216"/>
    </w:p>
    <w:p w14:paraId="43574794" w14:textId="7CF5EE71" w:rsidR="003F2CCB" w:rsidRPr="00DA5FA8" w:rsidRDefault="003F2CCB" w:rsidP="003F2CCB">
      <w:pPr>
        <w:spacing w:after="120"/>
        <w:jc w:val="both"/>
        <w:rPr>
          <w:rFonts w:ascii="Arial" w:hAnsi="Arial" w:cs="Arial"/>
        </w:rPr>
      </w:pPr>
      <w:r w:rsidRPr="00DA5FA8">
        <w:rPr>
          <w:rFonts w:ascii="Arial" w:hAnsi="Arial" w:cs="Arial"/>
          <w:color w:val="000000" w:themeColor="text1"/>
        </w:rPr>
        <w:t xml:space="preserve">Channel coding aims to correct errors to establish reliable communication and can be regarded as one of the most complex parts of the baseband transmission chain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_Ref36396494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[C6-89]</w:t>
      </w:r>
      <w:r w:rsidRPr="00DA5FA8">
        <w:rPr>
          <w:rFonts w:ascii="Arial" w:hAnsi="Arial" w:cs="Arial"/>
          <w:color w:val="000000" w:themeColor="text1"/>
        </w:rPr>
        <w:fldChar w:fldCharType="end"/>
      </w:r>
      <w:r w:rsidRPr="00DA5FA8">
        <w:rPr>
          <w:rFonts w:ascii="Arial" w:hAnsi="Arial" w:cs="Arial"/>
          <w:color w:val="000000" w:themeColor="text1"/>
        </w:rPr>
        <w:t xml:space="preserve">.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parallelisation, chip area, energy efficiency, etc.) to be addressed for high throughput (e.g. when throughput is over multiple Gigabits per second) and/or low latency applications are targeted by future communication </w:t>
      </w:r>
      <w:r w:rsidRPr="00DA5FA8">
        <w:rPr>
          <w:rFonts w:ascii="Arial" w:hAnsi="Arial" w:cs="Arial"/>
        </w:rPr>
        <w:t>standards.</w:t>
      </w:r>
    </w:p>
    <w:p w14:paraId="0661E1E5" w14:textId="52367690" w:rsidR="003F2CCB" w:rsidRPr="00DA5FA8" w:rsidRDefault="003F2CCB" w:rsidP="003F2CCB">
      <w:pPr>
        <w:spacing w:after="120"/>
        <w:jc w:val="both"/>
        <w:rPr>
          <w:rFonts w:ascii="Arial" w:hAnsi="Arial" w:cs="Arial"/>
        </w:rPr>
      </w:pPr>
      <w:r w:rsidRPr="00DA5FA8">
        <w:rPr>
          <w:rFonts w:ascii="Arial" w:hAnsi="Arial" w:cs="Arial"/>
        </w:rPr>
        <w:t xml:space="preserve">For Polar codes, the state of the art CRC aided successive cancellation list (CA-SCL) decoding doesn’t scale up well with throughput due to its serial nature of the algorithm. Hence, iterative algorithms like multi-trellis BP (belief propagation) decoding </w:t>
      </w:r>
      <w:r w:rsidRPr="00DA5FA8">
        <w:rPr>
          <w:rFonts w:ascii="Arial" w:hAnsi="Arial" w:cs="Arial"/>
        </w:rPr>
        <w:fldChar w:fldCharType="begin"/>
      </w:r>
      <w:r w:rsidRPr="00DA5FA8">
        <w:rPr>
          <w:rFonts w:ascii="Arial" w:hAnsi="Arial" w:cs="Arial"/>
        </w:rPr>
        <w:instrText xml:space="preserve"> REF _Ref36414836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[C6-90]</w:t>
      </w:r>
      <w:r w:rsidRPr="00DA5FA8">
        <w:rPr>
          <w:rFonts w:ascii="Arial" w:hAnsi="Arial" w:cs="Arial"/>
        </w:rPr>
        <w:fldChar w:fldCharType="end"/>
      </w:r>
      <w:r w:rsidRPr="00DA5FA8">
        <w:rPr>
          <w:rFonts w:ascii="Arial" w:hAnsi="Arial" w:cs="Arial"/>
        </w:rPr>
        <w:fldChar w:fldCharType="begin"/>
      </w:r>
      <w:r w:rsidRPr="00DA5FA8">
        <w:rPr>
          <w:rFonts w:ascii="Arial" w:hAnsi="Arial" w:cs="Arial"/>
        </w:rPr>
        <w:instrText xml:space="preserve"> REF _Ref36414842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[C6-91]</w:t>
      </w:r>
      <w:r w:rsidRPr="00DA5FA8">
        <w:rPr>
          <w:rFonts w:ascii="Arial" w:hAnsi="Arial" w:cs="Arial"/>
        </w:rPr>
        <w:fldChar w:fldCharType="end"/>
      </w:r>
      <w:r w:rsidRPr="00DA5FA8">
        <w:rPr>
          <w:rFonts w:ascii="Arial" w:hAnsi="Arial" w:cs="Arial"/>
        </w:rPr>
        <w:t xml:space="preserve"> may be considered. Furthermore, modified polar code constructions can be adopted to improve the performance of iterative BP algorithms. Approaches like unfolding the iterative decoders using deep neural networks can be used to improve the latency and throughput of the decoders </w:t>
      </w:r>
      <w:r w:rsidRPr="00DA5FA8">
        <w:rPr>
          <w:rFonts w:ascii="Arial" w:hAnsi="Arial" w:cs="Arial"/>
        </w:rPr>
        <w:fldChar w:fldCharType="begin"/>
      </w:r>
      <w:r w:rsidRPr="00DA5FA8">
        <w:rPr>
          <w:rFonts w:ascii="Arial" w:hAnsi="Arial" w:cs="Arial"/>
        </w:rPr>
        <w:instrText xml:space="preserve"> REF _Ref36414903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[C6-92]</w:t>
      </w:r>
      <w:r w:rsidRPr="00DA5FA8">
        <w:rPr>
          <w:rFonts w:ascii="Arial" w:hAnsi="Arial" w:cs="Arial"/>
        </w:rPr>
        <w:fldChar w:fldCharType="end"/>
      </w:r>
      <w:r w:rsidRPr="00DA5FA8">
        <w:rPr>
          <w:rFonts w:ascii="Arial" w:hAnsi="Arial" w:cs="Arial"/>
        </w:rPr>
        <w:fldChar w:fldCharType="begin"/>
      </w:r>
      <w:r w:rsidRPr="00DA5FA8">
        <w:rPr>
          <w:rFonts w:ascii="Arial" w:hAnsi="Arial" w:cs="Arial"/>
        </w:rPr>
        <w:instrText xml:space="preserve"> REF _Ref36414906 \r \h  \* MERGEFORMAT </w:instrText>
      </w:r>
      <w:r w:rsidRPr="00DA5FA8">
        <w:rPr>
          <w:rFonts w:ascii="Arial" w:hAnsi="Arial" w:cs="Arial"/>
        </w:rPr>
      </w:r>
      <w:r w:rsidRPr="00DA5FA8">
        <w:rPr>
          <w:rFonts w:ascii="Arial" w:hAnsi="Arial" w:cs="Arial"/>
        </w:rPr>
        <w:fldChar w:fldCharType="separate"/>
      </w:r>
      <w:r w:rsidR="003F0180">
        <w:rPr>
          <w:rFonts w:ascii="Arial" w:hAnsi="Arial" w:cs="Arial"/>
        </w:rPr>
        <w:t>[C6-93]</w:t>
      </w:r>
      <w:r w:rsidRPr="00DA5FA8">
        <w:rPr>
          <w:rFonts w:ascii="Arial" w:hAnsi="Arial" w:cs="Arial"/>
        </w:rPr>
        <w:fldChar w:fldCharType="end"/>
      </w:r>
      <w:r w:rsidRPr="00DA5FA8">
        <w:rPr>
          <w:rFonts w:ascii="Arial" w:hAnsi="Arial" w:cs="Arial"/>
        </w:rPr>
        <w:t xml:space="preserve">. </w:t>
      </w:r>
    </w:p>
    <w:p w14:paraId="7423BB98" w14:textId="5DEECFAB" w:rsidR="003F2CCB" w:rsidRPr="00DA5FA8" w:rsidRDefault="003F2CCB" w:rsidP="003F2CCB">
      <w:pPr>
        <w:spacing w:after="120"/>
        <w:jc w:val="both"/>
        <w:rPr>
          <w:rFonts w:ascii="Arial" w:hAnsi="Arial" w:cs="Arial"/>
          <w:color w:val="000000" w:themeColor="text1"/>
        </w:rPr>
      </w:pPr>
      <w:r w:rsidRPr="00DA5FA8">
        <w:rPr>
          <w:rFonts w:ascii="Arial" w:hAnsi="Arial" w:cs="Arial"/>
        </w:rPr>
        <w:t xml:space="preserve">Even though these modern coding schemes show near-capacity error correction performance for many channels (e.g. binary input additive white Gaussian/BI-AWGN channels), their combination with higher </w:t>
      </w:r>
      <w:r w:rsidRPr="00DA5FA8">
        <w:rPr>
          <w:rFonts w:ascii="Arial" w:hAnsi="Arial" w:cs="Arial"/>
          <w:color w:val="000000" w:themeColor="text1"/>
        </w:rPr>
        <w:t xml:space="preserve">order modulation schemes (such as QAM) can lead to a sub-optimal performance. One reason for this degradation is the so-called ‘shaping loss’ caused by the probability distribution of the transmitted symbols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_Ref510639119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[C6-94]</w:t>
      </w:r>
      <w:r w:rsidRPr="00DA5FA8">
        <w:rPr>
          <w:rFonts w:ascii="Arial" w:hAnsi="Arial" w:cs="Arial"/>
          <w:color w:val="000000" w:themeColor="text1"/>
        </w:rPr>
        <w:fldChar w:fldCharType="end"/>
      </w:r>
      <w:r w:rsidRPr="00DA5FA8">
        <w:rPr>
          <w:rFonts w:ascii="Arial" w:hAnsi="Arial" w:cs="Arial"/>
          <w:color w:val="000000" w:themeColor="text1"/>
        </w:rPr>
        <w:t>. In order to approach capacity, the transmitted symbols need to have a certain probability distribution (e.g. discrete Gaussian distribution is needed for the transmission over AWGN channels) and using uniformly distributed symbols results in a performance loss, which can be up to 1.53 dB on AWGN channels.</w:t>
      </w:r>
    </w:p>
    <w:p w14:paraId="19E0B945" w14:textId="2C310CBD"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Several solutions for constellation shaping are proposed to compensate this loss. One option is to optimise the locations of the modulated symbols in the constellation diagram to obtain non-uniform constellations (NUC), as adopted in the ATSC3.0 standard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_Ref510639134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[C6-95]</w:t>
      </w:r>
      <w:r w:rsidRPr="00DA5FA8">
        <w:rPr>
          <w:rFonts w:ascii="Arial" w:hAnsi="Arial" w:cs="Arial"/>
          <w:color w:val="000000" w:themeColor="text1"/>
        </w:rPr>
        <w:fldChar w:fldCharType="end"/>
      </w:r>
      <w:r w:rsidRPr="00DA5FA8">
        <w:rPr>
          <w:rFonts w:ascii="Arial" w:hAnsi="Arial" w:cs="Arial"/>
          <w:color w:val="000000" w:themeColor="text1"/>
        </w:rPr>
        <w:t xml:space="preserve">. This scheme is also called geometric shaping and shows improvements compared to uniform signalling. Another approach is the so-called probabilistic shaping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_Ref510639149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[C6-96]</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_Ref510639169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[C6-97]</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_Ref510639187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[C6-98]</w:t>
      </w:r>
      <w:r w:rsidRPr="00DA5FA8">
        <w:rPr>
          <w:rFonts w:ascii="Arial" w:hAnsi="Arial" w:cs="Arial"/>
          <w:color w:val="000000" w:themeColor="text1"/>
        </w:rPr>
        <w:fldChar w:fldCharType="end"/>
      </w:r>
      <w:r w:rsidRPr="00DA5FA8">
        <w:rPr>
          <w:rFonts w:ascii="Arial" w:hAnsi="Arial" w:cs="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_Ref510639169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[C6-97]</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_Ref510627955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[C6-99]</w:t>
      </w:r>
      <w:r w:rsidRPr="00DA5FA8">
        <w:rPr>
          <w:rFonts w:ascii="Arial" w:hAnsi="Arial" w:cs="Arial"/>
          <w:color w:val="000000" w:themeColor="text1"/>
        </w:rPr>
        <w:fldChar w:fldCharType="end"/>
      </w:r>
      <w:r w:rsidRPr="00DA5FA8">
        <w:rPr>
          <w:rFonts w:ascii="Arial" w:hAnsi="Arial" w:cs="Arial"/>
          <w:color w:val="000000" w:themeColor="text1"/>
        </w:rPr>
        <w:t>. However, hardware implementation of efficient shaping encoders and decoders needs further investigations.</w:t>
      </w:r>
    </w:p>
    <w:p w14:paraId="5D305A11" w14:textId="77777777"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 xml:space="preserve">Constellation shaping provides significant improvements in terms of error correction performance. In general, signal shaping is a fundamental and important technology to further improve the spectral efficiency of wireless and wireline communication systems, as the </w:t>
      </w:r>
      <w:r w:rsidRPr="00DA5FA8">
        <w:rPr>
          <w:rFonts w:ascii="Arial" w:hAnsi="Arial" w:cs="Arial"/>
          <w:color w:val="000000" w:themeColor="text1"/>
        </w:rPr>
        <w:lastRenderedPageBreak/>
        <w:t>shaping loss may be considered as one of the last gaps between Shannon’s information theory and the practical communication systems to be bridged.</w:t>
      </w:r>
    </w:p>
    <w:p w14:paraId="22FC1B64" w14:textId="77777777" w:rsidR="003F2CCB" w:rsidRPr="00DA5FA8" w:rsidRDefault="003F2CCB" w:rsidP="003F2CCB">
      <w:pPr>
        <w:rPr>
          <w:rFonts w:ascii="Arial" w:hAnsi="Arial" w:cs="Arial"/>
          <w:color w:val="000000" w:themeColor="text1"/>
        </w:rPr>
      </w:pPr>
    </w:p>
    <w:p w14:paraId="3CB37D4E" w14:textId="77777777" w:rsidR="003F2CCB" w:rsidRPr="00FB57C1" w:rsidRDefault="003F2CCB" w:rsidP="003F2CCB">
      <w:pPr>
        <w:pStyle w:val="Heading2"/>
        <w:spacing w:before="0" w:after="120"/>
        <w:ind w:left="578" w:hanging="578"/>
        <w:jc w:val="both"/>
        <w:rPr>
          <w:rFonts w:cs="Arial"/>
          <w:color w:val="000000" w:themeColor="text1"/>
        </w:rPr>
      </w:pPr>
      <w:bookmarkStart w:id="217" w:name="_Toc32438295"/>
      <w:bookmarkStart w:id="218" w:name="_Toc32413497"/>
      <w:bookmarkStart w:id="219" w:name="_Toc42177282"/>
      <w:r w:rsidRPr="00FB57C1">
        <w:rPr>
          <w:rFonts w:cs="Arial"/>
          <w:color w:val="000000" w:themeColor="text1"/>
        </w:rPr>
        <w:t xml:space="preserve">Positioning and </w:t>
      </w:r>
      <w:bookmarkEnd w:id="217"/>
      <w:r w:rsidRPr="00FB57C1">
        <w:rPr>
          <w:rFonts w:cs="Arial"/>
          <w:color w:val="000000" w:themeColor="text1"/>
          <w:lang w:eastAsia="de-DE"/>
        </w:rPr>
        <w:t>Sensing</w:t>
      </w:r>
      <w:bookmarkEnd w:id="218"/>
      <w:bookmarkEnd w:id="219"/>
    </w:p>
    <w:p w14:paraId="4CDAF918" w14:textId="16655FA5" w:rsidR="003F2CCB" w:rsidRPr="00DA5FA8" w:rsidRDefault="003F2CCB" w:rsidP="003F2CCB">
      <w:pPr>
        <w:spacing w:after="120"/>
        <w:jc w:val="both"/>
        <w:rPr>
          <w:rFonts w:ascii="Arial" w:hAnsi="Arial" w:cs="Arial"/>
        </w:rPr>
      </w:pPr>
      <w:r w:rsidRPr="00DA5FA8">
        <w:rPr>
          <w:rFonts w:ascii="Arial" w:hAnsi="Arial" w:cs="Arial"/>
          <w:color w:val="000000" w:themeColor="text1"/>
        </w:rPr>
        <w:t xml:space="preserve">Especially in the massively connected world of the “Internet of Things” (IoT), it is getting more and more important to be aware of where all these “things” are located, e.g. via positioning and sensing. Mobile radio-based technologies envisaged for a future system will play an essential role in providing high accuracy positioning of the “things”. State-of-the-art cellular systems like 4G LTE support positioning in a non-cooperative way, i.e. in the downlink, several base stations send reference signals and the UE measures them and, in the uplink, a UE sends reference signals and several base stations measure them. This is good enough to support the requirements imposed by the FCC for localisation of emergency calls (so-called E-911), where an accuracy in the order of 50 m can be required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_Ref510639677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[C6-100]</w:t>
      </w:r>
      <w:r w:rsidRPr="00DA5FA8">
        <w:rPr>
          <w:rFonts w:ascii="Arial" w:hAnsi="Arial" w:cs="Arial"/>
          <w:color w:val="000000" w:themeColor="text1"/>
        </w:rPr>
        <w:fldChar w:fldCharType="end"/>
      </w:r>
      <w:r w:rsidRPr="00DA5FA8">
        <w:rPr>
          <w:rFonts w:ascii="Arial" w:hAnsi="Arial" w:cs="Arial"/>
          <w:color w:val="000000" w:themeColor="text1"/>
        </w:rPr>
        <w:t xml:space="preserve">. There are use cases for future mobile communications, e.g. V2X, smart factory and others, however, where a higher localisation accuracy is required. For instance, for V2X vulnerable road user discovery, an accuracy as high as 10 cm may be required (see e.g.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_Ref510639690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[C6-101]</w:t>
      </w:r>
      <w:r w:rsidRPr="00DA5FA8">
        <w:rPr>
          <w:rFonts w:ascii="Arial" w:hAnsi="Arial" w:cs="Arial"/>
          <w:color w:val="000000" w:themeColor="text1"/>
        </w:rPr>
        <w:fldChar w:fldCharType="end"/>
      </w:r>
      <w:r w:rsidRPr="00DA5FA8">
        <w:rPr>
          <w:rFonts w:ascii="Arial" w:hAnsi="Arial" w:cs="Arial"/>
          <w:color w:val="000000" w:themeColor="text1"/>
        </w:rPr>
        <w:t xml:space="preserve">). Currently, 3GPP is considering a positioning accuracy of 50 cm for the future releases of the 5G NR standard, due to the </w:t>
      </w:r>
      <w:r w:rsidRPr="00DA5FA8">
        <w:rPr>
          <w:rFonts w:ascii="Arial" w:hAnsi="Arial" w:cs="Arial"/>
          <w:b/>
          <w:color w:val="000000" w:themeColor="text1"/>
        </w:rPr>
        <w:t xml:space="preserve">higher frequencies </w:t>
      </w:r>
      <w:r w:rsidRPr="00DA5FA8">
        <w:rPr>
          <w:rFonts w:ascii="Arial" w:hAnsi="Arial" w:cs="Arial"/>
          <w:b/>
        </w:rPr>
        <w:t>and large signal bandwidths</w:t>
      </w:r>
      <w:r w:rsidRPr="00DA5FA8">
        <w:rPr>
          <w:rFonts w:ascii="Arial" w:hAnsi="Arial" w:cs="Arial"/>
        </w:rPr>
        <w:t xml:space="preserve">, </w:t>
      </w:r>
      <w:r w:rsidRPr="00DA5FA8">
        <w:rPr>
          <w:rFonts w:ascii="Arial" w:hAnsi="Arial" w:cs="Arial"/>
          <w:b/>
        </w:rPr>
        <w:t>dense networks</w:t>
      </w:r>
      <w:r w:rsidRPr="00DA5FA8">
        <w:rPr>
          <w:rFonts w:ascii="Arial" w:hAnsi="Arial" w:cs="Arial"/>
        </w:rPr>
        <w:t xml:space="preserve"> as well as improved </w:t>
      </w:r>
      <w:r w:rsidRPr="00DA5FA8">
        <w:rPr>
          <w:rFonts w:ascii="Arial" w:hAnsi="Arial" w:cs="Arial"/>
          <w:b/>
        </w:rPr>
        <w:t>device-to-device</w:t>
      </w:r>
      <w:r w:rsidRPr="00DA5FA8">
        <w:rPr>
          <w:rFonts w:ascii="Arial" w:hAnsi="Arial" w:cs="Arial"/>
        </w:rPr>
        <w:t xml:space="preserve"> communications available for 5G. In general, wireless sensing can be used to monitor and record the physical conditions of the environment, which can in turn be utilized for more power-efficient communications, such as in communication with integrated sensing. High accuracy sensing without weakening the wireless communication should be an indispensable feature for future networks, including short-range communication.</w:t>
      </w:r>
    </w:p>
    <w:p w14:paraId="0792ECCE" w14:textId="601DBAD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 propagation. Such methods can additionally leverage the presence of large antenna arrays at the BS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_Ref32415319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[C6-102]</w:t>
      </w:r>
      <w:r w:rsidRPr="00DA5FA8">
        <w:rPr>
          <w:rFonts w:ascii="Arial" w:hAnsi="Arial" w:cs="Arial"/>
          <w:color w:val="000000" w:themeColor="text1"/>
        </w:rPr>
        <w:fldChar w:fldCharType="end"/>
      </w:r>
      <w:r w:rsidRPr="00DA5FA8">
        <w:rPr>
          <w:rFonts w:ascii="Arial" w:hAnsi="Arial" w:cs="Arial"/>
          <w:color w:val="000000" w:themeColor="text1"/>
        </w:rPr>
        <w:t xml:space="preserve">. Clearly, having multiple antennas at the UE can improve positioning. In particular, the ability for a receiver to measure the </w:t>
      </w:r>
      <w:r w:rsidRPr="00DA5FA8">
        <w:rPr>
          <w:rFonts w:ascii="Arial" w:hAnsi="Arial" w:cs="Arial"/>
          <w:b/>
          <w:bCs/>
          <w:color w:val="000000" w:themeColor="text1"/>
        </w:rPr>
        <w:t>time-of-arrival, angle-of-arrival, and angle-of-departure</w:t>
      </w:r>
      <w:r w:rsidRPr="00DA5FA8">
        <w:rPr>
          <w:rFonts w:ascii="Arial" w:hAnsi="Arial" w:cs="Arial"/>
          <w:color w:val="000000" w:themeColor="text1"/>
        </w:rPr>
        <w:t xml:space="preserve"> of distinct multipath components improves not only the ability of the UE to exploit the LoS path (including the possibility to determine the UE’s orientation), but also its ability to </w:t>
      </w:r>
      <w:r w:rsidRPr="00DA5FA8">
        <w:rPr>
          <w:rFonts w:ascii="Arial" w:hAnsi="Arial" w:cs="Arial"/>
          <w:b/>
          <w:bCs/>
          <w:color w:val="000000" w:themeColor="text1"/>
        </w:rPr>
        <w:t>map the environment</w:t>
      </w:r>
      <w:r w:rsidRPr="00DA5FA8">
        <w:rPr>
          <w:rFonts w:ascii="Arial" w:hAnsi="Arial" w:cs="Arial"/>
          <w:color w:val="000000" w:themeColor="text1"/>
        </w:rPr>
        <w:t xml:space="preserve">, in order to determine the location and the extent of dominant reflectors. Such </w:t>
      </w:r>
      <w:r w:rsidRPr="00DA5FA8">
        <w:rPr>
          <w:rFonts w:ascii="Arial" w:hAnsi="Arial" w:cs="Arial"/>
          <w:b/>
          <w:bCs/>
          <w:color w:val="000000" w:themeColor="text1"/>
        </w:rPr>
        <w:t>radar-like abilities</w:t>
      </w:r>
      <w:r w:rsidRPr="00DA5FA8">
        <w:rPr>
          <w:rFonts w:ascii="Arial" w:hAnsi="Arial" w:cs="Arial"/>
          <w:color w:val="000000" w:themeColor="text1"/>
        </w:rPr>
        <w:t xml:space="preserve"> can occur in either bistatic operation (piggybacking on standard positioning reference signals)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_Ref30688579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[C6-104]</w:t>
      </w:r>
      <w:r w:rsidRPr="00DA5FA8">
        <w:rPr>
          <w:rFonts w:ascii="Arial" w:hAnsi="Arial" w:cs="Arial"/>
          <w:color w:val="000000" w:themeColor="text1"/>
        </w:rPr>
        <w:fldChar w:fldCharType="end"/>
      </w:r>
      <w:r w:rsidRPr="00DA5FA8">
        <w:rPr>
          <w:rFonts w:ascii="Arial" w:hAnsi="Arial" w:cs="Arial"/>
          <w:color w:val="000000" w:themeColor="text1"/>
        </w:rPr>
        <w:t xml:space="preserve">, or in monostatic operation (requiring full-duplex processing at the BS)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_Ref30688488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[C6-103]</w:t>
      </w:r>
      <w:r w:rsidRPr="00DA5FA8">
        <w:rPr>
          <w:rFonts w:ascii="Arial" w:hAnsi="Arial" w:cs="Arial"/>
          <w:color w:val="000000" w:themeColor="text1"/>
        </w:rPr>
        <w:fldChar w:fldCharType="end"/>
      </w:r>
      <w:r w:rsidRPr="00DA5FA8">
        <w:rPr>
          <w:rFonts w:ascii="Arial" w:hAnsi="Arial" w:cs="Arial"/>
          <w:color w:val="000000" w:themeColor="text1"/>
        </w:rPr>
        <w:t xml:space="preserve">. The price to pay is the complexity cost of the associated simultaneous localization and mapping algorithms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_Ref30688579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[C6-104]</w:t>
      </w:r>
      <w:r w:rsidRPr="00DA5FA8">
        <w:rPr>
          <w:rFonts w:ascii="Arial" w:hAnsi="Arial" w:cs="Arial"/>
          <w:color w:val="000000" w:themeColor="text1"/>
        </w:rPr>
        <w:fldChar w:fldCharType="end"/>
      </w:r>
      <w:r w:rsidRPr="00DA5FA8">
        <w:rPr>
          <w:rFonts w:ascii="Arial" w:hAnsi="Arial" w:cs="Arial"/>
          <w:color w:val="000000" w:themeColor="text1"/>
        </w:rPr>
        <w:t xml:space="preserve">, which likely need to be solved through mobile edge computing. Moreover, fully harnessing these physical dimensions would require </w:t>
      </w:r>
      <w:r w:rsidRPr="00DA5FA8">
        <w:rPr>
          <w:rFonts w:ascii="Arial" w:hAnsi="Arial" w:cs="Arial"/>
          <w:b/>
          <w:bCs/>
          <w:color w:val="000000" w:themeColor="text1"/>
        </w:rPr>
        <w:t>novel signals in temporal spatial and frequency domain</w:t>
      </w:r>
      <w:r w:rsidRPr="00DA5FA8">
        <w:rPr>
          <w:rFonts w:ascii="Arial" w:hAnsi="Arial" w:cs="Arial"/>
          <w:color w:val="000000" w:themeColor="text1"/>
        </w:rPr>
        <w:t xml:space="preserv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_Ref30688851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[C6-105]</w:t>
      </w:r>
      <w:r w:rsidRPr="00DA5FA8">
        <w:rPr>
          <w:rFonts w:ascii="Arial" w:hAnsi="Arial" w:cs="Arial"/>
          <w:color w:val="000000" w:themeColor="text1"/>
        </w:rPr>
        <w:fldChar w:fldCharType="end"/>
      </w:r>
      <w:r w:rsidRPr="00DA5FA8">
        <w:rPr>
          <w:rFonts w:ascii="Arial" w:hAnsi="Arial" w:cs="Arial"/>
          <w:color w:val="000000" w:themeColor="text1"/>
        </w:rPr>
        <w:t xml:space="preserve">. </w:t>
      </w:r>
    </w:p>
    <w:p w14:paraId="2A936192" w14:textId="30FA72FA"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Once such radar-like abilities of communications systems are available, a convergence of radar and communications technologies is very likely. However, passive radar technologies depending on RF (communications) transmitters that are not under control of the locating entity cannot be used for critical applications where </w:t>
      </w:r>
      <w:r w:rsidRPr="00DA5FA8">
        <w:rPr>
          <w:rFonts w:ascii="Arial" w:hAnsi="Arial" w:cs="Arial"/>
          <w:b/>
          <w:bCs/>
          <w:color w:val="000000" w:themeColor="text1"/>
        </w:rPr>
        <w:t>service availability and reliability</w:t>
      </w:r>
      <w:r w:rsidRPr="00DA5FA8">
        <w:rPr>
          <w:rFonts w:ascii="Arial" w:hAnsi="Arial" w:cs="Arial"/>
          <w:color w:val="000000" w:themeColor="text1"/>
        </w:rPr>
        <w:t xml:space="preserve"> is crucial. Active radar is necessary. The more active radar systems will be employed, the more </w:t>
      </w:r>
      <w:r w:rsidRPr="00DA5FA8">
        <w:rPr>
          <w:rFonts w:ascii="Arial" w:hAnsi="Arial" w:cs="Arial"/>
          <w:color w:val="000000" w:themeColor="text1"/>
        </w:rPr>
        <w:lastRenderedPageBreak/>
        <w:t xml:space="preserve">interference will be experienced. Radio resource management is one means to cope with the interference. Well-known technologies from cellular communications can be employed using communications links for exchanging such control information. Ultimately, new waveforms can be deployed for combining radar and communication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_Ref33172828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[C6-106]</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_Ref33172832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[C6-107]</w:t>
      </w:r>
      <w:r w:rsidRPr="00DA5FA8">
        <w:rPr>
          <w:rFonts w:ascii="Arial" w:hAnsi="Arial" w:cs="Arial"/>
          <w:color w:val="000000" w:themeColor="text1"/>
        </w:rPr>
        <w:fldChar w:fldCharType="end"/>
      </w:r>
      <w:r w:rsidRPr="00DA5FA8">
        <w:rPr>
          <w:rFonts w:ascii="Arial" w:hAnsi="Arial" w:cs="Arial"/>
          <w:color w:val="000000" w:themeColor="text1"/>
        </w:rPr>
        <w:t>.</w:t>
      </w:r>
    </w:p>
    <w:p w14:paraId="7312E37F" w14:textId="0A47C063"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Cooperation can boost the positioning accuracy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_Ref32417405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[C6-108]</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_Ref32417411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[C6-109]</w:t>
      </w:r>
      <w:r w:rsidRPr="00DA5FA8">
        <w:rPr>
          <w:rFonts w:ascii="Arial" w:hAnsi="Arial" w:cs="Arial"/>
          <w:color w:val="000000" w:themeColor="text1"/>
        </w:rPr>
        <w:fldChar w:fldCharType="end"/>
      </w:r>
      <w:r w:rsidRPr="00DA5FA8">
        <w:rPr>
          <w:rFonts w:ascii="Arial" w:hAnsi="Arial" w:cs="Arial"/>
          <w:color w:val="000000" w:themeColor="text1"/>
        </w:rPr>
        <w:t xml:space="preserve">, especially in massively connected scenarios. In cooperative positioning, the user equipment (UEs) can send and receive signals and exchange their position relevant information. If the density of UEs is large, it is likely that there are line of sight (LOS) propagation conditions to each UE from several UEs, which is significantly increasing achievable localisation </w:t>
      </w:r>
      <w:r w:rsidRPr="00DA5FA8">
        <w:rPr>
          <w:rFonts w:ascii="Arial" w:hAnsi="Arial" w:cs="Arial"/>
          <w:b/>
          <w:color w:val="000000" w:themeColor="text1"/>
        </w:rPr>
        <w:t>accuracy</w:t>
      </w:r>
      <w:r w:rsidRPr="00DA5FA8">
        <w:rPr>
          <w:rFonts w:ascii="Arial" w:hAnsi="Arial" w:cs="Arial"/>
          <w:b/>
          <w:bCs/>
          <w:color w:val="000000" w:themeColor="text1"/>
        </w:rPr>
        <w:t xml:space="preserve"> and coverage</w:t>
      </w:r>
      <w:r w:rsidRPr="00DA5FA8">
        <w:rPr>
          <w:rFonts w:ascii="Arial" w:hAnsi="Arial" w:cs="Arial"/>
          <w:color w:val="000000" w:themeColor="text1"/>
        </w:rPr>
        <w:t>. There are two different approaches to position calculation, a centralised approach where a central entity calculates the position and a decentralised approach where UEs calculate their position based on the position estimates of the UEs in their vicinity. With side-link communication in 5G, new opportunities for localization and sensing arise, not only in signal design, but also in protocols and algorithms. Important use cases are in the vehicular and drones contexts, where relative location information from cooperative links can have direct implications for safety and global situational awareness.</w:t>
      </w:r>
    </w:p>
    <w:p w14:paraId="36AE6796" w14:textId="5858E564"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 xml:space="preserve">Accurate positioning can be leveraged to enable </w:t>
      </w:r>
      <w:r w:rsidRPr="00DA5FA8">
        <w:rPr>
          <w:rFonts w:ascii="Arial" w:hAnsi="Arial" w:cs="Arial"/>
          <w:b/>
          <w:color w:val="000000" w:themeColor="text1"/>
        </w:rPr>
        <w:t>location-aware communications</w:t>
      </w:r>
      <w:r w:rsidRPr="00DA5FA8">
        <w:rPr>
          <w:rFonts w:ascii="Arial" w:hAnsi="Arial" w:cs="Arial"/>
          <w:color w:val="000000" w:themeColor="text1"/>
        </w:rPr>
        <w:t xml:space="preserv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_Ref32415951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[C6-110]</w:t>
      </w:r>
      <w:r w:rsidRPr="00DA5FA8">
        <w:rPr>
          <w:rFonts w:ascii="Arial" w:hAnsi="Arial" w:cs="Arial"/>
          <w:color w:val="000000" w:themeColor="text1"/>
        </w:rPr>
        <w:fldChar w:fldCharType="end"/>
      </w:r>
      <w:r w:rsidRPr="00DA5FA8">
        <w:rPr>
          <w:rFonts w:ascii="Arial" w:hAnsi="Arial" w:cs="Arial"/>
          <w:color w:val="000000" w:themeColor="text1"/>
        </w:rPr>
        <w:t xml:space="preserve">, e.g. design of narrow beams targeted towards the intended user in traditional cellular systems, facilitate autonomous driving, etc. These effects will become increasingly pronounced as communications systems shift to ever higher carrier frequencies (0.1 THz and beyond). 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 Similar to other applications such as ultra-massive MIMO, </w:t>
      </w:r>
      <w:r w:rsidRPr="00DA5FA8">
        <w:rPr>
          <w:rFonts w:ascii="Arial" w:hAnsi="Arial" w:cs="Arial"/>
          <w:b/>
          <w:color w:val="000000" w:themeColor="text1"/>
        </w:rPr>
        <w:t>machine learning</w:t>
      </w:r>
      <w:r w:rsidRPr="00DA5FA8">
        <w:rPr>
          <w:rFonts w:ascii="Arial" w:hAnsi="Arial" w:cs="Arial"/>
          <w:color w:val="000000" w:themeColor="text1"/>
        </w:rPr>
        <w:t xml:space="preserve"> can be used in the case of positioning where complex propagation environments cannot be accurately modelled.</w:t>
      </w:r>
    </w:p>
    <w:p w14:paraId="5BC8C76C" w14:textId="77777777" w:rsidR="003F2CCB" w:rsidRPr="00DA5FA8" w:rsidRDefault="003F2CCB" w:rsidP="003F2CCB">
      <w:pPr>
        <w:rPr>
          <w:rFonts w:ascii="Arial" w:hAnsi="Arial" w:cs="Arial"/>
          <w:color w:val="000000" w:themeColor="text1"/>
        </w:rPr>
      </w:pPr>
    </w:p>
    <w:p w14:paraId="40976395" w14:textId="77777777" w:rsidR="003F2CCB" w:rsidRPr="00FB57C1" w:rsidRDefault="003F2CCB" w:rsidP="003F2CCB">
      <w:pPr>
        <w:pStyle w:val="Heading2"/>
        <w:spacing w:before="0" w:after="120"/>
        <w:ind w:left="578" w:hanging="578"/>
        <w:jc w:val="both"/>
        <w:rPr>
          <w:rFonts w:cs="Arial"/>
          <w:color w:val="000000" w:themeColor="text1"/>
        </w:rPr>
      </w:pPr>
      <w:bookmarkStart w:id="220" w:name="_Toc32413498"/>
      <w:bookmarkStart w:id="221" w:name="_Toc32438296"/>
      <w:bookmarkStart w:id="222" w:name="_Toc42177283"/>
      <w:r w:rsidRPr="00FB57C1">
        <w:rPr>
          <w:rFonts w:cs="Arial"/>
          <w:color w:val="000000" w:themeColor="text1"/>
        </w:rPr>
        <w:t>Massive Random Access</w:t>
      </w:r>
      <w:bookmarkEnd w:id="220"/>
      <w:bookmarkEnd w:id="221"/>
      <w:bookmarkEnd w:id="222"/>
    </w:p>
    <w:p w14:paraId="0AD433CF" w14:textId="7094457F"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The future vision of IoT envisages a very large number of connected devices, generating and transmitting very sporadic data. The challenge here is how to coordinate such a network without consuming much of the network resources and node energy for protocol overhead. Modern information theoretic research has formalised 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_Ref510640156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[C6-111]</w:t>
      </w:r>
      <w:r w:rsidRPr="00DA5FA8">
        <w:rPr>
          <w:rFonts w:ascii="Arial" w:hAnsi="Arial" w:cs="Arial"/>
          <w:color w:val="000000" w:themeColor="text1"/>
        </w:rPr>
        <w:fldChar w:fldCharType="end"/>
      </w:r>
      <w:r w:rsidRPr="00DA5FA8">
        <w:rPr>
          <w:rFonts w:ascii="Arial" w:hAnsi="Arial" w:cs="Arial"/>
          <w:color w:val="000000" w:themeColor="text1"/>
        </w:rPr>
        <w:t>. After decoding the messages (payload), the ID of the transmitter can be found as part of the message, if necessary. For example, in some applications it is important to know the transmitter, but there are applications in which it is important to get the data and not the identity of the transmitter. The challenge now is to design such new random-access codes for which the superposition of up to K distinct codewords can still be uniquely decoded.</w:t>
      </w:r>
    </w:p>
    <w:p w14:paraId="09D4362A" w14:textId="74E7C522"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such a framework, the design of channel access protocols departs from conventional approaches used for predictable, persistent, and synchronized data sources. This new random-access paradigm is inherently related to </w:t>
      </w:r>
      <w:r w:rsidRPr="00DA5FA8">
        <w:rPr>
          <w:rFonts w:ascii="Arial" w:hAnsi="Arial" w:cs="Arial"/>
          <w:b/>
          <w:color w:val="000000" w:themeColor="text1"/>
        </w:rPr>
        <w:t>group testing</w:t>
      </w:r>
      <w:r w:rsidRPr="00DA5FA8">
        <w:rPr>
          <w:rFonts w:ascii="Arial" w:hAnsi="Arial" w:cs="Arial"/>
          <w:color w:val="000000" w:themeColor="text1"/>
        </w:rPr>
        <w:t xml:space="preserve">: A set of statistical procedures for which it is possible to identify the presence of certain individual agents by sampling combinations thereof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_Ref510640174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[C6-112]</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_Ref510640195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[C6-113]</w:t>
      </w:r>
      <w:r w:rsidRPr="00DA5FA8">
        <w:rPr>
          <w:rFonts w:ascii="Arial" w:hAnsi="Arial" w:cs="Arial"/>
          <w:color w:val="000000" w:themeColor="text1"/>
        </w:rPr>
        <w:fldChar w:fldCharType="end"/>
      </w:r>
      <w:r w:rsidRPr="00DA5FA8">
        <w:rPr>
          <w:rFonts w:ascii="Arial" w:hAnsi="Arial" w:cs="Arial"/>
          <w:color w:val="000000" w:themeColor="text1"/>
        </w:rPr>
        <w:t xml:space="preserve">. A related setting consists of coded slotted Aloha, where sparse codes with iterative message passing decoding are developed along multiple </w:t>
      </w:r>
      <w:r w:rsidRPr="00DA5FA8">
        <w:rPr>
          <w:rFonts w:ascii="Arial" w:hAnsi="Arial" w:cs="Arial"/>
          <w:color w:val="000000" w:themeColor="text1"/>
        </w:rPr>
        <w:lastRenderedPageBreak/>
        <w:t xml:space="preserve">random transmissions, to effectively eliminate interference by a sort of low-complexity successive interference cancellation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_Ref510640212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[C6-114]</w:t>
      </w:r>
      <w:r w:rsidRPr="00DA5FA8">
        <w:rPr>
          <w:rFonts w:ascii="Arial" w:hAnsi="Arial" w:cs="Arial"/>
          <w:color w:val="000000" w:themeColor="text1"/>
        </w:rPr>
        <w:fldChar w:fldCharType="end"/>
      </w:r>
      <w:r w:rsidRPr="00DA5FA8">
        <w:rPr>
          <w:rFonts w:ascii="Arial" w:hAnsi="Arial" w:cs="Arial"/>
          <w:color w:val="000000" w:themeColor="text1"/>
        </w:rPr>
        <w:t xml:space="preserve">. The performance can be further improved using low-rate channel codes in combination with multi-user detection at the physical layer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_Ref33188568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[C6-115]</w:t>
      </w:r>
      <w:r w:rsidRPr="00DA5FA8">
        <w:rPr>
          <w:rFonts w:ascii="Arial" w:hAnsi="Arial" w:cs="Arial"/>
          <w:color w:val="000000" w:themeColor="text1"/>
        </w:rPr>
        <w:fldChar w:fldCharType="end"/>
      </w:r>
      <w:r w:rsidRPr="00DA5FA8">
        <w:rPr>
          <w:rFonts w:ascii="Arial" w:hAnsi="Arial" w:cs="Arial"/>
          <w:color w:val="000000" w:themeColor="text1"/>
        </w:rPr>
        <w:t xml:space="preserve">. While traditional access protocols were designed to avoid interference, the key idea of such innovative approaches lies on the ability to harness information from multi-user interference and constructively utilize it for contention resolution, in combination with advanced signal processing techniques at the receiver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_Ref38362766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[C6-116]</w:t>
      </w:r>
      <w:r w:rsidRPr="00DA5FA8">
        <w:rPr>
          <w:rFonts w:ascii="Arial" w:hAnsi="Arial" w:cs="Arial"/>
          <w:color w:val="000000" w:themeColor="text1"/>
        </w:rPr>
        <w:fldChar w:fldCharType="end"/>
      </w:r>
      <w:r w:rsidRPr="00DA5FA8">
        <w:rPr>
          <w:rFonts w:ascii="Arial" w:hAnsi="Arial" w:cs="Arial"/>
          <w:color w:val="000000" w:themeColor="text1"/>
        </w:rPr>
        <w:t xml:space="preserve">.  </w:t>
      </w:r>
    </w:p>
    <w:p w14:paraId="2D2E91F2" w14:textId="6719C3AC"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A related problem consists of activity detection, e.g. using a receiver with a large antenna array: In this case, users are given unique signature sequences and transmit at random in a completely uncoordinated way. The base station has multiple antenna observations and must identify the “active set” of users that are transmitting. This problem is related to </w:t>
      </w:r>
      <w:r w:rsidRPr="00DA5FA8">
        <w:rPr>
          <w:rFonts w:ascii="Arial" w:hAnsi="Arial" w:cs="Arial"/>
          <w:b/>
          <w:color w:val="000000" w:themeColor="text1"/>
        </w:rPr>
        <w:t>compressed sensing</w:t>
      </w:r>
      <w:r w:rsidRPr="00DA5FA8">
        <w:rPr>
          <w:rFonts w:ascii="Arial" w:hAnsi="Arial" w:cs="Arial"/>
          <w:color w:val="000000" w:themeColor="text1"/>
        </w:rPr>
        <w:t xml:space="preserve"> where the sparse vector to be estimated is the vector of 0s and 1s, denoting “absence” or “presence” of the transmitters. Modern techniques based on approximated message passing (AMP) can be used for this purpose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_Ref510640229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[C6-117]</w:t>
      </w:r>
      <w:r w:rsidRPr="00DA5FA8">
        <w:rPr>
          <w:rFonts w:ascii="Arial" w:hAnsi="Arial" w:cs="Arial"/>
          <w:color w:val="000000" w:themeColor="text1"/>
        </w:rPr>
        <w:fldChar w:fldCharType="end"/>
      </w:r>
      <w:r w:rsidRPr="00DA5FA8">
        <w:rPr>
          <w:rFonts w:ascii="Arial" w:hAnsi="Arial" w:cs="Arial"/>
          <w:color w:val="000000" w:themeColor="text1"/>
        </w:rPr>
        <w:t xml:space="preserve"> and preliminary research results show the exact trade-off between the length of the signature sequences (protocol overhead) and the number of active users, such that the probability of identification error can be made as small as desired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_Ref510640251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[C6-118]</w:t>
      </w:r>
      <w:r w:rsidRPr="00DA5FA8">
        <w:rPr>
          <w:rFonts w:ascii="Arial" w:hAnsi="Arial" w:cs="Arial"/>
          <w:color w:val="000000" w:themeColor="text1"/>
        </w:rPr>
        <w:fldChar w:fldCharType="end"/>
      </w:r>
      <w:r w:rsidRPr="00DA5FA8">
        <w:rPr>
          <w:rFonts w:ascii="Arial" w:hAnsi="Arial" w:cs="Arial"/>
          <w:color w:val="000000" w:themeColor="text1"/>
        </w:rPr>
        <w:t xml:space="preserve"> and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[C6-119]</w:t>
      </w:r>
      <w:r w:rsidRPr="00DA5FA8">
        <w:rPr>
          <w:rFonts w:ascii="Arial" w:hAnsi="Arial" w:cs="Arial"/>
          <w:color w:val="000000" w:themeColor="text1"/>
        </w:rPr>
        <w:fldChar w:fldCharType="end"/>
      </w:r>
      <w:r w:rsidRPr="00DA5FA8">
        <w:rPr>
          <w:rFonts w:ascii="Arial" w:hAnsi="Arial" w:cs="Arial"/>
          <w:color w:val="000000" w:themeColor="text1"/>
        </w:rPr>
        <w:t xml:space="preserve">. Compressed sensing-based multi-user detection may also be combined with coded random access schemes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_Ref33189498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[C6-120]</w:t>
      </w:r>
      <w:r w:rsidRPr="00DA5FA8">
        <w:rPr>
          <w:rFonts w:ascii="Arial" w:hAnsi="Arial" w:cs="Arial"/>
          <w:color w:val="000000" w:themeColor="text1"/>
        </w:rPr>
        <w:fldChar w:fldCharType="end"/>
      </w:r>
      <w:r w:rsidRPr="00DA5FA8">
        <w:rPr>
          <w:rFonts w:ascii="Arial" w:hAnsi="Arial" w:cs="Arial"/>
          <w:color w:val="000000" w:themeColor="text1"/>
        </w:rPr>
        <w:t>.</w:t>
      </w:r>
    </w:p>
    <w:p w14:paraId="6EA1BC97" w14:textId="324F6AB6"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Massive MIMO technology can be efficiently exploited in massive random access to improve the activity detection accuracy by leveraging the high spatial multiplexing gains. The combination of massive MIMO with non-orthogonal multiple-access (NOMA) techniques emerges as a promising area for the design of novel random access protocols. With the aid of multiple-measurement vector compressed sensing techniques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_Ref38362986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[C6-121]</w:t>
      </w:r>
      <w:r w:rsidRPr="00DA5FA8">
        <w:rPr>
          <w:rFonts w:ascii="Arial" w:hAnsi="Arial" w:cs="Arial"/>
          <w:color w:val="000000" w:themeColor="text1"/>
        </w:rPr>
        <w:fldChar w:fldCharType="end"/>
      </w:r>
      <w:r w:rsidRPr="00DA5FA8">
        <w:rPr>
          <w:rFonts w:ascii="Arial" w:hAnsi="Arial" w:cs="Arial"/>
          <w:color w:val="000000" w:themeColor="text1"/>
        </w:rPr>
        <w:t xml:space="preserve">, the user detection error in grant-free random access can be driven to zero asymptotically in the limit as the number of antennas at the base station goes to infinity. Another approach of jointly addressing the problems of activity detection and collision resolution is the grant-based strongest-user collision resolution protocol, able to resolve collisions in a distributed and scalable manner by exploiting special properties of massive MIMO channels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_Ref38363003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[C6-122]</w:t>
      </w:r>
      <w:r w:rsidRPr="00DA5FA8">
        <w:rPr>
          <w:rFonts w:ascii="Arial" w:hAnsi="Arial" w:cs="Arial"/>
          <w:color w:val="000000" w:themeColor="text1"/>
        </w:rPr>
        <w:fldChar w:fldCharType="end"/>
      </w:r>
      <w:r w:rsidRPr="00DA5FA8">
        <w:rPr>
          <w:rFonts w:ascii="Arial" w:hAnsi="Arial" w:cs="Arial"/>
          <w:color w:val="000000" w:themeColor="text1"/>
        </w:rPr>
        <w:t>.</w:t>
      </w:r>
    </w:p>
    <w:p w14:paraId="4DCCD83A"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In both cases the massive random-access and the activity detection problems, a significant research effort must be made in order to bring the abovementioned theoretical ideas to practice and to facilitate a solid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46900E26" w14:textId="02611CE8"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a second step, this line of research should consider waveforms adapted for low-latency sporadic access for the cyber-physical systems characteristic of the tactile Internet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_Ref510640292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[C6-123]</w:t>
      </w:r>
      <w:r w:rsidRPr="00DA5FA8">
        <w:rPr>
          <w:rFonts w:ascii="Arial" w:hAnsi="Arial" w:cs="Arial"/>
          <w:color w:val="000000" w:themeColor="text1"/>
        </w:rPr>
        <w:fldChar w:fldCharType="end"/>
      </w:r>
      <w:r w:rsidRPr="00DA5FA8">
        <w:rPr>
          <w:rFonts w:ascii="Arial" w:hAnsi="Arial" w:cs="Arial"/>
          <w:color w:val="000000" w:themeColor="text1"/>
        </w:rPr>
        <w:t xml:space="preserve">. Here, sub-ms latencies may be required in order to control moving or even flying objects (passenger drones) or other similar scenarios requiring the combination of ultra-reliable communication with centralised control systems. Similar mechanisms will also be required for evolved Industry 4.0 applications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_Ref510640307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[C6-124]</w:t>
      </w:r>
      <w:r w:rsidRPr="00DA5FA8">
        <w:rPr>
          <w:rFonts w:ascii="Arial" w:hAnsi="Arial" w:cs="Arial"/>
          <w:color w:val="000000" w:themeColor="text1"/>
        </w:rPr>
        <w:fldChar w:fldCharType="end"/>
      </w:r>
      <w:r w:rsidRPr="00DA5FA8">
        <w:rPr>
          <w:rFonts w:ascii="Arial" w:hAnsi="Arial" w:cs="Arial"/>
          <w:color w:val="000000" w:themeColor="text1"/>
        </w:rPr>
        <w:t>. It is envisaged that the physical-layer transport mechanisms will be associated with real-time cloud computing (mobile edge computing) in proximity to the radio network to implement the necessary control loops. This concerns primarily sub-6GHz access for the uplink and massive connectivity of objects to wireless infrastructure. The objective is to provide solutions for the evolution of cellular IoT uplink waveforms and protocols that scale to huge number of connected devices with stringent energy and potentially latency constraints.</w:t>
      </w:r>
    </w:p>
    <w:p w14:paraId="1F7BA2EB" w14:textId="78A4562D" w:rsidR="003F2CCB" w:rsidRPr="00DA5FA8" w:rsidRDefault="003F2CCB" w:rsidP="003F2CCB">
      <w:pPr>
        <w:jc w:val="both"/>
        <w:rPr>
          <w:rFonts w:ascii="Arial" w:hAnsi="Arial" w:cs="Arial"/>
          <w:color w:val="000000" w:themeColor="text1"/>
        </w:rPr>
      </w:pPr>
      <w:r w:rsidRPr="00DA5FA8">
        <w:rPr>
          <w:rFonts w:ascii="Arial" w:hAnsi="Arial" w:cs="Arial"/>
          <w:color w:val="000000" w:themeColor="text1"/>
        </w:rPr>
        <w:t xml:space="preserve">Another promising research direction lies on the use of data-driven methods for the design of new generalized random-access protocols, where the receiver exploits certain side </w:t>
      </w:r>
      <w:r w:rsidRPr="00DA5FA8">
        <w:rPr>
          <w:rFonts w:ascii="Arial" w:hAnsi="Arial" w:cs="Arial"/>
          <w:color w:val="000000" w:themeColor="text1"/>
        </w:rPr>
        <w:lastRenderedPageBreak/>
        <w:t xml:space="preserve">information about the (possibly correlated) activation patterns of the devices. In this context, AI/ML techniques have the potential to build on the availability of data and identify features that could enable the interaction with the underlying random access protocols, e.g., reduce connectivity overhead and prevent the under-utilization of the scarce radio resources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_Ref38363347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[C6-125]</w:t>
      </w:r>
      <w:r w:rsidRPr="00DA5FA8">
        <w:rPr>
          <w:rFonts w:ascii="Arial" w:hAnsi="Arial" w:cs="Arial"/>
          <w:color w:val="000000" w:themeColor="text1"/>
        </w:rPr>
        <w:fldChar w:fldCharType="end"/>
      </w:r>
      <w:r w:rsidRPr="00DA5FA8">
        <w:rPr>
          <w:rFonts w:ascii="Arial" w:hAnsi="Arial" w:cs="Arial"/>
          <w:color w:val="000000" w:themeColor="text1"/>
        </w:rPr>
        <w:t>.</w:t>
      </w:r>
    </w:p>
    <w:p w14:paraId="6525E66A" w14:textId="77777777" w:rsidR="003F2CCB" w:rsidRPr="00DA5FA8" w:rsidRDefault="003F2CCB" w:rsidP="003F2CCB">
      <w:pPr>
        <w:jc w:val="both"/>
        <w:rPr>
          <w:rFonts w:ascii="Arial" w:hAnsi="Arial" w:cs="Arial"/>
          <w:color w:val="000000" w:themeColor="text1"/>
        </w:rPr>
      </w:pPr>
    </w:p>
    <w:p w14:paraId="7A055090" w14:textId="77777777" w:rsidR="003F2CCB" w:rsidRPr="00FB57C1" w:rsidRDefault="003F2CCB" w:rsidP="003F2CCB">
      <w:pPr>
        <w:pStyle w:val="Heading2"/>
        <w:spacing w:before="0" w:after="120"/>
        <w:ind w:left="578" w:hanging="578"/>
        <w:jc w:val="both"/>
        <w:rPr>
          <w:rFonts w:cs="Arial"/>
          <w:color w:val="000000" w:themeColor="text1"/>
        </w:rPr>
      </w:pPr>
      <w:bookmarkStart w:id="223" w:name="_Toc32413499"/>
      <w:bookmarkStart w:id="224" w:name="_Toc32438297"/>
      <w:bookmarkStart w:id="225" w:name="_Toc42177284"/>
      <w:r w:rsidRPr="00FB57C1">
        <w:rPr>
          <w:rFonts w:cs="Arial"/>
          <w:color w:val="000000" w:themeColor="text1"/>
        </w:rPr>
        <w:t>Wireless Edge Caching</w:t>
      </w:r>
      <w:bookmarkEnd w:id="223"/>
      <w:bookmarkEnd w:id="224"/>
      <w:bookmarkEnd w:id="225"/>
    </w:p>
    <w:p w14:paraId="38F09F45" w14:textId="38C3D96E"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Wireless communication networks have become an essential utility for citizens and businesses. Wireless data traffic is predicted to increase by 2 to 3 orders of magnitude over the next five years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_Ref510624677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_Ref510641494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[C6-126]</w:t>
      </w:r>
      <w:r w:rsidRPr="00DA5FA8">
        <w:rPr>
          <w:rFonts w:ascii="Arial" w:hAnsi="Arial" w:cs="Arial"/>
          <w:color w:val="000000" w:themeColor="text1"/>
        </w:rPr>
        <w:fldChar w:fldCharType="end"/>
      </w:r>
      <w:r w:rsidRPr="00DA5FA8">
        <w:rPr>
          <w:rFonts w:ascii="Arial" w:hAnsi="Arial" w:cs="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“more-of-the-same” approach. As far as wireless capacity is concerned, the forthcoming 5th Generation (5G) of standards and systems is focused to a certain extend on the traditional view of “increasing peak rates”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_Ref510641522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[C6-127]</w:t>
      </w:r>
      <w:r w:rsidRPr="00DA5FA8">
        <w:rPr>
          <w:rFonts w:ascii="Arial" w:hAnsi="Arial" w:cs="Arial"/>
          <w:color w:val="000000" w:themeColor="text1"/>
        </w:rPr>
        <w:fldChar w:fldCharType="end"/>
      </w:r>
      <w:r w:rsidRPr="00DA5FA8">
        <w:rPr>
          <w:rFonts w:ascii="Arial" w:hAnsi="Arial" w:cs="Arial"/>
          <w:color w:val="000000" w:themeColor="text1"/>
        </w:rPr>
        <w:t xml:space="preserve">. In contrast, it is widely recognised that a major driver of the wireless data traffic increase is on-demand access to multimedia content (Wireless Internet)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_Ref510624677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[C6-9]</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_Ref510641494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[C6-126]</w:t>
      </w:r>
      <w:r w:rsidRPr="00DA5FA8">
        <w:rPr>
          <w:rFonts w:ascii="Arial" w:hAnsi="Arial" w:cs="Arial"/>
          <w:color w:val="000000" w:themeColor="text1"/>
        </w:rPr>
        <w:fldChar w:fldCharType="end"/>
      </w:r>
      <w:r w:rsidRPr="00DA5FA8">
        <w:rPr>
          <w:rFonts w:ascii="Arial" w:hAnsi="Arial" w:cs="Arial"/>
          <w:color w:val="000000" w:themeColor="text1"/>
        </w:rPr>
        <w:t>. Peak rates do not necessarily yield an improved user Quality of Experience (QoE). For example, typical video streaming requires rates ranging from ~400 kbps (standard quality) to ~2 Mbps (high quality). What really matters for the end user QoE is the availability and stability of such rates, so that a video can be played anywhere, at any time, and without interruptions. Also, we observe that the users’ content consumption pattern and the operators' data plans are dramatically mismatched. For instance, a standard monthly data plan in the EU includes ~3 Gbytes of LTE traffic at a cost ranging between 15 and 50 EUR, while a single movie requires ~1.5 Gbytes of data, such that the whole plan would be depleted by streaming ~2 movies.</w:t>
      </w:r>
    </w:p>
    <w:p w14:paraId="021AF6C2" w14:textId="06051C69"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In light of the above considerations, a novel content-aware approach to wireless network design is needed. Such novel approach should support the paradigmatic shift </w:t>
      </w:r>
      <w:r w:rsidRPr="00DA5FA8">
        <w:rPr>
          <w:rFonts w:ascii="Arial" w:hAnsi="Arial" w:cs="Arial"/>
          <w:b/>
          <w:color w:val="000000" w:themeColor="text1"/>
        </w:rPr>
        <w:t>“from Gigabits per second to a few Terabytes per month for all”</w:t>
      </w:r>
      <w:r w:rsidRPr="00DA5FA8">
        <w:rPr>
          <w:rFonts w:ascii="Arial" w:hAnsi="Arial" w:cs="Arial"/>
          <w:color w:val="000000" w:themeColor="text1"/>
        </w:rPr>
        <w:t xml:space="preserve">. More precisely, the special features of on-demand multimedia content can be leveraged in order to deliver a target of ~1 $TB/month of content data to each user in a scalable and cost-effective manner. This target is far more challenging than achieving Gbps peak rates, which have been already demonstrated by various “5G-ready” experimental platforms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_Ref510641586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[C6-128]</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_Ref510641599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[C6-129]</w:t>
      </w:r>
      <w:r w:rsidRPr="00DA5FA8">
        <w:rPr>
          <w:rFonts w:ascii="Arial" w:hAnsi="Arial" w:cs="Arial"/>
          <w:color w:val="000000" w:themeColor="text1"/>
        </w:rPr>
        <w:fldChar w:fldCharType="end"/>
      </w:r>
      <w:r w:rsidRPr="00DA5FA8">
        <w:rPr>
          <w:rFonts w:ascii="Arial" w:hAnsi="Arial" w:cs="Arial"/>
          <w:color w:val="000000" w:themeColor="text1"/>
        </w:rPr>
        <w:t>.</w:t>
      </w:r>
    </w:p>
    <w:p w14:paraId="5F79180A"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Meeting this challenge requires a </w:t>
      </w:r>
      <w:r w:rsidRPr="00DA5FA8">
        <w:rPr>
          <w:rFonts w:ascii="Arial" w:hAnsi="Arial" w:cs="Arial"/>
          <w:b/>
          <w:color w:val="000000" w:themeColor="text1"/>
        </w:rPr>
        <w:t>profound and non-incremental advance</w:t>
      </w:r>
      <w:r w:rsidRPr="00DA5FA8">
        <w:rPr>
          <w:rFonts w:ascii="Arial" w:hAnsi="Arial" w:cs="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439C0DE1" w14:textId="2C66AC4B"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Recent research in information theory and wireless communication has shown that content distribution over a wireless network (e.g., on-demand video streaming) can be made much more efficient than current state-of-the-art technology by caching content at the wireless edge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_Ref510641617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[C6-130]</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_Ref510641625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[C6-131]</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_Ref510641649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[C6-132]</w:t>
      </w:r>
      <w:r w:rsidRPr="00DA5FA8">
        <w:rPr>
          <w:rFonts w:ascii="Arial" w:hAnsi="Arial" w:cs="Arial"/>
          <w:color w:val="000000" w:themeColor="text1"/>
        </w:rPr>
        <w:fldChar w:fldCharType="end"/>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_Ref510641661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[C6-133]</w:t>
      </w:r>
      <w:r w:rsidRPr="00DA5FA8">
        <w:rPr>
          <w:rFonts w:ascii="Arial" w:hAnsi="Arial" w:cs="Arial"/>
          <w:color w:val="000000" w:themeColor="text1"/>
        </w:rPr>
        <w:fldChar w:fldCharType="end"/>
      </w:r>
      <w:r w:rsidRPr="00DA5FA8">
        <w:rPr>
          <w:rFonts w:ascii="Arial" w:hAnsi="Arial" w:cs="Arial"/>
          <w:color w:val="000000" w:themeColor="text1"/>
        </w:rPr>
        <w:t>. This means pre-storing segments of the content files at the base stations, at dedicated “helper” nodes, and also in the user terminals.</w:t>
      </w:r>
    </w:p>
    <w:p w14:paraId="54CD3DD7" w14:textId="40ABC9F6"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of users grows to infinity. We refer to this behaviour as “full throughput scalability”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_Ref510641690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[C6-134]</w:t>
      </w:r>
      <w:r w:rsidRPr="00DA5FA8">
        <w:rPr>
          <w:rFonts w:ascii="Arial" w:hAnsi="Arial" w:cs="Arial"/>
          <w:color w:val="000000" w:themeColor="text1"/>
        </w:rPr>
        <w:fldChar w:fldCharType="end"/>
      </w:r>
      <w:r w:rsidRPr="00DA5FA8">
        <w:rPr>
          <w:rFonts w:ascii="Arial" w:hAnsi="Arial" w:cs="Arial"/>
          <w:color w:val="000000" w:themeColor="text1"/>
        </w:rPr>
        <w:t xml:space="preserve">. For the sake of concreteness, consider the analogy with conventional TV broadcasting: in this case, leveraging the broadcast property of the wireless medium, an infinite number of users can be </w:t>
      </w:r>
      <w:r w:rsidRPr="00DA5FA8">
        <w:rPr>
          <w:rFonts w:ascii="Arial" w:hAnsi="Arial" w:cs="Arial"/>
          <w:color w:val="000000" w:themeColor="text1"/>
        </w:rPr>
        <w:lastRenderedPageBreak/>
        <w:t xml:space="preserve">served with a finite transmission resource, i.e., a finite bandwidth and transmit power. For 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“on-demand” services, to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 An important consideration here is security. The data can be stored on user’s local cache that depends on the demand of other users in the network. This leads to the possibility of spying and tampering. Authors in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_Ref33014578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[C6-135]</w:t>
      </w:r>
      <w:r w:rsidRPr="00DA5FA8">
        <w:rPr>
          <w:rFonts w:ascii="Arial" w:hAnsi="Arial" w:cs="Arial"/>
          <w:color w:val="000000" w:themeColor="text1"/>
        </w:rPr>
        <w:fldChar w:fldCharType="end"/>
      </w:r>
      <w:r w:rsidRPr="00DA5FA8">
        <w:rPr>
          <w:rFonts w:ascii="Arial" w:hAnsi="Arial" w:cs="Arial"/>
          <w:color w:val="000000" w:themeColor="text1"/>
        </w:rPr>
        <w:t xml:space="preserve"> formulate a shared-link caching model with ‘private demands’ with the goal to design a two-phase private caching scheme with minimum load while preserving the privacy of the demands of each user with respect to other users. </w:t>
      </w:r>
    </w:p>
    <w:p w14:paraId="60CA376C"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48BD0DAA" w14:textId="77777777" w:rsidR="003F2CCB" w:rsidRPr="00DA5FA8" w:rsidRDefault="003F2CCB" w:rsidP="003F2CCB">
      <w:pPr>
        <w:spacing w:after="120"/>
        <w:jc w:val="both"/>
        <w:rPr>
          <w:rFonts w:ascii="Arial" w:hAnsi="Arial" w:cs="Arial"/>
          <w:color w:val="000000" w:themeColor="text1"/>
        </w:rPr>
      </w:pPr>
      <w:r w:rsidRPr="00DA5FA8">
        <w:rPr>
          <w:rFonts w:ascii="Arial" w:hAnsi="Arial" w:cs="Arial"/>
          <w:color w:val="000000" w:themeColor="text1"/>
        </w:rPr>
        <w:t>Beyond these very compelling theoretical results, a significant knowledge gap must be filled to make these ideal of practical value. Therefore, a significant research effort needs be made e.g. in the following areas:</w:t>
      </w:r>
    </w:p>
    <w:p w14:paraId="17C20E06" w14:textId="77777777"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color w:val="000000" w:themeColor="text1"/>
        </w:rPr>
        <w:t>Coding (e.g., combining edge caching with modern multiuser MIMO physical layer schemes);</w:t>
      </w:r>
    </w:p>
    <w:p w14:paraId="0AA0B8CD" w14:textId="6D57DD26"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color w:val="000000" w:themeColor="text1"/>
        </w:rPr>
        <w:t xml:space="preserve">Protocol architectures (e.g., combining edge caching with schemes for video quality adaptation such as Dynamic Adaptive Streaming over HTTP (DASH)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_Ref510641709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[C6-136]</w:t>
      </w:r>
      <w:r w:rsidRPr="00DA5FA8">
        <w:rPr>
          <w:rFonts w:ascii="Arial" w:hAnsi="Arial" w:cs="Arial"/>
          <w:color w:val="000000" w:themeColor="text1"/>
        </w:rPr>
        <w:fldChar w:fldCharType="end"/>
      </w:r>
      <w:r w:rsidRPr="00DA5FA8">
        <w:rPr>
          <w:rFonts w:ascii="Arial" w:hAnsi="Arial" w:cs="Arial"/>
          <w:color w:val="000000" w:themeColor="text1"/>
        </w:rPr>
        <w:t>);</w:t>
      </w:r>
    </w:p>
    <w:p w14:paraId="52DE41ED" w14:textId="5149DA68" w:rsidR="003F2CCB" w:rsidRPr="00DA5FA8" w:rsidRDefault="003F2CCB" w:rsidP="00124439">
      <w:pPr>
        <w:pStyle w:val="ListParagraph"/>
        <w:numPr>
          <w:ilvl w:val="0"/>
          <w:numId w:val="14"/>
        </w:numPr>
        <w:spacing w:after="0" w:line="240" w:lineRule="auto"/>
        <w:jc w:val="both"/>
        <w:rPr>
          <w:rFonts w:ascii="Arial" w:hAnsi="Arial" w:cs="Arial"/>
          <w:color w:val="000000" w:themeColor="text1"/>
        </w:rPr>
      </w:pPr>
      <w:r w:rsidRPr="00DA5FA8">
        <w:rPr>
          <w:rFonts w:ascii="Arial" w:hAnsi="Arial" w:cs="Arial"/>
          <w:color w:val="000000" w:themeColor="text1"/>
        </w:rPr>
        <w:t xml:space="preserve">AI/ML based content popularity estimation and prediction, to efficiently update the cached content </w:t>
      </w:r>
      <w:r w:rsidRPr="00DA5FA8">
        <w:rPr>
          <w:rFonts w:ascii="Arial" w:hAnsi="Arial" w:cs="Arial"/>
          <w:color w:val="000000" w:themeColor="text1"/>
        </w:rPr>
        <w:fldChar w:fldCharType="begin"/>
      </w:r>
      <w:r w:rsidRPr="00DA5FA8">
        <w:rPr>
          <w:rFonts w:ascii="Arial" w:hAnsi="Arial" w:cs="Arial"/>
          <w:color w:val="000000" w:themeColor="text1"/>
        </w:rPr>
        <w:instrText xml:space="preserve"> REF _Ref33015334 \r \h  \* MERGEFORMAT </w:instrText>
      </w:r>
      <w:r w:rsidRPr="00DA5FA8">
        <w:rPr>
          <w:rFonts w:ascii="Arial" w:hAnsi="Arial" w:cs="Arial"/>
          <w:color w:val="000000" w:themeColor="text1"/>
        </w:rPr>
      </w:r>
      <w:r w:rsidRPr="00DA5FA8">
        <w:rPr>
          <w:rFonts w:ascii="Arial" w:hAnsi="Arial" w:cs="Arial"/>
          <w:color w:val="000000" w:themeColor="text1"/>
        </w:rPr>
        <w:fldChar w:fldCharType="separate"/>
      </w:r>
      <w:r w:rsidR="003F0180">
        <w:rPr>
          <w:rFonts w:ascii="Arial" w:hAnsi="Arial" w:cs="Arial"/>
          <w:color w:val="000000" w:themeColor="text1"/>
        </w:rPr>
        <w:t>[C6-137]</w:t>
      </w:r>
      <w:r w:rsidRPr="00DA5FA8">
        <w:rPr>
          <w:rFonts w:ascii="Arial" w:hAnsi="Arial" w:cs="Arial"/>
          <w:color w:val="000000" w:themeColor="text1"/>
        </w:rPr>
        <w:fldChar w:fldCharType="end"/>
      </w:r>
      <w:r w:rsidRPr="00DA5FA8">
        <w:rPr>
          <w:rFonts w:ascii="Arial" w:hAnsi="Arial" w:cs="Arial"/>
          <w:color w:val="000000" w:themeColor="text1"/>
        </w:rPr>
        <w:t>.</w:t>
      </w:r>
    </w:p>
    <w:p w14:paraId="75D87686" w14:textId="0AF20841" w:rsidR="006F79DA" w:rsidRPr="006F79DA" w:rsidRDefault="006F79DA" w:rsidP="006F79DA">
      <w:pPr>
        <w:jc w:val="both"/>
        <w:rPr>
          <w:rFonts w:ascii="Arial" w:hAnsi="Arial"/>
          <w:color w:val="000000" w:themeColor="text1"/>
        </w:rPr>
      </w:pPr>
    </w:p>
    <w:p w14:paraId="3DAB7751" w14:textId="77777777" w:rsidR="003F2CCB" w:rsidRDefault="003F2CCB">
      <w:pPr>
        <w:rPr>
          <w:rFonts w:ascii="Arial" w:eastAsiaTheme="majorEastAsia" w:hAnsi="Arial" w:cstheme="majorBidi"/>
          <w:b/>
          <w:sz w:val="36"/>
          <w:szCs w:val="32"/>
        </w:rPr>
      </w:pPr>
      <w:bookmarkStart w:id="226" w:name="_Toc509414426"/>
      <w:r>
        <w:br w:type="page"/>
      </w:r>
    </w:p>
    <w:p w14:paraId="49C9E222" w14:textId="50754380" w:rsidR="009F279B" w:rsidRDefault="009F279B" w:rsidP="00124439">
      <w:pPr>
        <w:pStyle w:val="Heading1"/>
        <w:numPr>
          <w:ilvl w:val="0"/>
          <w:numId w:val="9"/>
        </w:numPr>
      </w:pPr>
      <w:bookmarkStart w:id="227" w:name="_Toc42177285"/>
      <w:r w:rsidRPr="009F279B">
        <w:lastRenderedPageBreak/>
        <w:t>Optical networks</w:t>
      </w:r>
      <w:bookmarkEnd w:id="226"/>
      <w:bookmarkEnd w:id="227"/>
    </w:p>
    <w:p w14:paraId="7B3D4F9A" w14:textId="77777777" w:rsidR="00CE51ED" w:rsidRDefault="00CE51ED" w:rsidP="000E4D95">
      <w:pPr>
        <w:jc w:val="both"/>
        <w:rPr>
          <w:rFonts w:ascii="Arial" w:hAnsi="Arial" w:cs="Arial"/>
        </w:rPr>
      </w:pPr>
    </w:p>
    <w:p w14:paraId="28F7C085" w14:textId="64BE7FE5" w:rsidR="009C5C8B" w:rsidRPr="009F279B" w:rsidRDefault="009C5C8B" w:rsidP="000E4D95">
      <w:pPr>
        <w:jc w:val="both"/>
        <w:rPr>
          <w:rFonts w:ascii="Arial" w:hAnsi="Arial" w:cs="Arial"/>
        </w:rPr>
      </w:pPr>
      <w:r w:rsidRPr="009F279B">
        <w:rPr>
          <w:rFonts w:ascii="Arial" w:hAnsi="Arial" w:cs="Arial"/>
        </w:rPr>
        <w:t xml:space="preserve">Within the next decade, the world will go digital, improving our quality of life and boosting the industrial productivity. Artificial intelligence will free us up from routine tasks and unleash human creativity and product innovation. We will enter a new era in which billions of things, humans, and connected vehicles, robots and drones will generate Zettabytes of digital information. All this information needs to be transported, stored and processed in an efficient way. </w:t>
      </w:r>
    </w:p>
    <w:p w14:paraId="43A179C5" w14:textId="77777777" w:rsidR="009C5C8B" w:rsidRPr="009F279B" w:rsidRDefault="009C5C8B" w:rsidP="000E4D95">
      <w:pPr>
        <w:jc w:val="both"/>
        <w:rPr>
          <w:rFonts w:ascii="Arial" w:hAnsi="Arial" w:cs="Arial"/>
        </w:rPr>
      </w:pPr>
      <w:r w:rsidRPr="009F279B">
        <w:rPr>
          <w:rFonts w:ascii="Arial" w:hAnsi="Arial" w:cs="Arial"/>
        </w:rPr>
        <w:t>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while satisfying cost, energy efficiency and technology constraints, presents a formidable research challenge for the next decade.</w:t>
      </w:r>
    </w:p>
    <w:p w14:paraId="24C95109" w14:textId="77777777" w:rsidR="009C5C8B" w:rsidRPr="009F279B" w:rsidRDefault="009C5C8B" w:rsidP="000E4D95">
      <w:pPr>
        <w:jc w:val="both"/>
        <w:rPr>
          <w:rFonts w:ascii="Arial" w:hAnsi="Arial" w:cs="Arial"/>
        </w:rPr>
      </w:pPr>
      <w:r w:rsidRPr="009F279B">
        <w:rPr>
          <w:rFonts w:ascii="Arial" w:hAnsi="Arial" w:cs="Arial"/>
        </w:rPr>
        <w:t>Overcoming the challenges in scaling electronic interconnect speeds, advanced electro-photonic integration will enable a new generation of optical networking and IT equipment. Combining the advantages of optics and electronics is the way forward to deliver unprecedented functionality, compactness and cost-effectiveness.</w:t>
      </w:r>
    </w:p>
    <w:p w14:paraId="5A369145" w14:textId="77777777" w:rsidR="009C5C8B" w:rsidRPr="009F279B" w:rsidRDefault="009C5C8B" w:rsidP="000E4D95">
      <w:pPr>
        <w:jc w:val="both"/>
        <w:rPr>
          <w:rFonts w:ascii="Arial" w:hAnsi="Arial" w:cs="Arial"/>
        </w:rPr>
      </w:pPr>
      <w:r w:rsidRPr="009F279B">
        <w:rPr>
          <w:rFonts w:ascii="Arial" w:hAnsi="Arial" w:cs="Arial"/>
        </w:rPr>
        <w:t xml:space="preserve">Optical networks have long been the solution of choice for submarine, long-haul, and metro applications, thanks to the unparalleled capacity, energy efficiency and reach of optical fiber transmission. In recent years, optical network technologies have conquered inter- and intra-data center networks and have created tremendous growth in this sector. </w:t>
      </w:r>
    </w:p>
    <w:p w14:paraId="7A6FFD72" w14:textId="77777777" w:rsidR="009C5C8B" w:rsidRPr="009F279B" w:rsidRDefault="009C5C8B" w:rsidP="000E4D95">
      <w:pPr>
        <w:jc w:val="both"/>
        <w:rPr>
          <w:rFonts w:ascii="Arial" w:hAnsi="Arial" w:cs="Arial"/>
        </w:rPr>
      </w:pPr>
      <w:r w:rsidRPr="009F279B">
        <w:rPr>
          <w:rFonts w:ascii="Arial" w:hAnsi="Arial" w:cs="Arial"/>
        </w:rPr>
        <w:t xml:space="preserve">Building a mobile network will require optical connectivity to each radio antenna and a powerful optical network behind. Therefore, the mobile networking we all expect everywhere and which forms the basis for IoT or other smart networking applications will continue to rely on progress in the optical infrastructure to higher capacity, lower latency, increased programmability, enhanced reconfigurability, increased environmental hardening and significantly reduced power consumption.  </w:t>
      </w:r>
    </w:p>
    <w:p w14:paraId="355B0882" w14:textId="77777777" w:rsidR="009C5C8B" w:rsidRPr="009F279B" w:rsidRDefault="009C5C8B" w:rsidP="000E4D95">
      <w:pPr>
        <w:jc w:val="both"/>
        <w:rPr>
          <w:rFonts w:ascii="Arial" w:hAnsi="Arial" w:cs="Arial"/>
        </w:rPr>
      </w:pPr>
      <w:r w:rsidRPr="009F279B">
        <w:rPr>
          <w:rFonts w:ascii="Arial" w:hAnsi="Arial" w:cs="Arial"/>
        </w:rPr>
        <w:t xml:space="preserve">  Current optical access network solutions will evolve further to also fulfil requirements of future applications demanding ultra-high speed and low latency. </w:t>
      </w:r>
      <w:r w:rsidRPr="009F279B">
        <w:rPr>
          <w:rFonts w:ascii="Arial" w:eastAsia="Calibri" w:hAnsi="Arial" w:cs="Arial"/>
          <w:color w:val="000000" w:themeColor="text1"/>
        </w:rPr>
        <w:t xml:space="preserve">While classical point-to-point fibre solutions can already provide high capacity and low latency, these are not scalable to support dense 5G deployments at a low-cost point. New architectures, derived from low-cost Fibre-to-the-Home solutions need to be developed so that the high performance can be delivered at a cost that is compatible with the revenue generated by smaller and smaller cells. </w:t>
      </w:r>
      <w:r w:rsidRPr="009F279B">
        <w:rPr>
          <w:rFonts w:ascii="Arial" w:hAnsi="Arial" w:cs="Arial"/>
        </w:rPr>
        <w:t xml:space="preserve">Additional benefits such as their reliability and EMI (electro-magnetic interference) immunity make optical network technologies also attractive for applications such as critical infrastructures, factories of the future, private enterprise networks, and vehicular networks. </w:t>
      </w:r>
    </w:p>
    <w:p w14:paraId="00623414" w14:textId="77777777" w:rsidR="009C5C8B" w:rsidRPr="009F279B" w:rsidRDefault="009C5C8B" w:rsidP="000E4D95">
      <w:pPr>
        <w:jc w:val="both"/>
        <w:rPr>
          <w:rFonts w:ascii="Arial" w:hAnsi="Arial" w:cs="Arial"/>
        </w:rPr>
      </w:pPr>
      <w:r w:rsidRPr="009F279B">
        <w:rPr>
          <w:rFonts w:ascii="Arial" w:hAnsi="Arial" w:cs="Arial"/>
        </w:rPr>
        <w:t>For all these networks from access through 5G any-haul, to critical infrastructure, factory, and enterprise network</w:t>
      </w:r>
      <w:r w:rsidRPr="009F279B">
        <w:rPr>
          <w:rFonts w:ascii="Arial" w:eastAsia="Calibri" w:hAnsi="Arial" w:cs="Arial"/>
          <w:color w:val="000000" w:themeColor="text1"/>
        </w:rPr>
        <w:t xml:space="preserve"> deployments</w:t>
      </w:r>
      <w:r w:rsidRPr="009F279B">
        <w:rPr>
          <w:rFonts w:ascii="Arial" w:hAnsi="Arial" w:cs="Arial"/>
        </w:rPr>
        <w:t xml:space="preserve">, free space optical technologies such as Li-Fi should be investigated as complementary solutions to RF implementations as they promise highest data rates combined with added security gains due to EMI immunity and high directionality. </w:t>
      </w:r>
    </w:p>
    <w:p w14:paraId="5274965E" w14:textId="77777777" w:rsidR="009C5C8B" w:rsidRPr="009F279B" w:rsidRDefault="009C5C8B" w:rsidP="000E4D95">
      <w:pPr>
        <w:jc w:val="both"/>
        <w:rPr>
          <w:rFonts w:ascii="Arial" w:hAnsi="Arial" w:cs="Arial"/>
        </w:rPr>
      </w:pPr>
      <w:r w:rsidRPr="009F279B">
        <w:rPr>
          <w:rFonts w:ascii="Arial" w:hAnsi="Arial" w:cs="Arial"/>
        </w:rPr>
        <w:t xml:space="preserve">From ground-breaking discoveries such as new types of optical fibres and EDFAs over products such as WDM systems and </w:t>
      </w:r>
      <w:r w:rsidRPr="009F279B">
        <w:rPr>
          <w:rFonts w:ascii="Arial" w:hAnsi="Arial" w:cs="Arial"/>
          <w:caps/>
        </w:rPr>
        <w:t>100 </w:t>
      </w:r>
      <w:r w:rsidRPr="009F279B">
        <w:rPr>
          <w:rFonts w:ascii="Arial" w:hAnsi="Arial" w:cs="Arial"/>
        </w:rPr>
        <w:t>Gb/s transponders to global standards such as SDH and OTN, Europe has been at the forefront of optical communications R&amp;D for many years.</w:t>
      </w:r>
    </w:p>
    <w:p w14:paraId="5DB96958" w14:textId="69EE1125" w:rsidR="009C5C8B" w:rsidRPr="009F279B" w:rsidRDefault="009C5C8B" w:rsidP="000E4D95">
      <w:pPr>
        <w:jc w:val="both"/>
        <w:rPr>
          <w:rFonts w:ascii="Arial" w:hAnsi="Arial" w:cs="Arial"/>
        </w:rPr>
      </w:pPr>
      <w:r w:rsidRPr="009F279B">
        <w:rPr>
          <w:rFonts w:ascii="Arial" w:hAnsi="Arial" w:cs="Arial"/>
        </w:rPr>
        <w:t xml:space="preserve">Seven out of the top 20 network operators are headquartered in Europe while five out of the 10 largest optical equipment manufacturers have major R&amp;D centres in Europe. By revenue, </w:t>
      </w:r>
      <w:r w:rsidRPr="009F279B">
        <w:rPr>
          <w:rFonts w:ascii="Arial" w:hAnsi="Arial" w:cs="Arial"/>
        </w:rPr>
        <w:lastRenderedPageBreak/>
        <w:t xml:space="preserve">they represent more than 50% of the global optical equipment market. Two of the largest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0E4D95">
        <w:rPr>
          <w:rFonts w:ascii="Arial" w:hAnsi="Arial" w:cs="Arial"/>
        </w:rPr>
        <w:t>[C7-</w:t>
      </w:r>
      <w:r w:rsidRPr="009F279B">
        <w:rPr>
          <w:rFonts w:ascii="Arial" w:hAnsi="Arial" w:cs="Arial"/>
        </w:rPr>
        <w:t>1].</w:t>
      </w:r>
    </w:p>
    <w:p w14:paraId="2D0B2AFD" w14:textId="4A50CD21" w:rsidR="009C5C8B" w:rsidRDefault="009C5C8B" w:rsidP="00CE51ED">
      <w:pPr>
        <w:rPr>
          <w:rFonts w:ascii="Arial" w:hAnsi="Arial" w:cs="Arial"/>
        </w:rPr>
      </w:pPr>
      <w:r w:rsidRPr="009F279B">
        <w:rPr>
          <w:rFonts w:ascii="Arial" w:hAnsi="Arial" w:cs="Arial"/>
        </w:rPr>
        <w:t xml:space="preserve">Yet, innovation cycles are fast and competition is fierce. New research challenges require a continued effort to defend and strengthen Europe's leading position. </w:t>
      </w:r>
    </w:p>
    <w:p w14:paraId="18DA4222" w14:textId="77777777" w:rsidR="00C42C17" w:rsidRPr="009F279B" w:rsidRDefault="00C42C17" w:rsidP="00CE51ED">
      <w:pPr>
        <w:rPr>
          <w:rFonts w:ascii="Arial" w:hAnsi="Arial" w:cs="Arial"/>
        </w:rPr>
      </w:pPr>
    </w:p>
    <w:p w14:paraId="3D9FE6F3" w14:textId="25F79807" w:rsidR="009C5C8B" w:rsidRDefault="00B24646" w:rsidP="00EC02AE">
      <w:pPr>
        <w:pStyle w:val="Heading2"/>
      </w:pPr>
      <w:bookmarkStart w:id="228" w:name="_Toc39842848"/>
      <w:bookmarkStart w:id="229" w:name="_Toc40773093"/>
      <w:bookmarkStart w:id="230" w:name="_Toc40777635"/>
      <w:bookmarkStart w:id="231" w:name="_Toc40784068"/>
      <w:bookmarkStart w:id="232" w:name="_Toc40792905"/>
      <w:bookmarkStart w:id="233" w:name="_Toc41304014"/>
      <w:bookmarkStart w:id="234" w:name="_Toc41304500"/>
      <w:bookmarkStart w:id="235" w:name="_Toc41304689"/>
      <w:bookmarkStart w:id="236" w:name="_Toc41304878"/>
      <w:bookmarkStart w:id="237" w:name="_Toc509414427"/>
      <w:bookmarkStart w:id="238" w:name="_Toc42177286"/>
      <w:bookmarkEnd w:id="228"/>
      <w:bookmarkEnd w:id="229"/>
      <w:bookmarkEnd w:id="230"/>
      <w:bookmarkEnd w:id="231"/>
      <w:bookmarkEnd w:id="232"/>
      <w:bookmarkEnd w:id="233"/>
      <w:bookmarkEnd w:id="234"/>
      <w:bookmarkEnd w:id="235"/>
      <w:bookmarkEnd w:id="236"/>
      <w:r>
        <w:t>Sustainable</w:t>
      </w:r>
      <w:r w:rsidR="009C5C8B" w:rsidRPr="009F279B">
        <w:t xml:space="preserve"> capacity scaling</w:t>
      </w:r>
      <w:bookmarkEnd w:id="237"/>
      <w:bookmarkEnd w:id="238"/>
    </w:p>
    <w:p w14:paraId="268FFC11" w14:textId="77777777" w:rsidR="00C42C17" w:rsidRPr="00C42C17" w:rsidRDefault="00C42C17" w:rsidP="00C42C17"/>
    <w:p w14:paraId="3A6BDA49"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The question of data traffic growth in optical networks comes up periodically in analyst discussions. A few years ago, it was claimed there was a slowdown in the pace, but these observations failed to notice that there was a massive transfer of data from public internet to the private intranets of cloud providers. Overall, the global data traffic has been doubling every 2-3 years over the past 15 years and it will continue to increase at an impressive rate. </w:t>
      </w:r>
      <w:r w:rsidRPr="009F279B">
        <w:rPr>
          <w:rFonts w:ascii="Arial" w:eastAsia="Calibri" w:hAnsi="Arial" w:cs="Arial"/>
          <w:color w:val="000000" w:themeColor="text1"/>
        </w:rPr>
        <w:t xml:space="preserve"> Projections of future traffic</w:t>
      </w:r>
      <w:r w:rsidRPr="009F279B">
        <w:rPr>
          <w:rFonts w:ascii="Arial" w:hAnsi="Arial" w:cs="Arial"/>
        </w:rPr>
        <w:t xml:space="preserve"> predict required data rates of 10Tb/s for opto-electronic interfaces and over 1 Pb/s for optical fiber systems by 2024 [2]. Networks also need to provide headroom for unexpected traffic increases, as recently observed in Europe due to a health emergency condition in several EU member states.</w:t>
      </w:r>
    </w:p>
    <w:p w14:paraId="56A1EC79"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The network evolution stumbles upon the most fundamental limits of physics which are: the Moore’s law on Silicon integration and Shannon’s limit on fiber capacity .  These limitations are already slowing capacity increase and will become gating items just a few years from now so urgent research efforts are necessary . </w:t>
      </w:r>
      <w:r w:rsidRPr="009F279B">
        <w:rPr>
          <w:rFonts w:ascii="Arial" w:eastAsia="Calibri" w:hAnsi="Arial" w:cs="Arial"/>
          <w:lang w:val="en-US"/>
        </w:rPr>
        <w:t xml:space="preserve">There is a clear danger that a two-fold increase in the requested capacity will require doubling the amount of optical/electronic hardware. This will increase cost in a linear fashion and threaten future capacity growth. </w:t>
      </w:r>
      <w:r w:rsidRPr="009F279B">
        <w:rPr>
          <w:rFonts w:ascii="Arial" w:hAnsi="Arial" w:cs="Arial"/>
        </w:rPr>
        <w:t xml:space="preserve">Obviously, disruptive approaches are now needed in optical networks in order to push Shannon’s and Moore’s limits out further. </w:t>
      </w:r>
    </w:p>
    <w:p w14:paraId="1CF9C283" w14:textId="77777777" w:rsidR="009C5C8B" w:rsidRPr="009F279B" w:rsidRDefault="009C5C8B" w:rsidP="009C5C8B">
      <w:pPr>
        <w:spacing w:after="120" w:line="276" w:lineRule="auto"/>
        <w:jc w:val="both"/>
        <w:rPr>
          <w:rFonts w:ascii="Arial" w:hAnsi="Arial" w:cs="Arial"/>
        </w:rPr>
      </w:pPr>
      <w:r w:rsidRPr="009F279B">
        <w:rPr>
          <w:rFonts w:ascii="Arial" w:hAnsi="Arial" w:cs="Arial"/>
        </w:rPr>
        <w:t>First, recent successful innovations will be exploited far beyond current status. It can be predicted that optical communications are moving to coherent transmission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center communications, to make edge cloud a reality, and even to allow a new breed of intra-data center networks. Coherent is the most promising technology to bridge the gap which is caused by the Shannon limit, leveraging “shaped” modulation formats, flexible rates, and increased density WDM. Symbol rates in excess of 100 GBd, although they are challenging from technology point of view, are crucial to maintain the transportation per bit cost at the necessary levels to stimulate innovation.</w:t>
      </w:r>
    </w:p>
    <w:p w14:paraId="34A7EC4A" w14:textId="77777777" w:rsidR="009C5C8B" w:rsidRPr="009F279B" w:rsidRDefault="009C5C8B" w:rsidP="009C5C8B">
      <w:pPr>
        <w:spacing w:after="120" w:line="276" w:lineRule="auto"/>
        <w:jc w:val="both"/>
        <w:rPr>
          <w:rFonts w:ascii="Arial" w:hAnsi="Arial" w:cs="Arial"/>
        </w:rPr>
      </w:pPr>
      <w:r w:rsidRPr="009F279B">
        <w:rPr>
          <w:rFonts w:ascii="Arial" w:hAnsi="Arial" w:cs="Arial"/>
        </w:rPr>
        <w:t xml:space="preserve">Contemporary digital coherent technologies were essentially born in Europe in 2010 and Europe is in a good position if it continues to innovate at fast pace. A mutualisation of research efforts to establish and drive standards development is however required. We argue that a new flagship initiative “Open Coherent Communication Everywhere” tackling reach, capacity and cost considerations across all applications based on a common technological approach would be key in federating Europe's strengths. </w:t>
      </w:r>
    </w:p>
    <w:p w14:paraId="29209E6A"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lastRenderedPageBreak/>
        <w:t xml:space="preserve">To expand network capacity beyond the Shannon’s and Moore’s limits, given by current fiber and integration technology, we need to exploit all dimensions in space and frequency, opening new optical wavelength bands and space division multiplexing. </w:t>
      </w:r>
    </w:p>
    <w:p w14:paraId="6369FF94"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t xml:space="preserve">The exploitation of new wavelength bands will require advances in a multitude of technologies ranging from optical amplifiers, tailored to these new bands, to a large variety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which will undoubtedly come up in the new bands. Intensive research efforts are necessary along these lines. </w:t>
      </w:r>
    </w:p>
    <w:p w14:paraId="747EBE02"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rPr>
        <w:t>In parallel, space division multiplexing must be investigated. This approach can offer significant capacity increase, either by multiplying fiber count in cables, or by introducing multicore or multimode fibers. Here again, new node and system architectures, new digital signal processing, new space division multiplexers, new switches, new optical amplifiers are needed along with the new fiber types needed. For space division multiplexing to become a cost-effective reality, a change of scale in component count per square millimetre will be required.</w:t>
      </w:r>
    </w:p>
    <w:p w14:paraId="3D4C4C7C" w14:textId="77777777" w:rsidR="009C5C8B" w:rsidRPr="009F279B" w:rsidRDefault="009C5C8B" w:rsidP="009C5C8B">
      <w:pPr>
        <w:spacing w:after="120" w:line="276" w:lineRule="auto"/>
        <w:jc w:val="both"/>
        <w:rPr>
          <w:rFonts w:ascii="Arial" w:hAnsi="Arial" w:cs="Arial"/>
        </w:rPr>
      </w:pPr>
      <w:r w:rsidRPr="009F279B">
        <w:rPr>
          <w:rFonts w:ascii="Arial" w:hAnsi="Arial" w:cs="Arial"/>
        </w:rPr>
        <w:t>Any improvement in fiber bandwidth, attenuation, and nonlinearity directly impacts the capacity of optical fiber systems, and the fiber plant itself is still amenable to such improvements. In particular, hollow-core fibers promise both larger bandwidth (up to several hundreds of nm) and much lower latency (30% lower) compared with standard fibers, at the cost of a much higher attenuation, which limits the transmission distance. The attenuation of those fibers is expected to decrease in the next decade. In parallel, improvement of the attenuation in the C-band is still possible, for instance using pure silica core fibers, showing that innovations are still possible in this field.</w:t>
      </w:r>
    </w:p>
    <w:p w14:paraId="331F1155" w14:textId="7ACA5227" w:rsidR="009C5C8B" w:rsidRDefault="009C5C8B" w:rsidP="009C5C8B">
      <w:pPr>
        <w:spacing w:after="120" w:line="276" w:lineRule="auto"/>
        <w:jc w:val="both"/>
        <w:rPr>
          <w:rFonts w:ascii="Arial" w:hAnsi="Arial" w:cs="Arial"/>
        </w:rPr>
      </w:pPr>
      <w:r w:rsidRPr="009F279B">
        <w:rPr>
          <w:rFonts w:ascii="Arial" w:hAnsi="Arial" w:cs="Arial"/>
        </w:rPr>
        <w:t xml:space="preserve">Last, capacity can also be gained through margin reduction. Recent publications </w:t>
      </w:r>
      <w:r>
        <w:rPr>
          <w:rFonts w:ascii="Arial" w:hAnsi="Arial" w:cs="Arial"/>
        </w:rPr>
        <w:t xml:space="preserve">show </w:t>
      </w:r>
      <w:r w:rsidRPr="009F279B">
        <w:rPr>
          <w:rFonts w:ascii="Arial" w:hAnsi="Arial" w:cs="Arial"/>
        </w:rPr>
        <w:t>that a doubling of network capacity, or even more, is possible through careful margin reduction, which has been rendered possible by the availability of a wealth of monitoring data in new optical networks, as further explained in Section 4.5. However, one should be careful not to jeopardize reliability when reducing margins, as sufficient margin needs to be maintained for reliable network operation.</w:t>
      </w:r>
    </w:p>
    <w:p w14:paraId="3EBE94E2" w14:textId="77777777" w:rsidR="00C42C17" w:rsidRPr="009F279B" w:rsidRDefault="00C42C17" w:rsidP="009C5C8B">
      <w:pPr>
        <w:spacing w:after="120" w:line="276" w:lineRule="auto"/>
        <w:jc w:val="both"/>
        <w:rPr>
          <w:rFonts w:ascii="Arial" w:hAnsi="Arial" w:cs="Arial"/>
        </w:rPr>
      </w:pPr>
    </w:p>
    <w:p w14:paraId="49E8AD04" w14:textId="1D58380F" w:rsidR="009C5C8B" w:rsidRDefault="009C5C8B" w:rsidP="009C5C8B">
      <w:pPr>
        <w:pStyle w:val="Heading2"/>
      </w:pPr>
      <w:bookmarkStart w:id="239" w:name="_Toc509414428"/>
      <w:bookmarkStart w:id="240" w:name="_Toc42177287"/>
      <w:r w:rsidRPr="009F279B">
        <w:t>New switching paradigms</w:t>
      </w:r>
      <w:bookmarkEnd w:id="239"/>
      <w:bookmarkEnd w:id="240"/>
    </w:p>
    <w:p w14:paraId="5C6B49F3" w14:textId="77777777" w:rsidR="00C42C17" w:rsidRPr="00C42C17" w:rsidRDefault="00C42C17" w:rsidP="00C42C17"/>
    <w:p w14:paraId="7E4242B3"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Future applications, such as autonomous driving, augmented/virtual reality and augmented workspace, will severely change architecture and dynamism in optical networks. Both new network architectures with edge clouds close to the end user and centralized clouds with flexible distribution of network and application functions will be required. Cloudlets at the edges can be viewed as "data centers in a box", that can be flexibly deployed at the network edge to meet the capacity or latency constrains required by the applications.</w:t>
      </w:r>
    </w:p>
    <w:p w14:paraId="4F05BB79"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 xml:space="preserve">The optical transport network then can be seen as a programmable network fabric that dynamically provides slices of distributed network, compute and storage resources to applications and tenants. Of course, switching is a necessary ingredient. Switching can be accomplished on layer 0-3 depending on technology availability and service requirements and </w:t>
      </w:r>
      <w:r w:rsidRPr="009F279B">
        <w:rPr>
          <w:rFonts w:ascii="Arial" w:hAnsi="Arial" w:cs="Arial"/>
        </w:rPr>
        <w:lastRenderedPageBreak/>
        <w:t>may cross multiple vendor or operator domains.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29F5E0E8" w14:textId="77777777" w:rsidR="009C5C8B" w:rsidRPr="009F279B" w:rsidRDefault="009C5C8B" w:rsidP="009C5C8B">
      <w:pPr>
        <w:spacing w:after="120" w:line="240" w:lineRule="auto"/>
        <w:jc w:val="both"/>
        <w:rPr>
          <w:rFonts w:ascii="Arial" w:hAnsi="Arial" w:cs="Arial"/>
        </w:rPr>
      </w:pPr>
      <w:r w:rsidRPr="009F279B">
        <w:rPr>
          <w:rFonts w:ascii="Arial" w:hAnsi="Arial" w:cs="Arial"/>
        </w:rPr>
        <w:t xml:space="preserve">Flexible coherent pluggable technologies for point-to-point and point-to-multipoint high-speed transmission will enable a tight integration with the packet layer. Novel white box solutions encompassing programmable packet forwarding technologies (e.g., P4, and its expected evolutions) and based on open node/network operating systems are needed for elastic networking, measurability, reliability, in-network operations, and embedded security of the packet-optical networks. </w:t>
      </w:r>
    </w:p>
    <w:p w14:paraId="58C1F6DA"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which have not been discussed in great detail yet. Some applications may require network resources only for a very short time. Consequently, approaches enabling a faster reconfiguration (&lt;1ms) on the optical layer and taking into account concerns such as amplifier power transients need to be developed.</w:t>
      </w:r>
    </w:p>
    <w:p w14:paraId="2427E97B" w14:textId="77777777" w:rsidR="009C5C8B" w:rsidRPr="009F279B" w:rsidRDefault="009C5C8B" w:rsidP="009C5C8B">
      <w:pPr>
        <w:spacing w:before="120" w:after="120" w:line="276" w:lineRule="auto"/>
        <w:jc w:val="both"/>
        <w:rPr>
          <w:rFonts w:ascii="Arial" w:hAnsi="Arial" w:cs="Arial"/>
        </w:rPr>
      </w:pPr>
      <w:r w:rsidRPr="009F279B">
        <w:rPr>
          <w:rFonts w:ascii="Arial" w:hAnsi="Arial" w:cs="Arial"/>
        </w:rPr>
        <w:t>While optical switching in commercial applications has been limited to circuit switching so far, advances in photonics integration could allow optical flow or packet switching approaches to become practical, which were previously considered too costly or complex to implement. This opens up a range of new applications and use cases.</w:t>
      </w:r>
    </w:p>
    <w:p w14:paraId="2A34D6D2" w14:textId="5B5B2541" w:rsidR="009C5C8B" w:rsidRDefault="009C5C8B" w:rsidP="009C5C8B">
      <w:pPr>
        <w:spacing w:before="120" w:after="120" w:line="276" w:lineRule="auto"/>
        <w:jc w:val="both"/>
        <w:rPr>
          <w:rFonts w:ascii="Arial" w:hAnsi="Arial" w:cs="Arial"/>
        </w:rPr>
      </w:pPr>
      <w:r w:rsidRPr="009F279B">
        <w:rPr>
          <w:rFonts w:ascii="Arial" w:hAnsi="Arial" w:cs="Arial"/>
        </w:rPr>
        <w:t xml:space="preserve">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w:t>
      </w:r>
    </w:p>
    <w:p w14:paraId="52B1041B" w14:textId="77777777" w:rsidR="00C42C17" w:rsidRPr="009F279B" w:rsidRDefault="00C42C17" w:rsidP="009C5C8B">
      <w:pPr>
        <w:spacing w:before="120" w:after="120" w:line="276" w:lineRule="auto"/>
        <w:jc w:val="both"/>
        <w:rPr>
          <w:rFonts w:ascii="Arial" w:hAnsi="Arial" w:cs="Arial"/>
        </w:rPr>
      </w:pPr>
    </w:p>
    <w:p w14:paraId="48220689" w14:textId="5D024457" w:rsidR="009C5C8B" w:rsidRDefault="009C5C8B" w:rsidP="009C5C8B">
      <w:pPr>
        <w:pStyle w:val="Heading2"/>
      </w:pPr>
      <w:bookmarkStart w:id="241" w:name="_Toc509414429"/>
      <w:bookmarkStart w:id="242" w:name="_Toc42177288"/>
      <w:r w:rsidRPr="009F279B">
        <w:t>Deterministic networking</w:t>
      </w:r>
      <w:bookmarkEnd w:id="241"/>
      <w:bookmarkEnd w:id="242"/>
    </w:p>
    <w:p w14:paraId="3B04A9BA" w14:textId="77777777" w:rsidR="00C42C17" w:rsidRPr="00C42C17" w:rsidRDefault="00C42C17" w:rsidP="00C42C17"/>
    <w:p w14:paraId="5C61A436" w14:textId="77777777" w:rsidR="009C5C8B" w:rsidRPr="009F279B" w:rsidRDefault="009C5C8B" w:rsidP="009C5C8B">
      <w:pPr>
        <w:spacing w:before="120"/>
        <w:jc w:val="both"/>
        <w:rPr>
          <w:rFonts w:ascii="Arial" w:hAnsi="Arial" w:cs="Arial"/>
        </w:rPr>
      </w:pPr>
      <w:r w:rsidRPr="009F279B">
        <w:rPr>
          <w:rFonts w:ascii="Arial" w:hAnsi="Arial" w:cs="Arial"/>
        </w:rPr>
        <w:t>While the Internet mostly relies on a best effort traffic paradigm, the digitalization brings a multitude of applications in which reliability, latency and signal quality need to be guaranteed (e.g. uRLLC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&lt;100µs latency (including fiber transmission which adds 5µs/km), &lt;8ns timing error, and several tens of Gb/s throughput.</w:t>
      </w:r>
    </w:p>
    <w:p w14:paraId="28E5A1C8" w14:textId="77777777" w:rsidR="009C5C8B" w:rsidRPr="009F279B" w:rsidRDefault="009C5C8B" w:rsidP="009C5C8B">
      <w:pPr>
        <w:jc w:val="both"/>
        <w:rPr>
          <w:rFonts w:ascii="Arial" w:hAnsi="Arial" w:cs="Arial"/>
        </w:rPr>
      </w:pPr>
      <w:r w:rsidRPr="009F279B">
        <w:rPr>
          <w:rFonts w:ascii="Arial" w:hAnsi="Arial" w:cs="Arial"/>
        </w:rPr>
        <w:t xml:space="preserve">Networking assuring deterministic end-to-end performance is in the centre of attention that includes, but is not limited to, controlled physical layer performance, guaranteed throughput of high-priority services, and upper bounds in QoS parameters such as latency and jitter. Typically, a precision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needs to be addressed. This includes study on hybrid use of electronic and optical </w:t>
      </w:r>
      <w:r w:rsidRPr="009F279B">
        <w:rPr>
          <w:rFonts w:ascii="Arial" w:hAnsi="Arial" w:cs="Arial"/>
        </w:rPr>
        <w:lastRenderedPageBreak/>
        <w:t>switching as well as studies on the scalability of guaranteeing deterministic QoS for large number of flows/applications. . In such cases, also the physical layer requirements may have to be adapted, creating the need for the development of ultra-high speed, low latency, and low jitter physical layer implementations. This is especially challenging in shared bandwidth applications, such as access networks, where changes to scheduling, signalling, and synchronization may be required to fulfil the QoS requirements. A redundancy concept should ensure continued operation in case of an equipment or link failure. Some of the applications will have to run over a public network. In other scenarios private network builds are also possible or sometimes even required.</w:t>
      </w:r>
    </w:p>
    <w:p w14:paraId="0C7C3A4B" w14:textId="77777777" w:rsidR="009C5C8B" w:rsidRPr="009F279B" w:rsidRDefault="009C5C8B" w:rsidP="009C5C8B">
      <w:pPr>
        <w:spacing w:after="120" w:line="276" w:lineRule="auto"/>
        <w:jc w:val="both"/>
        <w:rPr>
          <w:rFonts w:ascii="Arial" w:hAnsi="Arial" w:cs="Arial"/>
          <w:lang w:val="en-US"/>
        </w:rPr>
      </w:pPr>
      <w:r w:rsidRPr="009F279B">
        <w:rPr>
          <w:rFonts w:ascii="Arial" w:hAnsi="Arial" w:cs="Arial"/>
          <w:lang w:val="en-US"/>
        </w:rPr>
        <w:t>Multiple options and technologies are being debated in standards bodies such as ITU-T, IEEE, and IETF and range from OTN over FlexE to time-sensitive Ethernet or IP approaches. However, the picture is not clear yet and the achievable performance of different methods need further investigation. Further research is required to determine the optimal solution set for a diverse range of applications, to develop the necessary planning and provisioning tools as well as the means for service assurance and performance verification.</w:t>
      </w:r>
    </w:p>
    <w:p w14:paraId="14D51169" w14:textId="77777777" w:rsidR="009C5C8B" w:rsidRPr="009F279B" w:rsidRDefault="009C5C8B" w:rsidP="009C5C8B">
      <w:pPr>
        <w:rPr>
          <w:rFonts w:ascii="Arial" w:hAnsi="Arial" w:cs="Arial"/>
          <w:lang w:val="en-US"/>
        </w:rPr>
      </w:pPr>
    </w:p>
    <w:p w14:paraId="4D09AB88" w14:textId="74818BC3" w:rsidR="009C5C8B" w:rsidRDefault="009C5C8B" w:rsidP="009C5C8B">
      <w:pPr>
        <w:pStyle w:val="Heading2"/>
      </w:pPr>
      <w:bookmarkStart w:id="243" w:name="_Toc509414430"/>
      <w:bookmarkStart w:id="244" w:name="_Toc42177289"/>
      <w:r w:rsidRPr="009F279B">
        <w:t>Optical wireless integration</w:t>
      </w:r>
      <w:bookmarkEnd w:id="243"/>
      <w:bookmarkEnd w:id="244"/>
    </w:p>
    <w:p w14:paraId="28DBB9FE" w14:textId="77777777" w:rsidR="00C42C17" w:rsidRPr="00C42C17" w:rsidRDefault="00C42C17" w:rsidP="00C42C17"/>
    <w:p w14:paraId="070657B4" w14:textId="77777777" w:rsidR="009C5C8B" w:rsidRPr="009F279B" w:rsidRDefault="009C5C8B" w:rsidP="009C5C8B">
      <w:pPr>
        <w:spacing w:before="120"/>
        <w:jc w:val="both"/>
        <w:rPr>
          <w:rFonts w:ascii="Arial" w:hAnsi="Arial" w:cs="Arial"/>
        </w:rPr>
      </w:pPr>
      <w:r w:rsidRPr="009F279B">
        <w:rPr>
          <w:rFonts w:ascii="Arial" w:hAnsi="Arial" w:cs="Arial"/>
        </w:rPr>
        <w:t xml:space="preserve">5G is deeply transforming the underlying transport network, due to several concurrent causes: the end-user capacity is increasing, the coverage of the mobile network becomes more dense, and a split architecture in the radio access network is introduced, where different functional splits between baseband and radio units are supported by the same transport network. The latter means that the traditional distinction between fronthaul and backhaul networks is blurred. Since it is impossible, for cost and operational reasons, to design dedicated networks for the 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 </w:t>
      </w:r>
    </w:p>
    <w:p w14:paraId="195F38F5" w14:textId="77777777" w:rsidR="009C5C8B" w:rsidRPr="009F279B" w:rsidRDefault="009C5C8B" w:rsidP="009C5C8B">
      <w:pPr>
        <w:spacing w:before="120"/>
        <w:jc w:val="both"/>
        <w:rPr>
          <w:rFonts w:ascii="Arial" w:hAnsi="Arial" w:cs="Arial"/>
        </w:rPr>
      </w:pPr>
      <w:r w:rsidRPr="009F279B">
        <w:rPr>
          <w:rFonts w:ascii="Arial" w:hAnsi="Arial" w:cs="Arial"/>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9F279B">
        <w:rPr>
          <w:rFonts w:ascii="Arial" w:eastAsia="Symbol" w:hAnsi="Arial" w:cs="Arial"/>
        </w:rPr>
        <w:t></w:t>
      </w:r>
      <w:r w:rsidRPr="009F279B">
        <w:rPr>
          <w:rFonts w:ascii="Arial" w:hAnsi="Arial" w:cs="Arial"/>
        </w:rPr>
        <w:t xml:space="preserve">s) and deterministic delays across several packet switches may require the development of new framing, multiplexing and synchronization 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low layer split options defined by the 3GPP will foster the adoption of interchangeable multi-layer switching platforms supporting various switching granularities that range from packet to time-slot and wavelength channel level. This will lead to a further level of convergence, where a layered control plane offers the ability to set up services in short time to operators, while being unaware and decoupled from the underlying transmission and switching technology. However, the current transport networks based on OTN and DWDM are, in some respects, inadequate to support the requirements posed by the new generation mobile systems. </w:t>
      </w:r>
    </w:p>
    <w:p w14:paraId="7518DB0E" w14:textId="77777777" w:rsidR="009C5C8B" w:rsidRPr="009F279B" w:rsidRDefault="009C5C8B" w:rsidP="009C5C8B">
      <w:pPr>
        <w:spacing w:before="120"/>
        <w:jc w:val="both"/>
        <w:rPr>
          <w:rFonts w:ascii="Arial" w:hAnsi="Arial" w:cs="Arial"/>
        </w:rPr>
      </w:pPr>
      <w:r w:rsidRPr="009F279B">
        <w:rPr>
          <w:rFonts w:ascii="Arial" w:hAnsi="Arial" w:cs="Arial"/>
        </w:rPr>
        <w:t xml:space="preserve">In the emerging  new “mobile transport network”, where it is of particular concern to lower costs as well as to mitigate the jitter effects caused by complex justification mechanisms, the </w:t>
      </w:r>
      <w:r w:rsidRPr="009F279B">
        <w:rPr>
          <w:rFonts w:ascii="Arial" w:hAnsi="Arial" w:cs="Arial"/>
        </w:rPr>
        <w:lastRenderedPageBreak/>
        <w:t>adoption of a single time-division multiplexing hierarchy across all network segments (access, aggregation and the core) would be highly desirable. Moreover, 25 and 50 Gb/s channels, corresponding to low layer radio functional split interfaces, should be multiplexed and transported in an efficient (i.e. with minimal overhead) and in a scalable way. At a physical layer, DWDM already has the aggregate capacity capable to support 5G broadband services in densely populated areas, scaling up to several hundreds of Gb/s/km</w:t>
      </w:r>
      <w:r w:rsidRPr="009F279B">
        <w:rPr>
          <w:rFonts w:ascii="Arial" w:hAnsi="Arial" w:cs="Arial"/>
          <w:vertAlign w:val="superscript"/>
        </w:rPr>
        <w:t>2</w:t>
      </w:r>
      <w:r w:rsidRPr="009F279B">
        <w:rPr>
          <w:rFonts w:ascii="Arial" w:hAnsi="Arial" w:cs="Arial"/>
        </w:rPr>
        <w:t xml:space="preserve">. However, breakthroughs in technology are still necessary to bring down the total cost of ownership, something that is seen as the necessary condition to justify the large-scale deployment of DWDM in x-haul (i.e. the network segment where mobile front- and backhaul as well as fixed-access transport converge). Examples of enabling technologies here are: cost-effective 50Gb/s (and beyond), optical interfaces with direct detection receivers capable of reaching distances up to 40km in the 1550nm window, possibly employing new modulation formats; tunable photonic integrated devices for compensating the chromatic dispersion; "lite" coherent transceivers with low DSP complexity as well as new technologies for developing cost-effective and compact optical amplifiers. A new generation of coherent transceivers and optical amplifiers would also allow to implement fronthaul networks exploiting broadcast-and-select DWDM Passive Optical Networks (PONs) architectures. Coherent technologies are key to compensate the attenuation of passive splitters in the optical distribution node, which is a key issue for bit-rates 25Gb/s and above. This scenario is of considerable importance as it enables the convergence of fixed access and fronthaul on PON fibre infrastructure which is capillary deployed, at least in big cities. For optical-wireless integration, however, additional modifications and developments on the physical layer in the PON might be necessary to achieve the high speed, low latency, and low jitter required for radio applications. </w:t>
      </w:r>
    </w:p>
    <w:p w14:paraId="55988FF0" w14:textId="77777777" w:rsidR="009C5C8B" w:rsidRPr="009F279B" w:rsidRDefault="009C5C8B" w:rsidP="009C5C8B">
      <w:pPr>
        <w:spacing w:before="120"/>
        <w:jc w:val="both"/>
        <w:rPr>
          <w:rFonts w:ascii="Arial" w:hAnsi="Arial" w:cs="Arial"/>
        </w:rPr>
      </w:pPr>
      <w:r w:rsidRPr="009F279B">
        <w:rPr>
          <w:rFonts w:ascii="Arial" w:hAnsi="Arial" w:cs="Arial"/>
        </w:rPr>
        <w:t>Another technological breakthrough would be the design of “fully colorless” DWDM networks, namely networks based on port-agnostic devices which offer the advantage to greatly simplify network provisioning, with lower installation and operational costs. Fully colorless networks require both tunable transmitters and reconfigurable optical add-drop multiplexers (ROADMs). Although ROADMs are widely used in wide area DWDM networks, current Micro Electro-Mechanical Systems (MEMS) or Liquid Crystal on Silicon (LCoS) technologies can hardly scale down their cost enough to be applicable to an access network. Novel system-on-chip devices based on silicon photonics could potentially reduce the co</w:t>
      </w:r>
      <w:r>
        <w:rPr>
          <w:rFonts w:ascii="Arial" w:hAnsi="Arial" w:cs="Arial"/>
        </w:rPr>
        <w:t xml:space="preserve">st by two orders of magnitude. </w:t>
      </w:r>
      <w:r w:rsidRPr="009F279B">
        <w:rPr>
          <w:rFonts w:ascii="Arial" w:hAnsi="Arial" w:cs="Arial"/>
        </w:rPr>
        <w:t>This would allow ROADM technology to spread beyond core and metro networks, also penetrating highly cost-sensitive markets like access, data center, and campus networks. Here, also power consumption will play an important role, requiring increased research efforts.</w:t>
      </w:r>
    </w:p>
    <w:p w14:paraId="58D6BABC" w14:textId="77777777" w:rsidR="009C5C8B" w:rsidRPr="009F279B" w:rsidRDefault="009C5C8B" w:rsidP="009C5C8B">
      <w:pPr>
        <w:spacing w:before="120"/>
        <w:jc w:val="both"/>
        <w:rPr>
          <w:rFonts w:ascii="Arial" w:hAnsi="Arial" w:cs="Arial"/>
        </w:rPr>
      </w:pPr>
      <w:r w:rsidRPr="009F279B">
        <w:rPr>
          <w:rFonts w:ascii="Arial" w:hAnsi="Arial" w:cs="Arial"/>
        </w:rPr>
        <w:t xml:space="preserve">All aforementioned transport technologies deal with digital radio split interfaces.  Analogue Radio over Fiber (A-RoF) is a well-known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equalization 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formats (256-QAM) and the high number of subcarriers (2048 OFDM) used in wireless systems. Furthermore, the introduction of millimetre waves necessitates the development of linear devices with high signal bandwidth, up to 100 GHz. Centralized architectures, where the baseband processing unit is shared by a certain number </w:t>
      </w:r>
      <w:r w:rsidRPr="009F279B">
        <w:rPr>
          <w:rFonts w:ascii="Arial" w:hAnsi="Arial" w:cs="Arial"/>
        </w:rPr>
        <w:lastRenderedPageBreak/>
        <w:t xml:space="preserve">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 </w:t>
      </w:r>
    </w:p>
    <w:p w14:paraId="40C6A240" w14:textId="3B1C9F6F" w:rsidR="009C5C8B" w:rsidRDefault="009C5C8B" w:rsidP="009C5C8B">
      <w:pPr>
        <w:spacing w:before="120"/>
        <w:jc w:val="both"/>
        <w:rPr>
          <w:rFonts w:ascii="Arial" w:eastAsia="Calibri" w:hAnsi="Arial" w:cs="Arial"/>
        </w:rPr>
      </w:pPr>
      <w:r w:rsidRPr="009F279B">
        <w:rPr>
          <w:rFonts w:ascii="Arial" w:hAnsi="Arial" w:cs="Arial"/>
        </w:rPr>
        <w:t xml:space="preserve">Finally, it is important to define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adapting the </w:t>
      </w:r>
      <w:r w:rsidRPr="009F279B">
        <w:rPr>
          <w:rFonts w:ascii="Arial" w:eastAsia="Calibri" w:hAnsi="Arial" w:cs="Arial"/>
        </w:rPr>
        <w:t>transport data rate to the variable cell traffic</w:t>
      </w:r>
      <w:r w:rsidRPr="009F279B">
        <w:rPr>
          <w:rFonts w:ascii="Arial" w:hAnsi="Arial" w:cs="Arial"/>
        </w:rPr>
        <w:t>(e.g., through functional split or variable-rate fronthaul) become available</w:t>
      </w:r>
      <w:r w:rsidRPr="009F279B">
        <w:rPr>
          <w:rFonts w:ascii="Arial" w:eastAsia="Calibri" w:hAnsi="Arial" w:cs="Arial"/>
        </w:rPr>
        <w:t>, the control plane needs to coordinate statistical multiplexing of the allocated resources across the wireless, access transport and central office domains, merging priority and best effort applications over the same shared infrastructure.</w:t>
      </w:r>
    </w:p>
    <w:p w14:paraId="541D3A84" w14:textId="77777777" w:rsidR="00C42C17" w:rsidRPr="009F279B" w:rsidRDefault="00C42C17" w:rsidP="009C5C8B">
      <w:pPr>
        <w:spacing w:before="120"/>
        <w:jc w:val="both"/>
        <w:rPr>
          <w:rFonts w:ascii="Arial" w:hAnsi="Arial" w:cs="Arial"/>
        </w:rPr>
      </w:pPr>
    </w:p>
    <w:p w14:paraId="1F4B56EE" w14:textId="066CB512" w:rsidR="009C5C8B" w:rsidRDefault="009C5C8B" w:rsidP="009C5C8B">
      <w:pPr>
        <w:pStyle w:val="Heading2"/>
      </w:pPr>
      <w:r w:rsidRPr="009F279B">
        <w:t xml:space="preserve">  </w:t>
      </w:r>
      <w:bookmarkStart w:id="245" w:name="_Toc509414431"/>
      <w:bookmarkStart w:id="246" w:name="_Toc42177290"/>
      <w:r w:rsidRPr="009F279B">
        <w:t>Optical network automation</w:t>
      </w:r>
      <w:bookmarkEnd w:id="245"/>
      <w:bookmarkEnd w:id="246"/>
    </w:p>
    <w:p w14:paraId="136B2B70" w14:textId="77777777" w:rsidR="00C42C17" w:rsidRPr="00C42C17" w:rsidRDefault="00C42C17" w:rsidP="00C42C17"/>
    <w:p w14:paraId="2852AE98" w14:textId="77777777" w:rsidR="009C5C8B" w:rsidRPr="009F279B" w:rsidRDefault="009C5C8B" w:rsidP="009C5C8B">
      <w:pPr>
        <w:spacing w:before="120" w:after="0"/>
        <w:jc w:val="both"/>
        <w:rPr>
          <w:rFonts w:ascii="Arial" w:hAnsi="Arial" w:cs="Arial"/>
        </w:rPr>
      </w:pPr>
      <w:r w:rsidRPr="009F279B">
        <w:rPr>
          <w:rFonts w:ascii="Arial" w:hAnsi="Arial" w:cs="Arial"/>
        </w:rPr>
        <w:t xml:space="preserve">Technological advances in optical networks, including an increased programmability and remote configurability at the device level, also require advances in network control, automation, and autonomicity. Software-defined optical networks (SDON) based on logically centralized control and management provide the basic capabilities for new operational paradigms. A centralized controller supports flexible multi-layer, multi-domain optical networks with tuneable wavelengths and variable modulation schemes. </w:t>
      </w:r>
      <w:r w:rsidRPr="009F279B">
        <w:rPr>
          <w:rFonts w:ascii="Arial" w:hAnsi="Arial" w:cs="Arial"/>
          <w:lang w:val="en-US"/>
        </w:rPr>
        <w:t>It also simplifies multi-vendor integration.</w:t>
      </w:r>
      <w:r w:rsidRPr="009F279B">
        <w:rPr>
          <w:rFonts w:ascii="Arial" w:hAnsi="Arial" w:cs="Arial"/>
        </w:rPr>
        <w:t xml:space="preserve"> Yet, autonomic transmission and networking area still in its infancy and need further investigation.</w:t>
      </w:r>
    </w:p>
    <w:p w14:paraId="0700D7A9"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SDN principles such as centralized deployments, unified data modeling frameworks, and open Application Programming Interfaces (APIs) allow an easier integration with Operation/Business Support Systems (OSS/BSS). They also facilitate an improved connection to billing systems and flexible pricing schemes offering new revenue streams for network operators. Smart contracts may then pave the way to dynamic, programmable end-to-end connectivity on an international scale.</w:t>
      </w:r>
    </w:p>
    <w:p w14:paraId="465E2B16"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industry is slowly converging on a common approach to device information and data modelling. First initiatives mainly cover low-level optical systems and devices such as transceivers, open line systems and ROADMs. They aim at vendor-independent models easing network control particularly in so-called disaggregated deployments, where individual network components can stem from different vendors. Activities should cover other aspects related to network operation as well, topology and inventory management or service description for example. This requires a gap analysis of current modeling languages, an identification of shortcomings and limitations, as well as extensions where necessary. Any research and development should be carried out with subsequent standardization in mind, avoiding the complexity of having multiple, often overlapping and incompatible models, frameworks and languages. It also involves finding a balance between de facto and de jure standards, combining the outcomes of Standards Developing Organizations (SDOs) and Open Source projects (OSPs). SDOs follow a pre-defined multi-year workplan, whereas OSPs typically adopt an agile software development approach that is based on frequent releases and a continuous integration/continuous deployment (CI/CD) model.</w:t>
      </w:r>
    </w:p>
    <w:p w14:paraId="25A7C9C7"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 xml:space="preserve">Control and management solutions have often been monolithic, vendor-dependent and strongly coupled to the underlying infrastructure. Evolving operator requirements, market </w:t>
      </w:r>
      <w:r w:rsidRPr="009F279B">
        <w:rPr>
          <w:rFonts w:ascii="Arial" w:hAnsi="Arial" w:cs="Arial"/>
          <w:lang w:val="en-US"/>
        </w:rPr>
        <w:lastRenderedPageBreak/>
        <w:t>pressure, and the general trend to softwarization drive disaggregation also at the software level. Monolithic software is being replaced by a micro-services architecture, in which service chains can be composed of reusable functional elements with standardized interfaces and allocated depending on the actual needs.</w:t>
      </w:r>
    </w:p>
    <w:p w14:paraId="30F4A884"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Smart connectivity in the context of NGI requires additional solutions and innovations for optical network automation beyond simple programmability. Global reach and optimized local service delivery capabilities need to be combined in highly flexible and granular ways and should be available on-demand for integration with web-based software and IoT platforms.</w:t>
      </w:r>
    </w:p>
    <w:p w14:paraId="34F1A5E6"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 xml:space="preserve">Intent-based zero-touch provisioning of network services is a precondition for smart connectivity. It is also an enabler for increased network resilience and higher levels of cybersecurity. Intelligence in optical network nodes will </w:t>
      </w:r>
      <w:r w:rsidRPr="009F279B">
        <w:rPr>
          <w:rFonts w:ascii="Arial" w:hAnsi="Arial" w:cs="Arial"/>
          <w:i/>
          <w:iCs/>
          <w:lang w:val="en-US"/>
        </w:rPr>
        <w:t>i</w:t>
      </w:r>
      <w:r w:rsidRPr="009F279B">
        <w:rPr>
          <w:rFonts w:ascii="Arial" w:hAnsi="Arial" w:cs="Arial"/>
          <w:lang w:val="en-US"/>
        </w:rPr>
        <w:t xml:space="preserve">) facilitate a faster detection of degradations and security issues; </w:t>
      </w:r>
      <w:r w:rsidRPr="009F279B">
        <w:rPr>
          <w:rFonts w:ascii="Arial" w:hAnsi="Arial" w:cs="Arial"/>
          <w:i/>
          <w:iCs/>
          <w:lang w:val="en-US"/>
        </w:rPr>
        <w:t>ii</w:t>
      </w:r>
      <w:r w:rsidRPr="009F279B">
        <w:rPr>
          <w:rFonts w:ascii="Arial" w:hAnsi="Arial" w:cs="Arial"/>
          <w:lang w:val="en-US"/>
        </w:rPr>
        <w:t xml:space="preserve">) create a hierarchal incident management system that is far more robust that its centralized counterpart; and </w:t>
      </w:r>
      <w:r w:rsidRPr="009F279B">
        <w:rPr>
          <w:rFonts w:ascii="Arial" w:hAnsi="Arial" w:cs="Arial"/>
          <w:i/>
          <w:iCs/>
          <w:lang w:val="en-US"/>
        </w:rPr>
        <w:t>iii</w:t>
      </w:r>
      <w:r w:rsidRPr="009F279B">
        <w:rPr>
          <w:rFonts w:ascii="Arial" w:hAnsi="Arial" w:cs="Arial"/>
          <w:lang w:val="en-US"/>
        </w:rPr>
        <w:t>) foster autonomous network control based on advanced Artificial intelligence (AI) and Machine Learning (ML) techniques. All this together can potentially bring network resilience to unprecedented levels.</w:t>
      </w:r>
    </w:p>
    <w:p w14:paraId="3576292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advances in optical transmission and switching technology create new challenges for network automation and autonomicity. Spatial division multiplex (SDM) introduces an additional dimension of flexibility in routing and spectrum allocation. Margin-optimized transmission to maximize the fibre capacity requires dynamic re-routing and network re-optimization in case of performance degradation, e.g. due to aging effects or additional loss after fibre repairs.</w:t>
      </w:r>
    </w:p>
    <w:p w14:paraId="111539F3"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The complexity of the underlying optical technology, resulting in a large number of interdependent configuration parameters, requires cognitive networks powered by streaming telemetry, real-time network measurements, AI and ML. Optical devices can potentially produce a huge amount of operational and monitoring data. For example, coherent transponders inherently provide monitoring and sensing capabilities. Operators are eager to process and use such data in search for efficiency gains in network operation and automation. The realization requires flexible architectures and protocols for streaming telemetry, as it is commonly accepted that current methods are limited in encoding efficiency, overhead and sampling rate. Consensus needs to be reached on which parameters are key indicators, so that common procedures and algorithms can be applied in heterogeneous scenarios. It is also worth mentioning that telemetry does not only rely on retrieving data from one (or multiple) monitoring points, but also involves measurements at network level, potentially requiring active network probes and joint processing of data measured at different places and times (spatial and temporal diversity). The design of such probes can also be a challenge, since it is well known that it must not be service affecting or consuming an excessive amount of resources. As mentioned in Section 4.1, monitoring information can be leveraged to reduce network margins, especially during operation, through continuous re-optimization. However, just as active probes should not disturb existing services, margin reduction and continuous network re-optimization should not jeopardize network stability. Continuous monitoring may help here.</w:t>
      </w:r>
    </w:p>
    <w:p w14:paraId="765CDA0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 xml:space="preserve">Coherent transponders provide inherent monitoring and sensing capabilities on a per-connection level. Since there are multiple sources of transmission impairments in an optical network, there is a need to advance the development of cost-effective optical performance monitoring probes that i) can be widely deployed; ii) are agnostic to optical signal waveforms; iii) provide suitable figures of merit (e.g. OSNR, power density, spectral occupancy); and iv) are non-intrusive. Different transmission parameters can then be monitored in real-time and </w:t>
      </w:r>
      <w:r w:rsidRPr="009F279B">
        <w:rPr>
          <w:rFonts w:ascii="Arial" w:hAnsi="Arial" w:cs="Arial"/>
          <w:lang w:val="en-US"/>
        </w:rPr>
        <w:lastRenderedPageBreak/>
        <w:t>combined to assess the performance of each signal/data stream and its evolution along a given optical network path.</w:t>
      </w:r>
    </w:p>
    <w:p w14:paraId="6324DB3D"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Streaming telemetry and continuous performance monitoring provide the data for AI and ML. Using model-based approaches and statistical analytics, SDN controller can observe the network behavior, analyze the performance, detect anomalies, and autonomously act and re-configure and optimize the network. However, the simplistic approach of “throwing” some machine learning algorithms on a large set of data will not achieve this goal. To fully utilize the expertise from big data analytics generally available, dedicated research activities for data curation and analytics, machine learning and artificial intelligence in optical networks are required.</w:t>
      </w:r>
    </w:p>
    <w:p w14:paraId="17FBA2E2" w14:textId="2916DE09" w:rsidR="009C5C8B" w:rsidRDefault="009C5C8B" w:rsidP="009C5C8B">
      <w:pPr>
        <w:spacing w:before="120" w:after="0"/>
        <w:jc w:val="both"/>
        <w:rPr>
          <w:rFonts w:ascii="Arial" w:hAnsi="Arial" w:cs="Arial"/>
          <w:lang w:val="en-US"/>
        </w:rPr>
      </w:pPr>
      <w:r w:rsidRPr="009F279B">
        <w:rPr>
          <w:rFonts w:ascii="Arial" w:hAnsi="Arial" w:cs="Arial"/>
          <w:lang w:val="en-US"/>
        </w:rPr>
        <w:t>Given the support that the optical infrastructure provides to 5G-based services, optical performance monitoring and analytics based on such data are critical to understand the base-line performance of such upper layer services.</w:t>
      </w:r>
    </w:p>
    <w:p w14:paraId="6D50C374" w14:textId="77777777" w:rsidR="00C42C17" w:rsidRPr="009F279B" w:rsidRDefault="00C42C17" w:rsidP="009C5C8B">
      <w:pPr>
        <w:spacing w:before="120" w:after="0"/>
        <w:jc w:val="both"/>
        <w:rPr>
          <w:rFonts w:ascii="Arial" w:hAnsi="Arial" w:cs="Arial"/>
          <w:lang w:val="en-US"/>
        </w:rPr>
      </w:pPr>
    </w:p>
    <w:p w14:paraId="2BA464E9" w14:textId="0BCCEDBA" w:rsidR="009C5C8B" w:rsidRDefault="009C5C8B" w:rsidP="009C5C8B">
      <w:pPr>
        <w:pStyle w:val="Heading2"/>
      </w:pPr>
      <w:bookmarkStart w:id="247" w:name="_Toc509414432"/>
      <w:bookmarkStart w:id="248" w:name="_Toc42177291"/>
      <w:r w:rsidRPr="009F279B">
        <w:t>Security for mission critical services</w:t>
      </w:r>
      <w:bookmarkEnd w:id="247"/>
      <w:bookmarkEnd w:id="248"/>
    </w:p>
    <w:p w14:paraId="4FC8B363" w14:textId="77777777" w:rsidR="00C42C17" w:rsidRPr="00C42C17" w:rsidRDefault="00C42C17" w:rsidP="00C42C17"/>
    <w:p w14:paraId="5CC009F2" w14:textId="77777777" w:rsidR="009C5C8B" w:rsidRPr="009F279B" w:rsidRDefault="009C5C8B" w:rsidP="009C5C8B">
      <w:pPr>
        <w:spacing w:before="120" w:after="0"/>
        <w:jc w:val="both"/>
        <w:rPr>
          <w:rFonts w:ascii="Arial" w:hAnsi="Arial" w:cs="Arial"/>
        </w:rPr>
      </w:pPr>
      <w:r w:rsidRPr="009F279B">
        <w:rPr>
          <w:rFonts w:ascii="Arial" w:hAnsi="Arial" w:cs="Arial"/>
        </w:rPr>
        <w:t>The ever-increasing interconnectedness not only of people but also of devices starting from huge power plants down to billions of IoT devices like sensors or appliances does not only increase the dependence on the network infrastructure but also expand the threat surface and therefore the vulnerability of every individual and of the society as a whole. Important threats do not only include hacking and espionage, but also network outages due to natural catastrophes as well as terrorism and sabotage targeting critical infrastructure. Therefore, it is getting more important to better safeguard our network infrastructure against data leakage and unexpected service outages.</w:t>
      </w:r>
    </w:p>
    <w:p w14:paraId="4E4A77CF" w14:textId="77777777" w:rsidR="009C5C8B" w:rsidRPr="009F279B" w:rsidRDefault="009C5C8B" w:rsidP="009C5C8B">
      <w:pPr>
        <w:spacing w:before="120"/>
        <w:jc w:val="both"/>
        <w:rPr>
          <w:rFonts w:ascii="Arial" w:hAnsi="Arial" w:cs="Arial"/>
          <w:color w:val="000000" w:themeColor="text1"/>
        </w:rPr>
      </w:pPr>
      <w:r w:rsidRPr="009F279B">
        <w:rPr>
          <w:rFonts w:ascii="Arial" w:hAnsi="Arial" w:cs="Arial"/>
          <w:color w:val="000000" w:themeColor="text1"/>
        </w:rPr>
        <w:t>A signal on an optical fiber can be tapped once the physical access to the fiber is available. At this point, the data of millions of users and billions of applications is exposed to theft and manipulation. Therefore, authenticity, privacy and data integrity is essential and needs to be kept at a level playing field with increasing threat scenarios, e.g. by allowing for crypto-agility. Improvements need to consider quantum-safe solutions for authenticating the communication partners, for protecting the data against tampering and for exchanging secret keys by employing post-quantum cryptography or secure quantum communication, e.g. quantum key distribution. Also, novel research directions like physical layer security for optical networks should be explored.</w:t>
      </w:r>
    </w:p>
    <w:p w14:paraId="19E31372" w14:textId="77777777" w:rsidR="009C5C8B" w:rsidRPr="009F279B" w:rsidRDefault="009C5C8B" w:rsidP="009C5C8B">
      <w:pPr>
        <w:spacing w:before="120" w:after="0"/>
        <w:jc w:val="both"/>
        <w:rPr>
          <w:rFonts w:ascii="Arial" w:hAnsi="Arial" w:cs="Arial"/>
        </w:rPr>
      </w:pPr>
      <w:r w:rsidRPr="009F279B">
        <w:rPr>
          <w:rFonts w:ascii="Arial" w:hAnsi="Arial" w:cs="Arial"/>
        </w:rPr>
        <w:t xml:space="preserve">Adding redundancy is the conventional, but also expensive way to improve the reliability and resilience of networks. </w:t>
      </w:r>
      <w:r w:rsidRPr="009F279B">
        <w:rPr>
          <w:rFonts w:ascii="Arial" w:eastAsia="Calibri" w:hAnsi="Arial" w:cs="Arial"/>
        </w:rPr>
        <w:t>Solutions for low cost and low power implementation of redundancy solutions (e.g. high radix optical switches) should be studied.</w:t>
      </w:r>
      <w:r w:rsidRPr="009F279B">
        <w:rPr>
          <w:rFonts w:ascii="Arial" w:hAnsi="Arial" w:cs="Arial"/>
        </w:rPr>
        <w:t xml:space="preserve"> Alternative concepts, that are high on the research agenda today, are increased flexibility, massive monitoring and software control of optical networks. </w:t>
      </w:r>
      <w:r w:rsidRPr="009F279B">
        <w:rPr>
          <w:rFonts w:ascii="Arial" w:eastAsia="Calibri" w:hAnsi="Arial" w:cs="Arial"/>
        </w:rPr>
        <w:t>Especially the monitoring of optical distribution networks like passive optical networks should be improved, which is especially difficult due to their passive implementation. Based on the data generated by the monitoring solutions, d</w:t>
      </w:r>
      <w:r w:rsidRPr="009F279B">
        <w:rPr>
          <w:rFonts w:ascii="Arial" w:hAnsi="Arial" w:cs="Arial"/>
        </w:rPr>
        <w:t>ata processing (e.g. by means of ML methods) can help to detect upcoming problems early and counteract them in advance with the available flexibility. It should be possible to employ this functionality beyond the borders of a single networking domain.</w:t>
      </w:r>
    </w:p>
    <w:p w14:paraId="376DCEB0" w14:textId="6DDCFD18" w:rsidR="009C5C8B" w:rsidRDefault="009C5C8B" w:rsidP="009C5C8B">
      <w:pPr>
        <w:spacing w:before="120" w:after="0"/>
        <w:jc w:val="both"/>
        <w:rPr>
          <w:rFonts w:ascii="Arial" w:hAnsi="Arial" w:cs="Arial"/>
        </w:rPr>
      </w:pPr>
      <w:r w:rsidRPr="009F279B">
        <w:rPr>
          <w:rFonts w:ascii="Arial" w:hAnsi="Arial" w:cs="Arial"/>
        </w:rPr>
        <w:t xml:space="preserve">The higher flexibility of optical networks, enabled through software controlled network elements (software defined networking, SDN), also increases the vulnerability of such networks to various kind of attacks and therefore security and resilience aspects need to be part of the concepts from the beginning (including both the hardware and software layers of </w:t>
      </w:r>
      <w:r w:rsidRPr="009F279B">
        <w:rPr>
          <w:rFonts w:ascii="Arial" w:hAnsi="Arial" w:cs="Arial"/>
        </w:rPr>
        <w:lastRenderedPageBreak/>
        <w:t>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51E675C8" w14:textId="77777777" w:rsidR="00C42C17" w:rsidRPr="009F279B" w:rsidRDefault="00C42C17" w:rsidP="009C5C8B">
      <w:pPr>
        <w:spacing w:before="120" w:after="0"/>
        <w:jc w:val="both"/>
        <w:rPr>
          <w:rFonts w:ascii="Arial" w:hAnsi="Arial" w:cs="Arial"/>
          <w:i/>
          <w:iCs/>
        </w:rPr>
      </w:pPr>
    </w:p>
    <w:p w14:paraId="0A9EFA5A" w14:textId="0E8B1019" w:rsidR="009C5C8B" w:rsidRDefault="009C5C8B" w:rsidP="009C5C8B">
      <w:pPr>
        <w:pStyle w:val="Heading2"/>
      </w:pPr>
      <w:bookmarkStart w:id="249" w:name="_Toc509414433"/>
      <w:bookmarkStart w:id="250" w:name="_Toc42177292"/>
      <w:r w:rsidRPr="009F279B">
        <w:t>Ultra-high energy efficiency</w:t>
      </w:r>
      <w:bookmarkEnd w:id="249"/>
      <w:bookmarkEnd w:id="250"/>
    </w:p>
    <w:p w14:paraId="07F538BF" w14:textId="77777777" w:rsidR="00C42C17" w:rsidRPr="00C42C17" w:rsidRDefault="00C42C17" w:rsidP="00C42C17"/>
    <w:p w14:paraId="0FF6FBF5" w14:textId="77777777" w:rsidR="009C5C8B" w:rsidRPr="009F279B" w:rsidRDefault="009C5C8B" w:rsidP="009C5C8B">
      <w:pPr>
        <w:spacing w:before="120" w:after="0"/>
        <w:jc w:val="both"/>
        <w:rPr>
          <w:rFonts w:ascii="Arial" w:hAnsi="Arial" w:cs="Arial"/>
          <w:sz w:val="24"/>
          <w:szCs w:val="24"/>
          <w:lang w:val="en-US"/>
        </w:rPr>
      </w:pPr>
      <w:r w:rsidRPr="009F279B">
        <w:rPr>
          <w:rFonts w:ascii="Arial" w:hAnsi="Arial" w:cs="Arial"/>
          <w:lang w:val="en-US"/>
        </w:rPr>
        <w:t>With data center traffic consuming nearly 2% of all electricity used today and the share of communications technology in overall world energy consumption steadily growing over the last decade, there is an urgent need for a paradigm shift to greener ICT technology.</w:t>
      </w:r>
    </w:p>
    <w:p w14:paraId="112C8E65"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Increasing use of optical technologies within the IT and communications industries is one key opportunity to limit the increasing energy consumption against the massive growth of overall data capacity that networks and datacenters are handling. Since light can travel vast distances through fibres, fibre optics consumes only a fraction of the energy used by conventional technology that transports electrons via copper wires.</w:t>
      </w:r>
    </w:p>
    <w:p w14:paraId="755F687E"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This means that higher reach and higher capacity interfaces can significantly reduce the energy consumption of networks as they reduce the number of optical interfaces and regenerations needed.</w:t>
      </w:r>
    </w:p>
    <w:p w14:paraId="6838A5A1" w14:textId="77777777" w:rsidR="009C5C8B" w:rsidRPr="009F279B" w:rsidRDefault="009C5C8B" w:rsidP="009C5C8B">
      <w:pPr>
        <w:spacing w:before="120" w:after="0"/>
        <w:jc w:val="both"/>
        <w:rPr>
          <w:rFonts w:ascii="Arial" w:hAnsi="Arial" w:cs="Arial"/>
          <w:lang w:val="en-US"/>
        </w:rPr>
      </w:pPr>
      <w:r w:rsidRPr="009F279B">
        <w:rPr>
          <w:rFonts w:ascii="Arial" w:hAnsi="Arial" w:cs="Arial"/>
          <w:lang w:val="en-US"/>
        </w:rPr>
        <w:t>Also, the inherently low power consumption of optics can be directly used to reduce power consumption overall, if optical functions replace more power</w:t>
      </w:r>
      <w:r>
        <w:rPr>
          <w:rFonts w:ascii="Arial" w:hAnsi="Arial" w:cs="Arial"/>
          <w:lang w:val="en-US"/>
        </w:rPr>
        <w:t>-</w:t>
      </w:r>
      <w:r w:rsidRPr="009F279B">
        <w:rPr>
          <w:rFonts w:ascii="Arial" w:hAnsi="Arial" w:cs="Arial"/>
          <w:lang w:val="en-US"/>
        </w:rPr>
        <w:t>hungry electronics, e.g.:</w:t>
      </w:r>
    </w:p>
    <w:p w14:paraId="6036F511"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Functions may be turned off or switched into a low power mode if not in use</w:t>
      </w:r>
    </w:p>
    <w:p w14:paraId="37647660"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Electronic processing can be bypassed more frequently through new control mechanisms that optimize traffic flows across network layers, particularly if combined with optical space and wavelength switching.</w:t>
      </w:r>
    </w:p>
    <w:p w14:paraId="241E1B9D"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Optical switching, in particular circuit switching, can replace and/or complement electronic switch functions and save power by eliminating O/E/O conversion points, provided enough link budget is available.</w:t>
      </w:r>
    </w:p>
    <w:p w14:paraId="32162E9A" w14:textId="77777777" w:rsidR="009C5C8B" w:rsidRPr="009F279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Electronic interfaces of modern communications ICs are a strong driver of power consumption. Ways to replace those interfaces by lower power optical interfaces that are integrated or co-packaged with those ICs can reduce power consumption substantially.</w:t>
      </w:r>
    </w:p>
    <w:p w14:paraId="18069840" w14:textId="42AD82C3" w:rsidR="009C5C8B" w:rsidRDefault="009C5C8B" w:rsidP="0034180F">
      <w:pPr>
        <w:numPr>
          <w:ilvl w:val="0"/>
          <w:numId w:val="7"/>
        </w:numPr>
        <w:spacing w:before="120" w:after="0"/>
        <w:contextualSpacing/>
        <w:jc w:val="both"/>
        <w:rPr>
          <w:rFonts w:ascii="Arial" w:hAnsi="Arial" w:cs="Arial"/>
          <w:lang w:val="en-US"/>
        </w:rPr>
      </w:pPr>
      <w:r w:rsidRPr="009F279B">
        <w:rPr>
          <w:rFonts w:ascii="Arial" w:hAnsi="Arial" w:cs="Arial"/>
          <w:lang w:val="en-US"/>
        </w:rPr>
        <w:t xml:space="preserve">The further drive to higher capacities and interface speeds per electronic chip will make optical communication within chips as well as chip-to-chip a future necessity. </w:t>
      </w:r>
    </w:p>
    <w:p w14:paraId="157E5D17" w14:textId="77777777" w:rsidR="00C42C17" w:rsidRPr="009F279B" w:rsidRDefault="00C42C17" w:rsidP="00C42C17">
      <w:pPr>
        <w:spacing w:before="120" w:after="0"/>
        <w:ind w:left="720"/>
        <w:contextualSpacing/>
        <w:jc w:val="both"/>
        <w:rPr>
          <w:rFonts w:ascii="Arial" w:hAnsi="Arial" w:cs="Arial"/>
          <w:lang w:val="en-US"/>
        </w:rPr>
      </w:pPr>
    </w:p>
    <w:p w14:paraId="500B7B9B" w14:textId="11100140" w:rsidR="009C5C8B" w:rsidRDefault="009C5C8B" w:rsidP="009C5C8B">
      <w:pPr>
        <w:pStyle w:val="Heading2"/>
      </w:pPr>
      <w:bookmarkStart w:id="251" w:name="_Toc509414434"/>
      <w:bookmarkStart w:id="252" w:name="_Toc42177293"/>
      <w:r w:rsidRPr="009F279B">
        <w:t>Optical integration 2.0</w:t>
      </w:r>
      <w:bookmarkEnd w:id="251"/>
      <w:bookmarkEnd w:id="252"/>
    </w:p>
    <w:p w14:paraId="2E0CA2A2" w14:textId="77777777" w:rsidR="00C42C17" w:rsidRPr="00C42C17" w:rsidRDefault="00C42C17" w:rsidP="00C42C17"/>
    <w:p w14:paraId="6391D787" w14:textId="4B9E0A69" w:rsidR="009C5C8B" w:rsidRPr="009F279B" w:rsidRDefault="009C5C8B" w:rsidP="009C5C8B">
      <w:pPr>
        <w:spacing w:before="120" w:after="120" w:line="276" w:lineRule="auto"/>
        <w:jc w:val="both"/>
        <w:rPr>
          <w:rFonts w:ascii="Arial" w:hAnsi="Arial" w:cs="Arial"/>
          <w:color w:val="000000"/>
        </w:rPr>
      </w:pPr>
      <w:r w:rsidRPr="009F279B">
        <w:rPr>
          <w:rFonts w:ascii="Arial" w:hAnsi="Arial" w:cs="Arial"/>
          <w:color w:val="000000"/>
        </w:rPr>
        <w:t xml:space="preserve">Two developments require progress in the field of optical and electronic integration: Advances in electronic integration follow Moore’s law and, on one side, lead to increased throughput requirements of electronic ICs on or between printed circuit boards (PCBs). Packaging and I/O limitations will require a transition from electronic to optical chip interconnects when further scaling up electronic processing capabilities. Silicon-compatible, compact and low power datacom transceivers are required to facilitate an integration into next-generation multi-chip switch and processor modules. On the other side, increased data traffic in optical transport networks will require more and more high-speed optical interfaces, when exploiting higher network capacities enabled by wavelength and spatial multiplexing. To avoid scaling of cost and power consumption with the exponentially increasing data traffic, the development of standardized components for future spectral and spatial unit cells are required </w:t>
      </w:r>
      <w:r w:rsidR="000E4D95">
        <w:rPr>
          <w:rFonts w:ascii="Arial" w:hAnsi="Arial" w:cs="Arial"/>
          <w:color w:val="000000"/>
        </w:rPr>
        <w:t>[C7-</w:t>
      </w:r>
      <w:r w:rsidRPr="009F279B">
        <w:rPr>
          <w:rFonts w:ascii="Arial" w:hAnsi="Arial" w:cs="Arial"/>
          <w:color w:val="000000"/>
        </w:rPr>
        <w:t>2].</w:t>
      </w:r>
    </w:p>
    <w:p w14:paraId="6D06374C" w14:textId="77777777"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lastRenderedPageBreak/>
        <w:t>Both use cases point to Silicon Photonics (SiPh) as base platform, enabling to adopt Silicon mass-manufacturing processes for optical applications. Also,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also a natural fit for integrating RF electronics into this platform to drive and controlling the optical SiPh functions. It needs to be mentioned, however, that while Moore’s scaling of electronic memory and processors yields ever smaller structures in Silicon, this miniaturization is not feasible for optical components, where the telecommunication wavelengths on the order of a micro meter pose a limit on the structure sizes. Further integration of photonic and digital processing functions will require scale adaptation. What is more, the level of photonic integration needs to be scaled up substantially to meet the demand of next-generation optical networking equipment.</w:t>
      </w:r>
    </w:p>
    <w:p w14:paraId="228455F9" w14:textId="77777777"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t>Work is also required to enable active functionality, like lasing or amplification, into SiPh platforms. Initial steps have been taken to integrate and structure III-V materials (e.g. Indium-Phosphide) into Silicon substrate as well as other passive materials (e.g. Silicon Nitride). Yet, it is crucial that such integration can be accomplished at wafer scale and without sacrificing the benefits of the silicon platform which are coolerless, non-hermetic and high temperature operation.</w:t>
      </w:r>
    </w:p>
    <w:p w14:paraId="49E2F292" w14:textId="366C81BC" w:rsidR="009C5C8B" w:rsidRPr="009F279B" w:rsidRDefault="009C5C8B" w:rsidP="009C5C8B">
      <w:pPr>
        <w:spacing w:after="120" w:line="276" w:lineRule="auto"/>
        <w:jc w:val="both"/>
        <w:rPr>
          <w:rFonts w:ascii="Arial" w:hAnsi="Arial" w:cs="Arial"/>
          <w:color w:val="000000"/>
        </w:rPr>
      </w:pPr>
      <w:r w:rsidRPr="009F279B">
        <w:rPr>
          <w:rFonts w:ascii="Arial" w:hAnsi="Arial" w:cs="Arial"/>
          <w:color w:val="000000"/>
        </w:rPr>
        <w:t xml:space="preserve">Moving to higher channel bandwidths, further performance gains are necessary and can be achieved by adding organic materials into the Silicon platform, providing potentially very high optical coefficients and reducing the required driving power </w:t>
      </w:r>
      <w:r w:rsidR="000E4D95">
        <w:rPr>
          <w:rFonts w:ascii="Arial" w:hAnsi="Arial" w:cs="Arial"/>
          <w:color w:val="000000"/>
        </w:rPr>
        <w:t>[C7-</w:t>
      </w:r>
      <w:r w:rsidRPr="009F279B">
        <w:rPr>
          <w:rFonts w:ascii="Arial" w:hAnsi="Arial" w:cs="Arial"/>
          <w:color w:val="000000"/>
        </w:rPr>
        <w:t>3]. This will ultimately be beneficial for the integration of optical functionalities on every size scale.</w:t>
      </w:r>
    </w:p>
    <w:p w14:paraId="21E92FB3" w14:textId="1D694B0A" w:rsidR="009C5C8B" w:rsidRPr="000F2322" w:rsidRDefault="009C5C8B" w:rsidP="009C5C8B">
      <w:pPr>
        <w:spacing w:after="120" w:line="276" w:lineRule="auto"/>
        <w:jc w:val="both"/>
        <w:rPr>
          <w:rFonts w:ascii="Arial" w:hAnsi="Arial" w:cs="Arial"/>
          <w:color w:val="000000"/>
        </w:rPr>
      </w:pPr>
      <w:r w:rsidRPr="009F279B">
        <w:rPr>
          <w:rFonts w:ascii="Arial" w:hAnsi="Arial" w:cs="Arial"/>
          <w:color w:val="000000"/>
        </w:rPr>
        <w:t>Advances in photonic integration will pave the way for a raft of new IT and networking devices in which optical, RF and digital electronic functions can be combined, e.g. in multi-chip modules (MCM) comprising highly integrated CMOS dies and high-speed optical engine chiplets on the same package substrate. Appropriate package design will be required to allow a reflow soldering of these components under standard process conditions.</w:t>
      </w:r>
    </w:p>
    <w:p w14:paraId="58CF8018" w14:textId="77777777" w:rsidR="00DE7527" w:rsidRDefault="00DE7527">
      <w:pPr>
        <w:rPr>
          <w:rStyle w:val="A9"/>
          <w:rFonts w:ascii="Arial" w:hAnsi="Arial" w:cs="Arial"/>
          <w:b w:val="0"/>
          <w:bCs w:val="0"/>
          <w:i w:val="0"/>
        </w:rPr>
      </w:pPr>
      <w:r>
        <w:rPr>
          <w:rStyle w:val="A9"/>
          <w:rFonts w:ascii="Arial" w:hAnsi="Arial" w:cs="Arial"/>
          <w:b w:val="0"/>
          <w:bCs w:val="0"/>
          <w:i w:val="0"/>
        </w:rPr>
        <w:br w:type="page"/>
      </w:r>
    </w:p>
    <w:p w14:paraId="4374E73E" w14:textId="77777777" w:rsidR="00F57C0A" w:rsidRPr="00F57C0A" w:rsidRDefault="00F57C0A" w:rsidP="00F57C0A">
      <w:pPr>
        <w:spacing w:after="120" w:line="276" w:lineRule="auto"/>
        <w:jc w:val="both"/>
        <w:rPr>
          <w:rStyle w:val="A9"/>
          <w:rFonts w:ascii="Arial" w:hAnsi="Arial" w:cs="Arial"/>
          <w:b w:val="0"/>
          <w:bCs w:val="0"/>
          <w:i w:val="0"/>
          <w:iCs w:val="0"/>
        </w:rPr>
      </w:pPr>
    </w:p>
    <w:p w14:paraId="6D53D36E" w14:textId="085AD908" w:rsidR="001A3B3E" w:rsidRDefault="001A3B3E" w:rsidP="00124439">
      <w:pPr>
        <w:pStyle w:val="Heading1"/>
        <w:numPr>
          <w:ilvl w:val="0"/>
          <w:numId w:val="9"/>
        </w:numPr>
        <w:rPr>
          <w:lang w:eastAsia="de-DE"/>
        </w:rPr>
      </w:pPr>
      <w:bookmarkStart w:id="253" w:name="_Toc37227261"/>
      <w:bookmarkStart w:id="254" w:name="_Toc42177294"/>
      <w:r w:rsidRPr="0063079E">
        <w:rPr>
          <w:lang w:eastAsia="de-DE"/>
        </w:rPr>
        <w:t xml:space="preserve">Network and </w:t>
      </w:r>
      <w:r w:rsidR="007D059F" w:rsidRPr="0063079E">
        <w:rPr>
          <w:lang w:eastAsia="de-DE"/>
        </w:rPr>
        <w:t>S</w:t>
      </w:r>
      <w:r w:rsidRPr="0063079E">
        <w:rPr>
          <w:lang w:eastAsia="de-DE"/>
        </w:rPr>
        <w:t xml:space="preserve">ervice </w:t>
      </w:r>
      <w:r w:rsidR="007D059F" w:rsidRPr="0063079E">
        <w:rPr>
          <w:lang w:eastAsia="de-DE"/>
        </w:rPr>
        <w:t>S</w:t>
      </w:r>
      <w:r w:rsidRPr="0063079E">
        <w:rPr>
          <w:lang w:eastAsia="de-DE"/>
        </w:rPr>
        <w:t>ecurity</w:t>
      </w:r>
      <w:bookmarkStart w:id="255" w:name="_Toc511140339"/>
      <w:bookmarkEnd w:id="253"/>
      <w:bookmarkEnd w:id="254"/>
      <w:bookmarkEnd w:id="255"/>
    </w:p>
    <w:p w14:paraId="1F344484" w14:textId="77777777" w:rsidR="00B0717A" w:rsidRDefault="00B0717A" w:rsidP="004756C9">
      <w:pPr>
        <w:jc w:val="both"/>
        <w:rPr>
          <w:rFonts w:ascii="Arial" w:hAnsi="Arial" w:cs="Arial"/>
        </w:rPr>
      </w:pPr>
    </w:p>
    <w:p w14:paraId="3117E03C" w14:textId="77777777" w:rsidR="00A36EA6" w:rsidRPr="00A36EA6" w:rsidRDefault="00A36EA6" w:rsidP="00A36EA6">
      <w:pPr>
        <w:jc w:val="both"/>
        <w:rPr>
          <w:rFonts w:ascii="Arial" w:hAnsi="Arial" w:cs="Arial"/>
        </w:rPr>
      </w:pPr>
      <w:r w:rsidRPr="00A36EA6">
        <w:rPr>
          <w:rFonts w:ascii="Arial" w:hAnsi="Arial" w:cs="Arial"/>
        </w:rPr>
        <w:t xml:space="preserve">The Digital Infrastructure, where Smart Networks and Services plays a fundamental role, is one of the key areas mandating Cybersecurity. Each and every citizen, enterprise or governmental application is requiring protection. The critical assets and the experience of the users depends on the capabilities of the infrastructure but will be subject to global services. Far from being homogeneous the expected grades of security and privacy will be as diverse as one can find in terms of more traditional Quality of Service. But while attacks and risks are becoming numerous, more sophisticated, the trend will remain to require more and higher grades of security. </w:t>
      </w:r>
    </w:p>
    <w:p w14:paraId="7C0230AA" w14:textId="77777777" w:rsidR="00A36EA6" w:rsidRPr="00A36EA6" w:rsidRDefault="00A36EA6" w:rsidP="00A36EA6">
      <w:pPr>
        <w:jc w:val="both"/>
        <w:rPr>
          <w:rFonts w:ascii="Arial" w:hAnsi="Arial" w:cs="Arial"/>
        </w:rPr>
      </w:pPr>
      <w:r w:rsidRPr="00A36EA6">
        <w:rPr>
          <w:rFonts w:ascii="Arial" w:hAnsi="Arial" w:cs="Arial"/>
        </w:rPr>
        <w:t>As a result, the future of ICT development in Europe is dependent on our capabilities to ensure trust and provide appropriate cybersecurity solutions. This is a major challenge, particularly in Europe, where the aim at being forerunners on IPR and privacy protection should push us to take the opportunity to reach global leadership in securing the digitalisation of our society. High expectations in security and privacy should be taken as enablement for added value in IoT, networks, Cloud and services segments.</w:t>
      </w:r>
    </w:p>
    <w:p w14:paraId="7B11E5E9" w14:textId="77777777" w:rsidR="00A36EA6" w:rsidRPr="00A36EA6" w:rsidRDefault="00A36EA6" w:rsidP="00A36EA6">
      <w:pPr>
        <w:autoSpaceDE w:val="0"/>
        <w:autoSpaceDN w:val="0"/>
        <w:adjustRightInd w:val="0"/>
        <w:spacing w:after="0" w:line="240" w:lineRule="auto"/>
        <w:jc w:val="both"/>
        <w:rPr>
          <w:rFonts w:ascii="Arial" w:hAnsi="Arial" w:cs="Arial"/>
          <w:color w:val="000000"/>
          <w:lang w:val="en-US"/>
        </w:rPr>
      </w:pPr>
      <w:r w:rsidRPr="00A36EA6">
        <w:rPr>
          <w:rFonts w:ascii="Arial" w:hAnsi="Arial" w:cs="Arial"/>
          <w:color w:val="000000"/>
          <w:lang w:val="en-US"/>
        </w:rPr>
        <w:t>The Network and Information System Security benefits from a long European story [C8-1] [C8-2]. Building on strong cybersecurity and Networks research capabilities, focus should be given to innovation, standards, certification in order to reach full matching between services expected and appropriate security and privacy levels. Following early initiatives on 5G deployment and its Cybersecurity [C8-3], and considering among others the need to serve up to highly critical services, the infrastructure protection capability should benefit from available open solutions but should also take care of maintaining autonomy and sovereignty based at least partially on an EU-based supply chain.</w:t>
      </w:r>
    </w:p>
    <w:p w14:paraId="78AE1B18" w14:textId="77777777" w:rsidR="00A36EA6" w:rsidRPr="00A36EA6" w:rsidRDefault="00A36EA6" w:rsidP="00A36EA6">
      <w:pPr>
        <w:autoSpaceDE w:val="0"/>
        <w:autoSpaceDN w:val="0"/>
        <w:adjustRightInd w:val="0"/>
        <w:spacing w:after="0" w:line="240" w:lineRule="auto"/>
        <w:rPr>
          <w:rFonts w:ascii="Arial" w:hAnsi="Arial" w:cs="Arial"/>
          <w:color w:val="000000"/>
          <w:lang w:val="en-US"/>
        </w:rPr>
      </w:pPr>
    </w:p>
    <w:p w14:paraId="4A5266DF" w14:textId="77777777" w:rsidR="00A36EA6" w:rsidRPr="00A36EA6" w:rsidRDefault="00A36EA6" w:rsidP="00CE51ED">
      <w:pPr>
        <w:rPr>
          <w:rFonts w:ascii="Arial" w:eastAsiaTheme="majorEastAsia" w:hAnsi="Arial" w:cs="Arial"/>
          <w:b/>
          <w:vanish/>
          <w:sz w:val="26"/>
          <w:szCs w:val="26"/>
        </w:rPr>
      </w:pPr>
      <w:bookmarkStart w:id="256" w:name="_Toc40773115"/>
      <w:bookmarkStart w:id="257" w:name="_Toc40777657"/>
      <w:bookmarkStart w:id="258" w:name="_Toc40784090"/>
      <w:bookmarkStart w:id="259" w:name="_Toc40792927"/>
      <w:bookmarkStart w:id="260" w:name="_Toc41304034"/>
      <w:bookmarkStart w:id="261" w:name="_Toc41304520"/>
      <w:bookmarkStart w:id="262" w:name="_Toc41304709"/>
      <w:bookmarkStart w:id="263" w:name="_Toc41304898"/>
      <w:bookmarkStart w:id="264" w:name="_Toc39480828"/>
      <w:bookmarkStart w:id="265" w:name="_Toc40487358"/>
      <w:bookmarkEnd w:id="256"/>
      <w:bookmarkEnd w:id="257"/>
      <w:bookmarkEnd w:id="258"/>
      <w:bookmarkEnd w:id="259"/>
      <w:bookmarkEnd w:id="260"/>
      <w:bookmarkEnd w:id="261"/>
      <w:bookmarkEnd w:id="262"/>
      <w:bookmarkEnd w:id="263"/>
    </w:p>
    <w:p w14:paraId="56415C4A" w14:textId="77777777" w:rsidR="00A36EA6" w:rsidRPr="00A36EA6" w:rsidRDefault="00A36EA6" w:rsidP="00A36EA6">
      <w:pPr>
        <w:pStyle w:val="Heading2"/>
      </w:pPr>
      <w:bookmarkStart w:id="266" w:name="_Toc42177295"/>
      <w:r w:rsidRPr="00A36EA6">
        <w:t>Rationales for Security Transformation</w:t>
      </w:r>
      <w:bookmarkEnd w:id="264"/>
      <w:bookmarkEnd w:id="265"/>
      <w:bookmarkEnd w:id="266"/>
    </w:p>
    <w:p w14:paraId="247E7693" w14:textId="77777777" w:rsidR="00A36EA6" w:rsidRPr="00A36EA6" w:rsidRDefault="00A36EA6" w:rsidP="00A36EA6">
      <w:pPr>
        <w:spacing w:after="0" w:line="240" w:lineRule="auto"/>
        <w:jc w:val="both"/>
        <w:rPr>
          <w:rFonts w:ascii="Arial" w:hAnsi="Arial" w:cs="Arial"/>
          <w:b/>
          <w:bCs/>
          <w:i/>
          <w:iCs/>
          <w:color w:val="FF0000"/>
          <w:sz w:val="36"/>
          <w:szCs w:val="36"/>
          <w:lang w:eastAsia="de-DE"/>
        </w:rPr>
      </w:pPr>
    </w:p>
    <w:p w14:paraId="2297AA43" w14:textId="77777777" w:rsidR="00A36EA6" w:rsidRPr="00A36EA6" w:rsidRDefault="00A36EA6" w:rsidP="00A36EA6">
      <w:pPr>
        <w:jc w:val="both"/>
        <w:rPr>
          <w:rFonts w:ascii="Arial" w:hAnsi="Arial" w:cs="Arial"/>
        </w:rPr>
      </w:pPr>
      <w:r w:rsidRPr="00A36EA6">
        <w:rPr>
          <w:rFonts w:ascii="Arial" w:hAnsi="Arial" w:cs="Arial"/>
        </w:rPr>
        <w:t>Targeting the objectives to fulfil expectations in terms of security and privacy mandates to recognize the game changing factors that require transformation of the security itself. This starts with the deep architectural, behavioural, semantic nature of the systems and services drawing a new picture of risks, then means to mitigate them. Second, whatever disruptive technology or architecture one wants to introduce, it comes with faces, on the one hand securing this new technology but potentially use it for the sake of better security. Digitalization means new usages, new and higher expectations, so that security considerations and developments need to reach up to mission critical supports, it thus conducts to significant impact on the infrastructure. Last but not least, the change is also impacting the stakeholders and their business models. Security as managed services delivered by pure players, role of ethical hackers, move of liabilities perimeters among service providers and tenants, the way to ensure security is also moving…</w:t>
      </w:r>
    </w:p>
    <w:p w14:paraId="2F6BA368" w14:textId="77777777" w:rsidR="00A36EA6" w:rsidRPr="00A36EA6" w:rsidRDefault="00A36EA6" w:rsidP="00A36EA6">
      <w:pPr>
        <w:jc w:val="both"/>
        <w:rPr>
          <w:rFonts w:ascii="Arial" w:hAnsi="Arial" w:cs="Arial"/>
        </w:rPr>
      </w:pPr>
    </w:p>
    <w:p w14:paraId="4F68A92B" w14:textId="77777777" w:rsidR="00A36EA6" w:rsidRPr="00DA6395" w:rsidRDefault="00A36EA6" w:rsidP="00DA6395">
      <w:pPr>
        <w:pStyle w:val="Heading3"/>
      </w:pPr>
      <w:bookmarkStart w:id="267" w:name="_Toc40487359"/>
      <w:bookmarkStart w:id="268" w:name="_Toc42177296"/>
      <w:bookmarkStart w:id="269" w:name="_Hlk40486369"/>
      <w:r w:rsidRPr="00DA6395">
        <w:lastRenderedPageBreak/>
        <w:t>Change in system nature</w:t>
      </w:r>
      <w:bookmarkEnd w:id="267"/>
      <w:bookmarkEnd w:id="268"/>
    </w:p>
    <w:bookmarkEnd w:id="269"/>
    <w:p w14:paraId="7D2EAF08" w14:textId="77777777" w:rsidR="00A36EA6" w:rsidRPr="00DA6395" w:rsidRDefault="00A36EA6" w:rsidP="00DA6395">
      <w:pPr>
        <w:pStyle w:val="Heading4"/>
      </w:pPr>
      <w:r w:rsidRPr="00DA6395">
        <w:t>Security must evolve as per the system evolution</w:t>
      </w:r>
    </w:p>
    <w:p w14:paraId="02FDD300" w14:textId="77777777" w:rsidR="00A36EA6" w:rsidRPr="00A36EA6" w:rsidRDefault="00A36EA6" w:rsidP="00A36EA6">
      <w:pPr>
        <w:jc w:val="both"/>
        <w:rPr>
          <w:rFonts w:ascii="Arial" w:hAnsi="Arial" w:cs="Arial"/>
        </w:rPr>
      </w:pPr>
      <w:r w:rsidRPr="00A36EA6">
        <w:rPr>
          <w:rFonts w:ascii="Arial" w:hAnsi="Arial" w:cs="Arial"/>
        </w:rPr>
        <w:t>As a matter of fact, cybersecurity solutions are depending on the nature of the target system. As an immediate consequence, the cybersecurity which is intrinsically is intrusive, embedded must evolve as the system does.</w:t>
      </w:r>
    </w:p>
    <w:p w14:paraId="5E945BAC" w14:textId="77777777" w:rsidR="00A36EA6" w:rsidRPr="00A36EA6" w:rsidRDefault="00A36EA6" w:rsidP="00A36EA6">
      <w:pPr>
        <w:rPr>
          <w:rFonts w:ascii="Arial" w:hAnsi="Arial" w:cs="Arial"/>
          <w:b/>
          <w:bCs/>
        </w:rPr>
      </w:pPr>
      <w:r w:rsidRPr="00A36EA6">
        <w:rPr>
          <w:rFonts w:ascii="Arial" w:hAnsi="Arial" w:cs="Arial"/>
          <w:b/>
          <w:bCs/>
        </w:rPr>
        <w:t xml:space="preserve">New dynamics </w:t>
      </w:r>
    </w:p>
    <w:p w14:paraId="7C8DC9EC" w14:textId="77777777" w:rsidR="00A36EA6" w:rsidRPr="00A36EA6" w:rsidRDefault="00A36EA6" w:rsidP="00A36EA6">
      <w:pPr>
        <w:jc w:val="both"/>
        <w:rPr>
          <w:rFonts w:ascii="Arial" w:hAnsi="Arial" w:cs="Arial"/>
        </w:rPr>
      </w:pPr>
      <w:r w:rsidRPr="00A36EA6">
        <w:rPr>
          <w:rFonts w:ascii="Arial" w:hAnsi="Arial" w:cs="Arial"/>
        </w:rPr>
        <w:t>The current and expected network models’ evolution is thus a key rational for Security transformation. From System or even System of Systems point of view, we have simultaneous disruptive changes both in time and space leading to so-called “metamorphic” properties. One can easily conclude that applying ole paradigms such as static security solutions to a problem where dynamics are becoming predominant will fail. Moving from servers to services and rich interactions between micro-services is leading to new time distribution in provisioning. From data plane towards service (and their usages) plane, security functions deployment must adapt to the temporal properties.</w:t>
      </w:r>
    </w:p>
    <w:p w14:paraId="66885DEA" w14:textId="77777777" w:rsidR="00A36EA6" w:rsidRPr="00A36EA6" w:rsidRDefault="00A36EA6" w:rsidP="00A36EA6">
      <w:pPr>
        <w:ind w:left="360"/>
        <w:contextualSpacing/>
        <w:jc w:val="both"/>
        <w:rPr>
          <w:rFonts w:ascii="Arial" w:hAnsi="Arial" w:cs="Arial"/>
        </w:rPr>
      </w:pPr>
    </w:p>
    <w:p w14:paraId="1887CB87" w14:textId="77777777" w:rsidR="00A36EA6" w:rsidRPr="00A36EA6" w:rsidRDefault="00A36EA6" w:rsidP="00A36EA6">
      <w:pPr>
        <w:jc w:val="both"/>
        <w:rPr>
          <w:rFonts w:ascii="Arial" w:hAnsi="Arial" w:cs="Arial"/>
        </w:rPr>
      </w:pPr>
      <w:r w:rsidRPr="00A36EA6">
        <w:rPr>
          <w:rFonts w:ascii="Arial" w:hAnsi="Arial" w:cs="Arial"/>
          <w:b/>
          <w:bCs/>
        </w:rPr>
        <w:t>New distribution</w:t>
      </w:r>
    </w:p>
    <w:p w14:paraId="2C97B4A3" w14:textId="77777777" w:rsidR="00A36EA6" w:rsidRPr="00A36EA6" w:rsidRDefault="00A36EA6" w:rsidP="00A36EA6">
      <w:pPr>
        <w:jc w:val="both"/>
        <w:rPr>
          <w:rFonts w:ascii="Arial" w:hAnsi="Arial" w:cs="Arial"/>
        </w:rPr>
      </w:pPr>
      <w:r w:rsidRPr="00A36EA6">
        <w:rPr>
          <w:rFonts w:ascii="Arial" w:hAnsi="Arial" w:cs="Arial"/>
        </w:rPr>
        <w:t>Historical basic security paradigm, which was mainly a perimetric approach is becoming inefficient with the dispersed capabilities across a hybrid computing/network model. By nature, the security policy is global and related to the expectations and needs of the users and applications. It must be now derived into more atomic but interacting sticky policies attached to the data, functions, services and composed in time and space.</w:t>
      </w:r>
    </w:p>
    <w:p w14:paraId="52F9ACB4" w14:textId="77777777" w:rsidR="00A36EA6" w:rsidRPr="00A36EA6" w:rsidRDefault="00A36EA6" w:rsidP="00A36EA6">
      <w:pPr>
        <w:ind w:left="360"/>
        <w:contextualSpacing/>
        <w:jc w:val="both"/>
        <w:rPr>
          <w:rFonts w:ascii="Arial" w:hAnsi="Arial" w:cs="Arial"/>
        </w:rPr>
      </w:pPr>
    </w:p>
    <w:p w14:paraId="4F6346E9" w14:textId="77777777" w:rsidR="00A36EA6" w:rsidRPr="00A36EA6" w:rsidRDefault="00A36EA6" w:rsidP="00A36EA6">
      <w:pPr>
        <w:jc w:val="both"/>
        <w:rPr>
          <w:rFonts w:ascii="Arial" w:hAnsi="Arial" w:cs="Arial"/>
          <w:b/>
          <w:bCs/>
        </w:rPr>
      </w:pPr>
      <w:r w:rsidRPr="00A36EA6">
        <w:rPr>
          <w:rFonts w:ascii="Arial" w:hAnsi="Arial" w:cs="Arial"/>
          <w:b/>
          <w:bCs/>
        </w:rPr>
        <w:t>Matching policy diversity and distribution/composition</w:t>
      </w:r>
    </w:p>
    <w:p w14:paraId="2EA44A76" w14:textId="77777777" w:rsidR="00A36EA6" w:rsidRPr="00A36EA6" w:rsidRDefault="00A36EA6" w:rsidP="00A36EA6">
      <w:pPr>
        <w:jc w:val="both"/>
        <w:rPr>
          <w:rFonts w:ascii="Arial" w:hAnsi="Arial" w:cs="Arial"/>
        </w:rPr>
      </w:pPr>
      <w:r w:rsidRPr="00A36EA6">
        <w:rPr>
          <w:rFonts w:ascii="Arial" w:hAnsi="Arial" w:cs="Arial"/>
        </w:rPr>
        <w:t>Another major area advocating for security transformation is linked to old issues of distributed systems. The overall architecture will rely on the composition of modular systems and services, potentially mission-oriented. As a direct consequence, the 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6FC96755" w14:textId="77777777" w:rsidR="00A36EA6" w:rsidRPr="00A36EA6" w:rsidRDefault="00A36EA6" w:rsidP="00A36EA6">
      <w:pPr>
        <w:ind w:left="360"/>
        <w:contextualSpacing/>
        <w:jc w:val="both"/>
        <w:rPr>
          <w:rFonts w:ascii="Arial" w:hAnsi="Arial" w:cs="Arial"/>
        </w:rPr>
      </w:pPr>
    </w:p>
    <w:p w14:paraId="1C8E193F" w14:textId="77777777" w:rsidR="00A36EA6" w:rsidRPr="00A36EA6" w:rsidRDefault="00A36EA6" w:rsidP="00A36EA6">
      <w:pPr>
        <w:jc w:val="both"/>
        <w:rPr>
          <w:rFonts w:ascii="Arial" w:hAnsi="Arial" w:cs="Arial"/>
        </w:rPr>
      </w:pPr>
      <w:r w:rsidRPr="00A36EA6">
        <w:rPr>
          <w:rFonts w:ascii="Arial" w:hAnsi="Arial" w:cs="Arial"/>
          <w:b/>
          <w:bCs/>
        </w:rPr>
        <w:t xml:space="preserve">Multi-tenancy over multi-service architecture: </w:t>
      </w:r>
      <w:r w:rsidRPr="00A36EA6">
        <w:rPr>
          <w:rFonts w:ascii="Arial" w:hAnsi="Arial" w:cs="Arial"/>
        </w:rPr>
        <w:t>As diversity of requirements is implying differentiated solutions, latency, throughput and other traditional QoS metrics, security mandates also to step away from "one size fits all" solution. Security is not anymore limited to a de facto property of a perimetric system but provisioned service attributes for each tenant over an architecture allowing a range of security levels and services.</w:t>
      </w:r>
    </w:p>
    <w:p w14:paraId="126B58FC" w14:textId="77777777" w:rsidR="00A36EA6" w:rsidRPr="00A36EA6" w:rsidRDefault="00A36EA6" w:rsidP="00A36EA6">
      <w:pPr>
        <w:ind w:left="360"/>
        <w:contextualSpacing/>
        <w:jc w:val="both"/>
        <w:rPr>
          <w:rFonts w:ascii="Arial" w:hAnsi="Arial" w:cs="Arial"/>
        </w:rPr>
      </w:pPr>
    </w:p>
    <w:p w14:paraId="3B417FE2" w14:textId="77777777" w:rsidR="00A36EA6" w:rsidRPr="00A36EA6" w:rsidRDefault="00A36EA6" w:rsidP="00A36EA6">
      <w:pPr>
        <w:jc w:val="both"/>
        <w:rPr>
          <w:rFonts w:ascii="Arial" w:hAnsi="Arial" w:cs="Arial"/>
        </w:rPr>
      </w:pPr>
      <w:r w:rsidRPr="00A36EA6">
        <w:rPr>
          <w:rFonts w:ascii="Arial" w:hAnsi="Arial" w:cs="Arial"/>
          <w:b/>
          <w:bCs/>
        </w:rPr>
        <w:t>World is data centric</w:t>
      </w:r>
      <w:r w:rsidRPr="00A36EA6">
        <w:rPr>
          <w:rFonts w:ascii="Arial" w:hAnsi="Arial" w:cs="Arial"/>
        </w:rPr>
        <w:t>: The system evolution, its smart control are driven through Artificial Intelligence capabilities, in turn depending on data quality and availability. Either for Users' data or System data, cybersecurity becomes a major concern so that data protection, data sharing in confidentiality, data integrity become mandatory. Data centric security technologies such as Homomorphic encryption or Multi-Party Computation may be introduced for the sake of system protection and protection of its users.</w:t>
      </w:r>
    </w:p>
    <w:p w14:paraId="5AD3CDC0" w14:textId="77777777" w:rsidR="00A36EA6" w:rsidRPr="00A36EA6" w:rsidRDefault="00A36EA6" w:rsidP="00A36EA6">
      <w:pPr>
        <w:ind w:left="360"/>
        <w:contextualSpacing/>
        <w:jc w:val="both"/>
        <w:rPr>
          <w:rFonts w:ascii="Arial" w:hAnsi="Arial" w:cs="Arial"/>
        </w:rPr>
      </w:pPr>
    </w:p>
    <w:p w14:paraId="0A8937FD" w14:textId="77777777" w:rsidR="00A36EA6" w:rsidRPr="00A36EA6" w:rsidRDefault="00A36EA6" w:rsidP="00A36EA6">
      <w:pPr>
        <w:jc w:val="both"/>
        <w:rPr>
          <w:rFonts w:ascii="Arial" w:hAnsi="Arial" w:cs="Arial"/>
        </w:rPr>
      </w:pPr>
      <w:r w:rsidRPr="00A36EA6">
        <w:rPr>
          <w:rFonts w:ascii="Arial" w:hAnsi="Arial" w:cs="Arial"/>
          <w:b/>
          <w:bCs/>
        </w:rPr>
        <w:lastRenderedPageBreak/>
        <w:t>Data is key but darker</w:t>
      </w:r>
      <w:r w:rsidRPr="00A36EA6">
        <w:rPr>
          <w:rFonts w:ascii="Arial" w:hAnsi="Arial" w:cs="Arial"/>
        </w:rPr>
        <w:t xml:space="preserve">: </w:t>
      </w:r>
    </w:p>
    <w:p w14:paraId="4D359457" w14:textId="77777777" w:rsidR="00A36EA6" w:rsidRPr="00A36EA6" w:rsidRDefault="00A36EA6" w:rsidP="00A36EA6">
      <w:pPr>
        <w:jc w:val="both"/>
        <w:rPr>
          <w:rFonts w:ascii="Arial" w:hAnsi="Arial" w:cs="Arial"/>
        </w:rPr>
      </w:pPr>
      <w:r w:rsidRPr="00A36EA6">
        <w:rPr>
          <w:rFonts w:ascii="Arial" w:hAnsi="Arial" w:cs="Arial"/>
        </w:rPr>
        <w:t>As the sustainability of ICT mandates new technology introduction, it will translate in focused security challenges that should be considered from start. Considering addressing, routing area, although combined with ciphering spread everywhere, a major issue is the ability to authenticate packets (fields), flows, applications, services, users, etc. as it should be. Data and more generally information specifically used for system operation and awareness are becoming less accessible as the one of the first protections is to encrypt it for protection purpose. This is happening, among other, to protect for instance slice integrity and isolation across multi-owned infrastructure segments. This is even more sensitive looking at control, management, service planes exchanges, leading to a potential specific dedicated approach such as a super secure slice. Finally, this should be most of the time a default situation aiming at protecting privacy and confidentiality, eventually conforming specific regulation. Smart solutions, AI-based, depends critically to the access of data set and information extracted from the infrastructure and flows. Encrypted data may lead to more sophisticated application of AI, rather based on behavioural analysis, inference of states, …than assuming free access to explicit information.</w:t>
      </w:r>
    </w:p>
    <w:p w14:paraId="1B88A69F" w14:textId="77777777" w:rsidR="00A36EA6" w:rsidRPr="00A36EA6" w:rsidRDefault="00A36EA6" w:rsidP="00A36EA6">
      <w:pPr>
        <w:ind w:left="360"/>
        <w:contextualSpacing/>
        <w:jc w:val="both"/>
        <w:rPr>
          <w:rFonts w:ascii="Arial" w:hAnsi="Arial" w:cs="Arial"/>
        </w:rPr>
      </w:pPr>
    </w:p>
    <w:p w14:paraId="646CF382" w14:textId="77777777" w:rsidR="00A36EA6" w:rsidRPr="00A36EA6" w:rsidRDefault="00A36EA6" w:rsidP="00A36EA6">
      <w:pPr>
        <w:jc w:val="both"/>
        <w:rPr>
          <w:rFonts w:ascii="Arial" w:hAnsi="Arial" w:cs="Arial"/>
        </w:rPr>
      </w:pPr>
      <w:r w:rsidRPr="00A36EA6">
        <w:rPr>
          <w:rFonts w:ascii="Arial" w:hAnsi="Arial" w:cs="Arial"/>
          <w:b/>
          <w:bCs/>
        </w:rPr>
        <w:t>Unprecedented complexity</w:t>
      </w:r>
      <w:r w:rsidRPr="00A36EA6">
        <w:rPr>
          <w:rFonts w:ascii="Arial" w:hAnsi="Arial" w:cs="Arial"/>
        </w:rPr>
        <w:t xml:space="preserve">: </w:t>
      </w:r>
    </w:p>
    <w:p w14:paraId="42C6A296" w14:textId="77777777" w:rsidR="00A36EA6" w:rsidRPr="00A36EA6" w:rsidRDefault="00A36EA6" w:rsidP="00A36EA6">
      <w:pPr>
        <w:jc w:val="both"/>
        <w:rPr>
          <w:rFonts w:ascii="Arial" w:hAnsi="Arial" w:cs="Arial"/>
        </w:rPr>
      </w:pPr>
      <w:r w:rsidRPr="00A36EA6">
        <w:rPr>
          <w:rFonts w:ascii="Arial" w:hAnsi="Arial" w:cs="Arial"/>
        </w:rPr>
        <w:t>Our society is more and more depending on the communications and ICT infrastructure. As a result of the ever-growing demand from people, but also Business-to-Business or Machine-to-Machine, the complexity/manageability issues are becoming predominant. Moreover, introducing any innovative or disruptive technologies, potentially not fully known in terms of risks. Cybersecurity often conservative and requiring a significant level of situation awareness is very sensitive to those complexity and novelty dimensions.</w:t>
      </w:r>
    </w:p>
    <w:p w14:paraId="59581E98" w14:textId="77777777" w:rsidR="00A36EA6" w:rsidRPr="00A36EA6" w:rsidRDefault="00A36EA6" w:rsidP="00A36EA6">
      <w:pPr>
        <w:ind w:left="360"/>
        <w:contextualSpacing/>
        <w:jc w:val="both"/>
        <w:rPr>
          <w:rFonts w:ascii="Arial" w:hAnsi="Arial" w:cs="Arial"/>
        </w:rPr>
      </w:pPr>
    </w:p>
    <w:p w14:paraId="249A9FB6" w14:textId="77777777" w:rsidR="00A36EA6" w:rsidRPr="00A36EA6" w:rsidRDefault="00A36EA6" w:rsidP="00A36EA6">
      <w:pPr>
        <w:jc w:val="both"/>
        <w:rPr>
          <w:rFonts w:ascii="Arial" w:hAnsi="Arial" w:cs="Arial"/>
        </w:rPr>
      </w:pPr>
      <w:r w:rsidRPr="00A36EA6">
        <w:rPr>
          <w:rFonts w:ascii="Arial" w:hAnsi="Arial" w:cs="Arial"/>
          <w:b/>
          <w:bCs/>
        </w:rPr>
        <w:t>New security paradigms applied</w:t>
      </w:r>
      <w:r w:rsidRPr="00A36EA6">
        <w:rPr>
          <w:rFonts w:ascii="Arial" w:hAnsi="Arial" w:cs="Arial"/>
        </w:rPr>
        <w:t xml:space="preserve">: </w:t>
      </w:r>
    </w:p>
    <w:p w14:paraId="5AEDD192" w14:textId="77777777" w:rsidR="00A36EA6" w:rsidRPr="00A36EA6" w:rsidRDefault="00A36EA6" w:rsidP="00A36EA6">
      <w:pPr>
        <w:jc w:val="both"/>
        <w:rPr>
          <w:rFonts w:ascii="Arial" w:hAnsi="Arial" w:cs="Arial"/>
        </w:rPr>
      </w:pPr>
      <w:r w:rsidRPr="00A36EA6">
        <w:rPr>
          <w:rFonts w:ascii="Arial" w:hAnsi="Arial" w:cs="Arial"/>
        </w:rPr>
        <w:t xml:space="preserve">By analogy with SDN, an obvious fundamental dimension of the security transformation may be described as Security Orchestration (aka Software Defined Security). This means that flexibility, spatial/temporal distribution of functions, adaptive capabilities, models and abstractions, etc. apply to the security domain. Among the ICT challenges, security is a fundamental cornerstone, but security must in turn transform towards renewed paradigms. Complexity is expected to be much higher than in the past and control/management technologies should remain in a converged framework, optimising re-use of reduce skills set, complexity and OPEX. </w:t>
      </w:r>
    </w:p>
    <w:p w14:paraId="708DC0AD" w14:textId="77777777" w:rsidR="00A36EA6" w:rsidRPr="00A36EA6" w:rsidRDefault="00A36EA6" w:rsidP="00A36EA6">
      <w:pPr>
        <w:jc w:val="both"/>
        <w:rPr>
          <w:rFonts w:ascii="Arial" w:hAnsi="Arial" w:cs="Arial"/>
        </w:rPr>
      </w:pPr>
      <w:r w:rsidRPr="00A36EA6">
        <w:rPr>
          <w:rFonts w:ascii="Arial" w:hAnsi="Arial" w:cs="Arial"/>
        </w:rPr>
        <w:t xml:space="preserve">The expected concomitant evolution disrupts traditional approaches where security concerns often came afterwards (or too late), it even goes beyond the” by-design” paradigm with functions and services integrated as intrinsic component of the concept. </w:t>
      </w:r>
    </w:p>
    <w:p w14:paraId="0925A99B" w14:textId="77777777" w:rsidR="00A36EA6" w:rsidRPr="00A36EA6" w:rsidRDefault="00A36EA6" w:rsidP="00A36EA6">
      <w:pPr>
        <w:jc w:val="both"/>
        <w:rPr>
          <w:rFonts w:ascii="Arial" w:hAnsi="Arial" w:cs="Arial"/>
        </w:rPr>
      </w:pPr>
      <w:r w:rsidRPr="00A36EA6">
        <w:rPr>
          <w:rFonts w:ascii="Arial" w:hAnsi="Arial" w:cs="Arial"/>
        </w:rPr>
        <w:t xml:space="preserve">Fundamental science advances whether physical or logical will equally impact traditional network functions and security functions. Security will then have in addition to provide solutions to secure the functions themselves. Taking the example of quantum technologies (true Quantum infrastructure not limited to QKD), the security architecture, process, workflows, protocols may be subject to entirely new paradigms taking benefits of the fundamentals of the physics and properties of the Qubits. </w:t>
      </w:r>
    </w:p>
    <w:p w14:paraId="04E8636C" w14:textId="77777777" w:rsidR="00A36EA6" w:rsidRPr="00A36EA6" w:rsidRDefault="00A36EA6" w:rsidP="00A36EA6">
      <w:pPr>
        <w:jc w:val="both"/>
        <w:rPr>
          <w:rFonts w:ascii="Arial" w:hAnsi="Arial" w:cs="Arial"/>
        </w:rPr>
      </w:pPr>
      <w:r w:rsidRPr="00A36EA6">
        <w:rPr>
          <w:rFonts w:ascii="Arial" w:hAnsi="Arial" w:cs="Arial"/>
        </w:rPr>
        <w:t>Deception and Moving Target Defense (MTD) are also promising candidates and hot spots to influence dramatically the way security is delivered and operated. One can draw a direct link with system flexibility capabilities as this can be envisaged only thanks to the system evolution.</w:t>
      </w:r>
    </w:p>
    <w:p w14:paraId="623ADDFB" w14:textId="77777777" w:rsidR="00A36EA6" w:rsidRPr="00A36EA6" w:rsidRDefault="00A36EA6" w:rsidP="00A36EA6">
      <w:pPr>
        <w:jc w:val="both"/>
        <w:rPr>
          <w:rFonts w:ascii="Arial" w:hAnsi="Arial" w:cs="Arial"/>
        </w:rPr>
      </w:pPr>
      <w:r w:rsidRPr="00A36EA6">
        <w:rPr>
          <w:rFonts w:ascii="Arial" w:hAnsi="Arial" w:cs="Arial"/>
        </w:rPr>
        <w:lastRenderedPageBreak/>
        <w:t>While the need of transformation is considered, it comes with a major challenge of definition of integrated renewed security framework, processes, engineering able to provide relevant answers to the ongoing disruption of architectures and technologies.</w:t>
      </w:r>
    </w:p>
    <w:p w14:paraId="0762C56C" w14:textId="77777777" w:rsidR="00A36EA6" w:rsidRPr="00A36EA6" w:rsidRDefault="00A36EA6" w:rsidP="00A36EA6">
      <w:pPr>
        <w:jc w:val="both"/>
        <w:rPr>
          <w:rFonts w:ascii="Arial" w:hAnsi="Arial" w:cs="Arial"/>
        </w:rPr>
      </w:pPr>
      <w:r w:rsidRPr="00A36EA6">
        <w:rPr>
          <w:rFonts w:ascii="Arial" w:hAnsi="Arial" w:cs="Arial"/>
        </w:rPr>
        <w:t>Last but not least, security will remain a competition between attack and defense. In the end, the next expected result should be that networks are easier and cheaper to operate for service providers. Regular users should get access transparently and their services must be available with appropriate quality. Attackers should have a much higher cost of attack as well as a much higher probability of being caught. Deterrence is thus becoming an entire part of the security strategy.</w:t>
      </w:r>
    </w:p>
    <w:p w14:paraId="733C6E8A" w14:textId="77777777" w:rsidR="00A36EA6" w:rsidRPr="00A36EA6" w:rsidRDefault="00A36EA6" w:rsidP="00A36EA6">
      <w:pPr>
        <w:ind w:left="720"/>
        <w:contextualSpacing/>
        <w:jc w:val="both"/>
        <w:rPr>
          <w:rFonts w:ascii="Arial" w:hAnsi="Arial" w:cs="Arial"/>
        </w:rPr>
      </w:pPr>
    </w:p>
    <w:p w14:paraId="706987B6" w14:textId="6FAD833B" w:rsidR="00A36EA6" w:rsidRDefault="00A36EA6" w:rsidP="00DA6395">
      <w:pPr>
        <w:pStyle w:val="Heading4"/>
      </w:pPr>
      <w:r w:rsidRPr="00A36EA6">
        <w:t>New risks, new attack surface</w:t>
      </w:r>
    </w:p>
    <w:p w14:paraId="6E9068A4" w14:textId="77777777" w:rsidR="00225D53" w:rsidRPr="00225D53" w:rsidRDefault="00225D53" w:rsidP="00225D53"/>
    <w:p w14:paraId="1B883A65" w14:textId="77777777" w:rsidR="00A36EA6" w:rsidRPr="00A36EA6" w:rsidRDefault="00A36EA6" w:rsidP="00A36EA6">
      <w:pPr>
        <w:jc w:val="both"/>
        <w:rPr>
          <w:rFonts w:ascii="Arial" w:hAnsi="Arial" w:cs="Arial"/>
        </w:rPr>
      </w:pPr>
      <w:r w:rsidRPr="00A36EA6">
        <w:rPr>
          <w:rFonts w:ascii="Arial" w:hAnsi="Arial" w:cs="Arial"/>
        </w:rPr>
        <w:t>The purpose here is not to make a full risk assessment of all system evolution, but to point out two essential properties of the future systems. The first one is linked to the IoT which raise issues relative to the scalability, security elements distribution changing by far the attack surface. The second one is linked to the Software Life Cycle application in critical infrastructure which is also feeding the attack graph and potential attacks.</w:t>
      </w:r>
    </w:p>
    <w:p w14:paraId="5434F01C" w14:textId="77777777" w:rsidR="00A36EA6" w:rsidRPr="00A36EA6" w:rsidRDefault="00A36EA6" w:rsidP="00A36EA6">
      <w:pPr>
        <w:jc w:val="both"/>
        <w:rPr>
          <w:rFonts w:ascii="Arial" w:hAnsi="Arial" w:cs="Arial"/>
        </w:rPr>
      </w:pPr>
      <w:r w:rsidRPr="00A36EA6">
        <w:rPr>
          <w:rFonts w:ascii="Arial" w:hAnsi="Arial" w:cs="Arial"/>
          <w:b/>
          <w:bCs/>
        </w:rPr>
        <w:t>Internet of Things (IoT&amp;IIoT)</w:t>
      </w:r>
    </w:p>
    <w:p w14:paraId="0DEC3D96" w14:textId="77777777" w:rsidR="00A36EA6" w:rsidRPr="00A36EA6" w:rsidRDefault="00A36EA6" w:rsidP="00A36EA6">
      <w:pPr>
        <w:jc w:val="both"/>
        <w:rPr>
          <w:rFonts w:ascii="Arial" w:hAnsi="Arial" w:cs="Arial"/>
        </w:rPr>
      </w:pPr>
      <w:r w:rsidRPr="00A36EA6">
        <w:rPr>
          <w:rFonts w:ascii="Arial" w:hAnsi="Arial" w:cs="Arial"/>
        </w:rPr>
        <w:t>The nature of the termination points of the system is dramatically changing considering the IoT. This lead at least to two major evolutions of the system impacting the attack surface thus the security. The first one is the scalability just by the order of magnitude of devices, data, usage (including sharing) required, and the second is the intrinsic security capabilities of the objects that are expected to remain quite poor among other reasons for cost constraints considerations. IoT, in particular IIoT is thus coming with high grade requirements but a new attack surface leading to re-think the way risks are mitigated. This may encompass the balance between Hardware and Software, the distribution of the root of trust and numerous control and management issues starting with enrolment of the objects in the system.</w:t>
      </w:r>
    </w:p>
    <w:p w14:paraId="3B036E0C" w14:textId="77777777" w:rsidR="00A36EA6" w:rsidRPr="00A36EA6" w:rsidRDefault="00A36EA6" w:rsidP="00A36EA6">
      <w:pPr>
        <w:ind w:left="360"/>
        <w:contextualSpacing/>
        <w:jc w:val="both"/>
        <w:rPr>
          <w:rFonts w:ascii="Arial" w:hAnsi="Arial" w:cs="Arial"/>
        </w:rPr>
      </w:pPr>
    </w:p>
    <w:p w14:paraId="0DA191F0" w14:textId="77777777" w:rsidR="00A36EA6" w:rsidRPr="00A36EA6" w:rsidRDefault="00A36EA6" w:rsidP="00A36EA6">
      <w:pPr>
        <w:jc w:val="both"/>
        <w:rPr>
          <w:rFonts w:ascii="Arial" w:hAnsi="Arial" w:cs="Arial"/>
        </w:rPr>
      </w:pPr>
      <w:r w:rsidRPr="00A36EA6">
        <w:rPr>
          <w:rFonts w:ascii="Arial" w:hAnsi="Arial" w:cs="Arial"/>
          <w:b/>
          <w:bCs/>
        </w:rPr>
        <w:t>Software life cycle</w:t>
      </w:r>
    </w:p>
    <w:p w14:paraId="0A6853EC" w14:textId="77777777" w:rsidR="00A36EA6" w:rsidRPr="00A36EA6" w:rsidRDefault="00A36EA6" w:rsidP="00A36EA6">
      <w:pPr>
        <w:jc w:val="both"/>
        <w:rPr>
          <w:rFonts w:ascii="Arial" w:hAnsi="Arial" w:cs="Arial"/>
        </w:rPr>
      </w:pPr>
      <w:r w:rsidRPr="00A36EA6">
        <w:rPr>
          <w:rFonts w:ascii="Arial" w:hAnsi="Arial" w:cs="Arial"/>
        </w:rPr>
        <w:t>Another fundamental change is that the system is becoming software predominant. What the system does, what the service delivers is depending on the code. Beyond safe code, which is an entire cybersecurity area, the whole Software life cycle is driving the security conditions. Updates, upgrades, exchanges, workflow, privilege management...the path towards system control is much more at risk than previously with quasi-unique path from OSS to EMS. Looking at the emergence of 5G, first security analysis such as the one done by ENISA [C8-4] shown the tremendous importance of the software and its life cycle. Next generation and evolution are clearly re-enforcing the trend and the needs. Software Life Cycle is a security priority following system evolution.</w:t>
      </w:r>
    </w:p>
    <w:p w14:paraId="5F682CE5" w14:textId="77777777" w:rsidR="00A36EA6" w:rsidRPr="00A36EA6" w:rsidRDefault="00A36EA6" w:rsidP="00A36EA6">
      <w:pPr>
        <w:ind w:left="720"/>
        <w:contextualSpacing/>
        <w:jc w:val="both"/>
        <w:rPr>
          <w:rFonts w:ascii="Arial" w:hAnsi="Arial" w:cs="Arial"/>
        </w:rPr>
      </w:pPr>
    </w:p>
    <w:p w14:paraId="3A8F34D1" w14:textId="77777777" w:rsidR="00A36EA6" w:rsidRPr="00A36EA6" w:rsidRDefault="00A36EA6" w:rsidP="00DA6395">
      <w:pPr>
        <w:pStyle w:val="Heading3"/>
      </w:pPr>
      <w:bookmarkStart w:id="270" w:name="_Toc40487360"/>
      <w:bookmarkStart w:id="271" w:name="_Toc42177297"/>
      <w:r w:rsidRPr="00A36EA6">
        <w:t>Disruptive Technologies integration</w:t>
      </w:r>
      <w:bookmarkEnd w:id="270"/>
      <w:bookmarkEnd w:id="271"/>
    </w:p>
    <w:p w14:paraId="22EA17C9" w14:textId="77777777" w:rsidR="00A36EA6" w:rsidRPr="00A36EA6" w:rsidRDefault="00A36EA6" w:rsidP="00A36EA6">
      <w:pPr>
        <w:jc w:val="both"/>
        <w:rPr>
          <w:rFonts w:ascii="Arial" w:hAnsi="Arial" w:cs="Arial"/>
        </w:rPr>
      </w:pPr>
      <w:r w:rsidRPr="00A36EA6">
        <w:rPr>
          <w:rFonts w:ascii="Arial" w:hAnsi="Arial" w:cs="Arial"/>
        </w:rPr>
        <w:t>Security transformation is a mandatory companion to most of (if not all) disruption dimensions expected during the next period. This goes into two directions. On the one hand, disruptive technologies must be secured, as on the other hand technologies may be used for cybersecurity purpose or to reach consistency with systems properties.</w:t>
      </w:r>
    </w:p>
    <w:p w14:paraId="099F360A" w14:textId="77777777" w:rsidR="00A36EA6" w:rsidRPr="00A36EA6" w:rsidRDefault="00A36EA6" w:rsidP="00DA6395">
      <w:pPr>
        <w:pStyle w:val="Heading4"/>
      </w:pPr>
      <w:r w:rsidRPr="00A36EA6">
        <w:lastRenderedPageBreak/>
        <w:t>Virtualization</w:t>
      </w:r>
    </w:p>
    <w:p w14:paraId="3BE8E411" w14:textId="77777777" w:rsidR="00A36EA6" w:rsidRPr="00A36EA6" w:rsidRDefault="00A36EA6" w:rsidP="00A36EA6">
      <w:pPr>
        <w:jc w:val="both"/>
        <w:rPr>
          <w:rFonts w:ascii="Arial" w:hAnsi="Arial" w:cs="Arial"/>
        </w:rPr>
      </w:pPr>
      <w:r w:rsidRPr="00A36EA6">
        <w:rPr>
          <w:rFonts w:ascii="Arial" w:hAnsi="Arial" w:cs="Arial"/>
        </w:rPr>
        <w:t>From security point of view, software-based and virtualized functions have been considered weaker than those based on hardware. Nevertheless, it would make no sense to block all the system flexibility without mitigating the issues raised by virtualization. Security is thus purpose of evolutions in virtualization areas:</w:t>
      </w:r>
    </w:p>
    <w:p w14:paraId="7082301F" w14:textId="77777777" w:rsidR="00A36EA6" w:rsidRPr="00A36EA6" w:rsidRDefault="00A36EA6" w:rsidP="00124439">
      <w:pPr>
        <w:numPr>
          <w:ilvl w:val="0"/>
          <w:numId w:val="69"/>
        </w:numPr>
        <w:contextualSpacing/>
        <w:jc w:val="both"/>
        <w:rPr>
          <w:rFonts w:ascii="Arial" w:hAnsi="Arial" w:cs="Arial"/>
        </w:rPr>
      </w:pPr>
      <w:r w:rsidRPr="00A36EA6">
        <w:rPr>
          <w:rFonts w:ascii="Arial" w:hAnsi="Arial" w:cs="Arial"/>
        </w:rPr>
        <w:t>secured “hyperware”: Operating Systems, binding with Hardware platforms, Hypervisors and containers</w:t>
      </w:r>
    </w:p>
    <w:p w14:paraId="4D7D0E32" w14:textId="77777777" w:rsidR="00A36EA6" w:rsidRPr="00A36EA6" w:rsidRDefault="00A36EA6" w:rsidP="00124439">
      <w:pPr>
        <w:numPr>
          <w:ilvl w:val="0"/>
          <w:numId w:val="69"/>
        </w:numPr>
        <w:contextualSpacing/>
        <w:jc w:val="both"/>
        <w:rPr>
          <w:rFonts w:ascii="Arial" w:hAnsi="Arial" w:cs="Arial"/>
        </w:rPr>
      </w:pPr>
      <w:r w:rsidRPr="00A36EA6">
        <w:rPr>
          <w:rFonts w:ascii="Arial" w:hAnsi="Arial" w:cs="Arial"/>
        </w:rPr>
        <w:t>virtualization of the security functions for various platforms from objects, terminals towards cloud servers. This includes a large diversity of functions from classical firewalls, towards Early Detection &amp; Response systems (EDR) with potentially sophisticated smart protection and detection inside. Nevertheless, some hardware-based Trusted Elements may still be necessary to manage the root of trust and the secret elements through the systems.</w:t>
      </w:r>
    </w:p>
    <w:p w14:paraId="51967499" w14:textId="77777777" w:rsidR="00A36EA6" w:rsidRPr="00A36EA6" w:rsidRDefault="00A36EA6" w:rsidP="00124439">
      <w:pPr>
        <w:numPr>
          <w:ilvl w:val="0"/>
          <w:numId w:val="69"/>
        </w:numPr>
        <w:contextualSpacing/>
        <w:jc w:val="both"/>
        <w:rPr>
          <w:rFonts w:ascii="Arial" w:hAnsi="Arial" w:cs="Arial"/>
        </w:rPr>
      </w:pPr>
      <w:r w:rsidRPr="00A36EA6">
        <w:rPr>
          <w:rFonts w:ascii="Arial" w:hAnsi="Arial" w:cs="Arial"/>
        </w:rPr>
        <w:t>The virtualization belonging to the SNS vision, including various flavors of slicing is raising multiple issues in the security axis:  Confidentiality, Integrity and Availability. Identity and rights management on virtual perimeters, Isolation (data flows, activity confidentiality but also resource sharing), control and management workflows, horizontal and vertical interactions, liabilities,…</w:t>
      </w:r>
    </w:p>
    <w:p w14:paraId="1403E2A8" w14:textId="77777777" w:rsidR="00A36EA6" w:rsidRPr="00A36EA6" w:rsidRDefault="00A36EA6" w:rsidP="00A36EA6">
      <w:pPr>
        <w:ind w:left="1080"/>
        <w:contextualSpacing/>
        <w:jc w:val="both"/>
        <w:rPr>
          <w:rFonts w:ascii="Arial" w:hAnsi="Arial" w:cs="Arial"/>
        </w:rPr>
      </w:pPr>
    </w:p>
    <w:p w14:paraId="741B0F09" w14:textId="77777777" w:rsidR="00A36EA6" w:rsidRPr="00A36EA6" w:rsidRDefault="00A36EA6" w:rsidP="00DA6395">
      <w:pPr>
        <w:pStyle w:val="Heading4"/>
      </w:pPr>
      <w:r w:rsidRPr="00A36EA6">
        <w:t>Softwarization</w:t>
      </w:r>
    </w:p>
    <w:p w14:paraId="4D1CBB76" w14:textId="77777777" w:rsidR="00A36EA6" w:rsidRPr="00A36EA6" w:rsidRDefault="00A36EA6" w:rsidP="00A36EA6">
      <w:pPr>
        <w:jc w:val="both"/>
        <w:rPr>
          <w:rFonts w:ascii="Arial" w:hAnsi="Arial" w:cs="Arial"/>
        </w:rPr>
      </w:pPr>
      <w:r w:rsidRPr="00A36EA6">
        <w:rPr>
          <w:rFonts w:ascii="Arial" w:hAnsi="Arial" w:cs="Arial"/>
        </w:rPr>
        <w:t>falling into this type of disruption, one can consider orchestration and chaining at various levels (functions, services). Orchestration is intrinsically linked with dynamic composition of (micro)services which raise the need among others of:</w:t>
      </w:r>
    </w:p>
    <w:p w14:paraId="62508CFC" w14:textId="77777777" w:rsidR="00A36EA6" w:rsidRPr="00A36EA6" w:rsidRDefault="00A36EA6" w:rsidP="00124439">
      <w:pPr>
        <w:numPr>
          <w:ilvl w:val="0"/>
          <w:numId w:val="70"/>
        </w:numPr>
        <w:contextualSpacing/>
        <w:jc w:val="both"/>
        <w:rPr>
          <w:rFonts w:ascii="Arial" w:hAnsi="Arial" w:cs="Arial"/>
        </w:rPr>
      </w:pPr>
      <w:r w:rsidRPr="00A36EA6">
        <w:rPr>
          <w:rFonts w:ascii="Arial" w:hAnsi="Arial" w:cs="Arial"/>
        </w:rPr>
        <w:t>smart algorithms to compute policy-based compliant and optimized deployments of protection and detection functions. It should be noticed that this is adding even more complexity to already difficult multi-criteria QoS issues.</w:t>
      </w:r>
    </w:p>
    <w:p w14:paraId="473D87B2" w14:textId="77777777" w:rsidR="00A36EA6" w:rsidRPr="00A36EA6" w:rsidRDefault="00A36EA6" w:rsidP="00124439">
      <w:pPr>
        <w:numPr>
          <w:ilvl w:val="0"/>
          <w:numId w:val="70"/>
        </w:numPr>
        <w:contextualSpacing/>
        <w:jc w:val="both"/>
        <w:rPr>
          <w:rFonts w:ascii="Arial" w:hAnsi="Arial" w:cs="Arial"/>
        </w:rPr>
      </w:pPr>
      <w:r w:rsidRPr="00A36EA6">
        <w:rPr>
          <w:rFonts w:ascii="Arial" w:hAnsi="Arial" w:cs="Arial"/>
        </w:rPr>
        <w:t>potential disruptive security paradigm taking benefits of flexibility such as Deception or MTD.</w:t>
      </w:r>
    </w:p>
    <w:p w14:paraId="1E8BA3F0" w14:textId="77777777" w:rsidR="00A36EA6" w:rsidRPr="00A36EA6" w:rsidRDefault="00A36EA6" w:rsidP="00124439">
      <w:pPr>
        <w:numPr>
          <w:ilvl w:val="0"/>
          <w:numId w:val="70"/>
        </w:numPr>
        <w:contextualSpacing/>
        <w:jc w:val="both"/>
        <w:rPr>
          <w:rFonts w:ascii="Arial" w:hAnsi="Arial" w:cs="Arial"/>
        </w:rPr>
      </w:pPr>
      <w:r w:rsidRPr="00A36EA6">
        <w:rPr>
          <w:rFonts w:ascii="Arial" w:hAnsi="Arial" w:cs="Arial"/>
        </w:rPr>
        <w:t xml:space="preserve">Verification/continuous assessment of security conditions and conformity. </w:t>
      </w:r>
    </w:p>
    <w:p w14:paraId="6E1CF3B8" w14:textId="77777777" w:rsidR="00A36EA6" w:rsidRPr="00A36EA6" w:rsidRDefault="00A36EA6" w:rsidP="00124439">
      <w:pPr>
        <w:numPr>
          <w:ilvl w:val="0"/>
          <w:numId w:val="70"/>
        </w:numPr>
        <w:contextualSpacing/>
        <w:jc w:val="both"/>
        <w:rPr>
          <w:rFonts w:ascii="Arial" w:hAnsi="Arial" w:cs="Arial"/>
        </w:rPr>
      </w:pPr>
      <w:r w:rsidRPr="00A36EA6">
        <w:rPr>
          <w:rFonts w:ascii="Arial" w:hAnsi="Arial" w:cs="Arial"/>
        </w:rPr>
        <w:t>Secured workflows and authority as well as Software life cycle management.</w:t>
      </w:r>
    </w:p>
    <w:p w14:paraId="67BEC943" w14:textId="77777777" w:rsidR="00A36EA6" w:rsidRPr="00A36EA6" w:rsidRDefault="00A36EA6" w:rsidP="00A36EA6">
      <w:pPr>
        <w:ind w:left="1080"/>
        <w:contextualSpacing/>
        <w:jc w:val="both"/>
        <w:rPr>
          <w:rFonts w:ascii="Arial" w:hAnsi="Arial" w:cs="Arial"/>
        </w:rPr>
      </w:pPr>
    </w:p>
    <w:p w14:paraId="1D3BED14" w14:textId="77777777" w:rsidR="00A36EA6" w:rsidRPr="00A36EA6" w:rsidRDefault="00A36EA6" w:rsidP="00DA6395">
      <w:pPr>
        <w:pStyle w:val="Heading4"/>
      </w:pPr>
      <w:r w:rsidRPr="00A36EA6">
        <w:t>Cloudification</w:t>
      </w:r>
    </w:p>
    <w:p w14:paraId="1F02D4A9" w14:textId="77777777" w:rsidR="00A36EA6" w:rsidRPr="00A36EA6" w:rsidRDefault="00A36EA6" w:rsidP="00A36EA6">
      <w:pPr>
        <w:jc w:val="both"/>
        <w:rPr>
          <w:rFonts w:ascii="Arial" w:hAnsi="Arial" w:cs="Arial"/>
        </w:rPr>
      </w:pPr>
      <w:r w:rsidRPr="00A36EA6">
        <w:rPr>
          <w:rFonts w:ascii="Arial" w:hAnsi="Arial" w:cs="Arial"/>
        </w:rPr>
        <w:t>in order to reach the required scalability of security applications and align to the best Threat Intelligence updates (vulnerabilities, attacks) security should be as much as possible following the cloud “as a service”. This may still be considered as disruptive for some security functions which are intrusive in the systems.</w:t>
      </w:r>
    </w:p>
    <w:p w14:paraId="4AA51A4E" w14:textId="77777777" w:rsidR="00A36EA6" w:rsidRPr="00A36EA6" w:rsidRDefault="00A36EA6" w:rsidP="00A36EA6">
      <w:pPr>
        <w:ind w:left="360"/>
        <w:contextualSpacing/>
        <w:jc w:val="both"/>
        <w:rPr>
          <w:rFonts w:ascii="Arial" w:hAnsi="Arial" w:cs="Arial"/>
        </w:rPr>
      </w:pPr>
    </w:p>
    <w:p w14:paraId="3AEF040B" w14:textId="77777777" w:rsidR="00A36EA6" w:rsidRPr="00A36EA6" w:rsidRDefault="00A36EA6" w:rsidP="00DA6395">
      <w:pPr>
        <w:pStyle w:val="Heading4"/>
      </w:pPr>
      <w:r w:rsidRPr="00A36EA6">
        <w:t>Data-centric</w:t>
      </w:r>
    </w:p>
    <w:p w14:paraId="7E7AEE70" w14:textId="77777777" w:rsidR="00A36EA6" w:rsidRPr="00A36EA6" w:rsidRDefault="00A36EA6" w:rsidP="00A36EA6">
      <w:pPr>
        <w:jc w:val="both"/>
        <w:rPr>
          <w:rFonts w:ascii="Arial" w:hAnsi="Arial" w:cs="Arial"/>
        </w:rPr>
      </w:pPr>
      <w:r w:rsidRPr="00A36EA6">
        <w:rPr>
          <w:rFonts w:ascii="Arial" w:hAnsi="Arial" w:cs="Arial"/>
        </w:rPr>
        <w:t>As the entire Digital world, SNS will have massive usage of data and information retrieved from data. From its own data (monitoring, logs,…) to payload from data flows, usage and expectations are set very high but threats are almost proportional. Hence disruptive technologies preserving confidentiality and integrity while allowing some level of sharing are required:</w:t>
      </w:r>
    </w:p>
    <w:p w14:paraId="4D1A33BA"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Full Homomorphic encryption</w:t>
      </w:r>
    </w:p>
    <w:p w14:paraId="013F35EC"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Multiparty computation</w:t>
      </w:r>
    </w:p>
    <w:p w14:paraId="71045FEB"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lastRenderedPageBreak/>
        <w:t>Zero Knowledge Proof</w:t>
      </w:r>
    </w:p>
    <w:p w14:paraId="4FE0BB9F"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Control of fake/biased data, counter good/bad AI</w:t>
      </w:r>
    </w:p>
    <w:p w14:paraId="7B8AB4E0"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Anonymisation/pseudonymisation</w:t>
      </w:r>
    </w:p>
    <w:p w14:paraId="1349E7B8" w14:textId="77777777" w:rsidR="00A36EA6" w:rsidRPr="00A36EA6" w:rsidRDefault="00A36EA6" w:rsidP="00124439">
      <w:pPr>
        <w:numPr>
          <w:ilvl w:val="0"/>
          <w:numId w:val="71"/>
        </w:numPr>
        <w:contextualSpacing/>
        <w:jc w:val="both"/>
        <w:rPr>
          <w:rFonts w:ascii="Arial" w:hAnsi="Arial" w:cs="Arial"/>
        </w:rPr>
      </w:pPr>
      <w:r w:rsidRPr="00A36EA6">
        <w:rPr>
          <w:rFonts w:ascii="Arial" w:hAnsi="Arial" w:cs="Arial"/>
        </w:rPr>
        <w:t>…</w:t>
      </w:r>
    </w:p>
    <w:p w14:paraId="154B3884" w14:textId="77777777" w:rsidR="00A36EA6" w:rsidRPr="00A36EA6" w:rsidRDefault="00A36EA6" w:rsidP="00A36EA6">
      <w:pPr>
        <w:ind w:left="1080"/>
        <w:contextualSpacing/>
        <w:jc w:val="both"/>
        <w:rPr>
          <w:rFonts w:ascii="Arial" w:hAnsi="Arial" w:cs="Arial"/>
        </w:rPr>
      </w:pPr>
    </w:p>
    <w:p w14:paraId="01C3DC0D" w14:textId="77777777" w:rsidR="00A36EA6" w:rsidRPr="00A36EA6" w:rsidRDefault="00A36EA6" w:rsidP="00DA6395">
      <w:pPr>
        <w:pStyle w:val="Heading4"/>
      </w:pPr>
      <w:r w:rsidRPr="00A36EA6">
        <w:t>Quantum related technologies</w:t>
      </w:r>
    </w:p>
    <w:p w14:paraId="51DD85C2" w14:textId="77777777" w:rsidR="00A36EA6" w:rsidRPr="00A36EA6" w:rsidRDefault="00A36EA6" w:rsidP="00A36EA6">
      <w:pPr>
        <w:jc w:val="both"/>
        <w:rPr>
          <w:rFonts w:ascii="Arial" w:hAnsi="Arial" w:cs="Arial"/>
        </w:rPr>
      </w:pPr>
      <w:r w:rsidRPr="00A36EA6">
        <w:rPr>
          <w:rFonts w:ascii="Arial" w:hAnsi="Arial" w:cs="Arial"/>
        </w:rPr>
        <w:t>when it comes to security specifics, the first set of question will be linked to encryption, then on sensing information.</w:t>
      </w:r>
    </w:p>
    <w:p w14:paraId="3A6155AC" w14:textId="77777777" w:rsidR="00A36EA6" w:rsidRPr="00A36EA6" w:rsidRDefault="00A36EA6" w:rsidP="00124439">
      <w:pPr>
        <w:numPr>
          <w:ilvl w:val="0"/>
          <w:numId w:val="72"/>
        </w:numPr>
        <w:contextualSpacing/>
        <w:jc w:val="both"/>
        <w:rPr>
          <w:rFonts w:ascii="Arial" w:hAnsi="Arial" w:cs="Arial"/>
        </w:rPr>
      </w:pPr>
      <w:r w:rsidRPr="00A36EA6">
        <w:rPr>
          <w:rFonts w:ascii="Arial" w:hAnsi="Arial" w:cs="Arial"/>
        </w:rPr>
        <w:t>Post quantum encryption</w:t>
      </w:r>
    </w:p>
    <w:p w14:paraId="43206B12" w14:textId="77777777" w:rsidR="00A36EA6" w:rsidRPr="00A36EA6" w:rsidRDefault="00A36EA6" w:rsidP="00124439">
      <w:pPr>
        <w:numPr>
          <w:ilvl w:val="0"/>
          <w:numId w:val="72"/>
        </w:numPr>
        <w:contextualSpacing/>
        <w:jc w:val="both"/>
        <w:rPr>
          <w:rFonts w:ascii="Arial" w:hAnsi="Arial" w:cs="Arial"/>
        </w:rPr>
      </w:pPr>
      <w:r w:rsidRPr="00A36EA6">
        <w:rPr>
          <w:rFonts w:ascii="Arial" w:hAnsi="Arial" w:cs="Arial"/>
        </w:rPr>
        <w:t>Quantum Key Distribution (QKD)</w:t>
      </w:r>
    </w:p>
    <w:p w14:paraId="4DB8653C" w14:textId="77777777" w:rsidR="00A36EA6" w:rsidRPr="00A36EA6" w:rsidRDefault="00A36EA6" w:rsidP="00124439">
      <w:pPr>
        <w:numPr>
          <w:ilvl w:val="0"/>
          <w:numId w:val="72"/>
        </w:numPr>
        <w:contextualSpacing/>
        <w:jc w:val="both"/>
        <w:rPr>
          <w:rFonts w:ascii="Arial" w:hAnsi="Arial" w:cs="Arial"/>
          <w:lang w:val="fr-FR"/>
        </w:rPr>
      </w:pPr>
      <w:r w:rsidRPr="00A36EA6">
        <w:rPr>
          <w:rFonts w:ascii="Arial" w:hAnsi="Arial" w:cs="Arial"/>
          <w:lang w:val="fr-FR"/>
        </w:rPr>
        <w:t>True Quantum Communication Infrastructure (including Quantum crypto)</w:t>
      </w:r>
    </w:p>
    <w:p w14:paraId="36108484" w14:textId="77777777" w:rsidR="00A36EA6" w:rsidRPr="00A36EA6" w:rsidRDefault="00A36EA6" w:rsidP="00124439">
      <w:pPr>
        <w:numPr>
          <w:ilvl w:val="0"/>
          <w:numId w:val="72"/>
        </w:numPr>
        <w:contextualSpacing/>
        <w:jc w:val="both"/>
        <w:rPr>
          <w:rFonts w:ascii="Arial" w:hAnsi="Arial" w:cs="Arial"/>
          <w:lang w:val="en-US"/>
        </w:rPr>
      </w:pPr>
      <w:r w:rsidRPr="00A36EA6">
        <w:rPr>
          <w:rFonts w:ascii="Arial" w:hAnsi="Arial" w:cs="Arial"/>
          <w:lang w:val="en-US"/>
        </w:rPr>
        <w:t>Quantum Sensor/communication interfacing/fusion which may raise or on the contrary solve integrity issues. It should be noticed that in case of proliferation of (quantum) sensors and SNS providing the required hyper-connectivity, a large amount of private information will be potentially used for malicious purpose.</w:t>
      </w:r>
    </w:p>
    <w:p w14:paraId="32B88E00" w14:textId="77777777" w:rsidR="00A36EA6" w:rsidRPr="00A36EA6" w:rsidRDefault="00A36EA6" w:rsidP="00A36EA6">
      <w:pPr>
        <w:ind w:left="1080"/>
        <w:contextualSpacing/>
        <w:jc w:val="both"/>
        <w:rPr>
          <w:rFonts w:ascii="Arial" w:hAnsi="Arial" w:cs="Arial"/>
          <w:lang w:val="en-US"/>
        </w:rPr>
      </w:pPr>
    </w:p>
    <w:p w14:paraId="6D2C6BDE" w14:textId="77777777" w:rsidR="00A36EA6" w:rsidRPr="00A36EA6" w:rsidRDefault="00A36EA6" w:rsidP="00DA6395">
      <w:pPr>
        <w:pStyle w:val="Heading4"/>
        <w:rPr>
          <w:lang w:val="en-US"/>
        </w:rPr>
      </w:pPr>
      <w:r w:rsidRPr="00A36EA6">
        <w:rPr>
          <w:lang w:val="en-US"/>
        </w:rPr>
        <w:t>Distributed Ledgers Technologies (DLT)</w:t>
      </w:r>
    </w:p>
    <w:p w14:paraId="5C3303A1" w14:textId="77777777" w:rsidR="00A36EA6" w:rsidRPr="00A36EA6" w:rsidRDefault="00A36EA6" w:rsidP="00A36EA6">
      <w:pPr>
        <w:jc w:val="both"/>
        <w:rPr>
          <w:rFonts w:ascii="Arial" w:hAnsi="Arial" w:cs="Arial"/>
          <w:lang w:val="en-US"/>
        </w:rPr>
      </w:pPr>
      <w:r w:rsidRPr="00A36EA6">
        <w:rPr>
          <w:rFonts w:ascii="Arial" w:hAnsi="Arial" w:cs="Arial"/>
          <w:lang w:val="en-US"/>
        </w:rPr>
        <w:t>Made famous with the blockchain and crypto-currencies, DLT have particularly interesting properties for distributed systems without “a priori trust”. When DLT will bring value to SNS, most of the time, it will be by its security capabilities. Secured exchanges were following in the past the dominant exchange pattern (client/server), DLT has potentials to participate to security transformation with better fit, in particular with the (re-) distribution at the edge.</w:t>
      </w:r>
    </w:p>
    <w:p w14:paraId="2C1F2B8E" w14:textId="77777777" w:rsidR="00A36EA6" w:rsidRPr="00A36EA6" w:rsidRDefault="00A36EA6" w:rsidP="00A36EA6">
      <w:pPr>
        <w:ind w:left="360"/>
        <w:contextualSpacing/>
        <w:jc w:val="both"/>
        <w:rPr>
          <w:rFonts w:ascii="Arial" w:hAnsi="Arial" w:cs="Arial"/>
          <w:lang w:val="en-US"/>
        </w:rPr>
      </w:pPr>
    </w:p>
    <w:p w14:paraId="42D6A7EC" w14:textId="77777777" w:rsidR="00A36EA6" w:rsidRPr="00A36EA6" w:rsidRDefault="00A36EA6" w:rsidP="00DA6395">
      <w:pPr>
        <w:pStyle w:val="Heading4"/>
        <w:rPr>
          <w:lang w:val="en-US"/>
        </w:rPr>
      </w:pPr>
      <w:r w:rsidRPr="00A36EA6">
        <w:rPr>
          <w:lang w:val="en-US"/>
        </w:rPr>
        <w:t>Artificial Intelligence (AI)</w:t>
      </w:r>
    </w:p>
    <w:p w14:paraId="3FF4F18F" w14:textId="77777777" w:rsidR="00A36EA6" w:rsidRPr="00A36EA6" w:rsidRDefault="00A36EA6" w:rsidP="00A36EA6">
      <w:pPr>
        <w:jc w:val="both"/>
        <w:rPr>
          <w:rFonts w:ascii="Arial" w:hAnsi="Arial" w:cs="Arial"/>
          <w:lang w:val="en-US"/>
        </w:rPr>
      </w:pPr>
      <w:r w:rsidRPr="00A36EA6">
        <w:rPr>
          <w:rFonts w:ascii="Arial" w:hAnsi="Arial" w:cs="Arial"/>
          <w:lang w:val="en-US"/>
        </w:rPr>
        <w:t>the age of Artificial Intelligence is impacting security of digital infrastructure as plenty of other sectors. From rule-based, statistical learning towards Contextual reasoning, AI is the purpose of many applications in security such as attack detection (pattern matching or anomaly detection) or mitigation of wireless jamming attacks. Nevertheless, the dependency on trustable, unbiased training material or Explainable AI issues should be solved before allowing AI to control autonomous systems which may cause dramatic damages.</w:t>
      </w:r>
    </w:p>
    <w:p w14:paraId="32E3D936" w14:textId="77777777" w:rsidR="00A36EA6" w:rsidRPr="00A36EA6" w:rsidRDefault="00A36EA6" w:rsidP="00A36EA6">
      <w:pPr>
        <w:jc w:val="both"/>
        <w:rPr>
          <w:rFonts w:ascii="Arial" w:hAnsi="Arial" w:cs="Arial"/>
          <w:lang w:val="en-US"/>
        </w:rPr>
      </w:pPr>
    </w:p>
    <w:p w14:paraId="6A10B36C" w14:textId="77777777" w:rsidR="00A36EA6" w:rsidRPr="00A36EA6" w:rsidRDefault="00A36EA6" w:rsidP="00DA6395">
      <w:pPr>
        <w:pStyle w:val="Heading3"/>
      </w:pPr>
      <w:bookmarkStart w:id="272" w:name="_Toc40487361"/>
      <w:bookmarkStart w:id="273" w:name="_Toc42177298"/>
      <w:r w:rsidRPr="00A36EA6">
        <w:t>Change in Security grade expectation</w:t>
      </w:r>
      <w:bookmarkEnd w:id="272"/>
      <w:bookmarkEnd w:id="273"/>
    </w:p>
    <w:p w14:paraId="1DC02907" w14:textId="77777777" w:rsidR="00A36EA6" w:rsidRPr="00A36EA6" w:rsidRDefault="00A36EA6" w:rsidP="00A36EA6">
      <w:pPr>
        <w:jc w:val="both"/>
        <w:rPr>
          <w:rFonts w:ascii="Arial" w:hAnsi="Arial" w:cs="Arial"/>
        </w:rPr>
      </w:pPr>
      <w:r w:rsidRPr="00A36EA6">
        <w:rPr>
          <w:rFonts w:ascii="Arial" w:hAnsi="Arial" w:cs="Arial"/>
        </w:rPr>
        <w:t xml:space="preserve">Time is over for solutions not considering security &amp; resilience. Application to critical sectors, strategic economy, risk awareness, autonomy and capabilities to respond to a large diversity of attacks and attackers require both security upgrade (up to high grade) and adaptation to heterogeneous needs and expectations. </w:t>
      </w:r>
    </w:p>
    <w:p w14:paraId="6FF2AF82" w14:textId="77777777" w:rsidR="00A36EA6" w:rsidRPr="00A36EA6" w:rsidRDefault="00A36EA6" w:rsidP="00DA6395">
      <w:pPr>
        <w:pStyle w:val="Heading4"/>
      </w:pPr>
      <w:r w:rsidRPr="00A36EA6">
        <w:t>Security grade awareness</w:t>
      </w:r>
    </w:p>
    <w:p w14:paraId="6569B7A4" w14:textId="53A8794D" w:rsidR="00A36EA6" w:rsidRPr="00A36EA6" w:rsidRDefault="00A36EA6" w:rsidP="005F6376">
      <w:pPr>
        <w:jc w:val="both"/>
        <w:rPr>
          <w:rFonts w:ascii="Arial" w:hAnsi="Arial" w:cs="Arial"/>
        </w:rPr>
      </w:pPr>
      <w:r w:rsidRPr="00A36EA6">
        <w:rPr>
          <w:rFonts w:ascii="Arial" w:hAnsi="Arial" w:cs="Arial"/>
        </w:rPr>
        <w:t xml:space="preserve">During the first ages of ICT, security was aften forgotten or considered costly and painful. Nowadays, those who were agnostic are much more aware of the risks and the build of trust requires simple and understandable exposure of grade of security associated to systems and services. Certification is a cornerstone in this landscape and have been already properly identified for the current development and usage of 5G [C8-4]. Beyond this initial effort, the road towards full trust is requiring research and innovation in process, methodologies, technologies in order to determine security attributes for complex systems and services. </w:t>
      </w:r>
    </w:p>
    <w:p w14:paraId="23B6F8D4" w14:textId="77777777" w:rsidR="00A36EA6" w:rsidRPr="00A36EA6" w:rsidRDefault="00A36EA6" w:rsidP="00DA6395">
      <w:pPr>
        <w:pStyle w:val="Heading4"/>
      </w:pPr>
      <w:r w:rsidRPr="00A36EA6">
        <w:lastRenderedPageBreak/>
        <w:t>Service differentiation</w:t>
      </w:r>
    </w:p>
    <w:p w14:paraId="3F199DF1" w14:textId="67992767" w:rsidR="00A36EA6" w:rsidRPr="00A36EA6" w:rsidRDefault="00A36EA6" w:rsidP="005F6376">
      <w:pPr>
        <w:jc w:val="both"/>
        <w:rPr>
          <w:rFonts w:ascii="Arial" w:hAnsi="Arial" w:cs="Arial"/>
        </w:rPr>
      </w:pPr>
      <w:r w:rsidRPr="00A36EA6">
        <w:rPr>
          <w:rFonts w:ascii="Arial" w:hAnsi="Arial" w:cs="Arial"/>
        </w:rPr>
        <w:t>As for QoS metrics or other attributes of the services, security and resilience profiles will have to match a wide diversity of needs. From basic protection to high grade requirements, SNS will need to adapt and satisfy very different demands. Not all usages mandates 1+1 protection or Traffic Flow Confidentiality (in the sense of making activity detection impossible by means of constant traffic), beside prohibitive costs there is no need for that. One size fits all cannot answer the question. Thus, defining concepts of Quality of Security (QoSec) and/or Security Service Level Agreement (SSLA) is a direction to be developed for the sake of matching diversity of demands and usages.</w:t>
      </w:r>
    </w:p>
    <w:p w14:paraId="54CCFA18" w14:textId="77777777" w:rsidR="00A36EA6" w:rsidRPr="00A36EA6" w:rsidRDefault="00A36EA6" w:rsidP="00DA6395">
      <w:pPr>
        <w:pStyle w:val="Heading4"/>
      </w:pPr>
      <w:r w:rsidRPr="00A36EA6">
        <w:t>Autonomy &amp; Sovereignty</w:t>
      </w:r>
    </w:p>
    <w:p w14:paraId="5394F093" w14:textId="62E063F4" w:rsidR="00A36EA6" w:rsidRPr="00A36EA6" w:rsidRDefault="00A36EA6" w:rsidP="005F6376">
      <w:pPr>
        <w:jc w:val="both"/>
        <w:rPr>
          <w:rFonts w:ascii="Arial" w:hAnsi="Arial" w:cs="Arial"/>
        </w:rPr>
      </w:pPr>
      <w:r w:rsidRPr="00A36EA6">
        <w:rPr>
          <w:rFonts w:ascii="Arial" w:hAnsi="Arial" w:cs="Arial"/>
        </w:rPr>
        <w:t>Sustainability of many sectors, including critical ones shall as much as possible avoid dependency on any third-party able to prevent security measures application. In addition to certification programs and from security research point of view, it drives into diverse topics including, safe code, supply chain traceability, secured control &amp; management planes, forensic, Advanced Persistent Treat detections, Cyber Threat Intelligence sharing, …</w:t>
      </w:r>
    </w:p>
    <w:p w14:paraId="13DE0C86" w14:textId="77777777" w:rsidR="00A36EA6" w:rsidRPr="00A36EA6" w:rsidRDefault="00A36EA6" w:rsidP="00DA6395">
      <w:pPr>
        <w:pStyle w:val="Heading4"/>
      </w:pPr>
      <w:r w:rsidRPr="00A36EA6">
        <w:t>Regulations</w:t>
      </w:r>
    </w:p>
    <w:p w14:paraId="48933158" w14:textId="77777777" w:rsidR="00A36EA6" w:rsidRPr="00A36EA6" w:rsidRDefault="00A36EA6" w:rsidP="00A36EA6">
      <w:pPr>
        <w:jc w:val="both"/>
        <w:rPr>
          <w:rFonts w:ascii="Arial" w:hAnsi="Arial" w:cs="Arial"/>
        </w:rPr>
      </w:pPr>
      <w:r w:rsidRPr="00A36EA6">
        <w:rPr>
          <w:rFonts w:ascii="Arial" w:hAnsi="Arial" w:cs="Arial"/>
        </w:rPr>
        <w:t>SNS architecture &amp; technologies, as began with 5G will be at the crossroad of the ICT industry and the vertical sectors specific security (and safety) frameworks. Mutualized usage of a common infrastructure or components, or algorithms will then have to be complaint with various regulations (thousands of standards worldwide). As formal proof is fortunately not mandatory everywhere and similar to the advocacy for service differentiation, security transformation will have to take into account polymorphic adaptation to the regulation frameworks.</w:t>
      </w:r>
    </w:p>
    <w:p w14:paraId="51D8CD71" w14:textId="77777777" w:rsidR="00A36EA6" w:rsidRPr="00A36EA6" w:rsidRDefault="00A36EA6" w:rsidP="00A36EA6">
      <w:pPr>
        <w:rPr>
          <w:rFonts w:ascii="Arial" w:hAnsi="Arial" w:cs="Arial"/>
        </w:rPr>
      </w:pPr>
    </w:p>
    <w:p w14:paraId="054E450A" w14:textId="77777777" w:rsidR="00A36EA6" w:rsidRPr="00A36EA6" w:rsidRDefault="00A36EA6" w:rsidP="00DA6395">
      <w:pPr>
        <w:pStyle w:val="Heading3"/>
      </w:pPr>
      <w:bookmarkStart w:id="274" w:name="_Toc40487362"/>
      <w:bookmarkStart w:id="275" w:name="_Toc42177299"/>
      <w:r w:rsidRPr="00A36EA6">
        <w:t>Change in scope</w:t>
      </w:r>
      <w:bookmarkEnd w:id="274"/>
      <w:bookmarkEnd w:id="275"/>
    </w:p>
    <w:p w14:paraId="26BB5412" w14:textId="77777777" w:rsidR="00A36EA6" w:rsidRPr="00A36EA6" w:rsidRDefault="00A36EA6" w:rsidP="00A36EA6">
      <w:pPr>
        <w:jc w:val="both"/>
        <w:rPr>
          <w:rFonts w:ascii="Arial" w:hAnsi="Arial" w:cs="Arial"/>
        </w:rPr>
      </w:pPr>
      <w:r w:rsidRPr="00A36EA6">
        <w:rPr>
          <w:rFonts w:ascii="Arial" w:hAnsi="Arial" w:cs="Arial"/>
        </w:rPr>
        <w:t>The last set of rationales leading to the need of security transformation for SNS, is the scope of the architectures and game changing among stakeholders</w:t>
      </w:r>
    </w:p>
    <w:p w14:paraId="7B94FC4B" w14:textId="77777777" w:rsidR="00A36EA6" w:rsidRPr="00A36EA6" w:rsidRDefault="00A36EA6" w:rsidP="00DA6395">
      <w:pPr>
        <w:pStyle w:val="Heading4"/>
      </w:pPr>
      <w:r w:rsidRPr="00A36EA6">
        <w:t>Security perimeters</w:t>
      </w:r>
    </w:p>
    <w:p w14:paraId="169E2B7D" w14:textId="4ED8C2D4" w:rsidR="00A36EA6" w:rsidRPr="00A36EA6" w:rsidRDefault="00A36EA6" w:rsidP="005F6376">
      <w:pPr>
        <w:jc w:val="both"/>
        <w:rPr>
          <w:rFonts w:ascii="Arial" w:hAnsi="Arial" w:cs="Arial"/>
        </w:rPr>
      </w:pPr>
      <w:r w:rsidRPr="00A36EA6">
        <w:rPr>
          <w:rFonts w:ascii="Arial" w:hAnsi="Arial" w:cs="Arial"/>
        </w:rPr>
        <w:t>with both the (relevant) extend to digital infrastructure encompassing networks, IoT and cloud and the convergence with services and applications, distribution of authority, liability perimeters are impacted and foster much more interoperability and global vision than before. Security is the result of the composition of all segments and none of those segments can discard their involvements in the big picture. This will for instance be obvious for collaborative detection or response to incident or even investigation for identification of attackers.</w:t>
      </w:r>
    </w:p>
    <w:p w14:paraId="4CF71EE5" w14:textId="77777777" w:rsidR="00A36EA6" w:rsidRPr="00A36EA6" w:rsidRDefault="00A36EA6" w:rsidP="00DA6395">
      <w:pPr>
        <w:pStyle w:val="Heading4"/>
      </w:pPr>
      <w:r w:rsidRPr="00A36EA6">
        <w:t>New stakeholders’ game</w:t>
      </w:r>
    </w:p>
    <w:p w14:paraId="3F6911C8" w14:textId="77777777" w:rsidR="00A36EA6" w:rsidRPr="00A36EA6" w:rsidRDefault="00A36EA6" w:rsidP="00A36EA6">
      <w:pPr>
        <w:jc w:val="both"/>
        <w:rPr>
          <w:rFonts w:ascii="Arial" w:hAnsi="Arial" w:cs="Arial"/>
        </w:rPr>
      </w:pPr>
      <w:r w:rsidRPr="00A36EA6">
        <w:rPr>
          <w:rFonts w:ascii="Arial" w:hAnsi="Arial" w:cs="Arial"/>
        </w:rPr>
        <w:t xml:space="preserve">Multiple-providers End-to-End from physical infrastructure to applications will be I charge of protecting users data, enable lawful interception, ensure continuity of services, etc… Distribution of roles between manufacturers, tenants, virtual providers, managed security providers, service provider of all kinds is the purpose of evolution. Despite uncertainty of this evolution and from technical point of view, global semantic of security will impose those actors define ways to exchange and cooperate against threats. Another side of the stakeholder picture is the hackers, on the one hand they are relying on structured, powerful criminal organization using sophisticated technologies (even supported by some states), on the other hand ethical actors and their role in developing bug bounties for instance is of prime importance to consider in scope for maintenance of secured networks and services. </w:t>
      </w:r>
    </w:p>
    <w:p w14:paraId="3CDBF049" w14:textId="77777777" w:rsidR="00A36EA6" w:rsidRPr="00A36EA6" w:rsidRDefault="00A36EA6" w:rsidP="00A36EA6">
      <w:pPr>
        <w:rPr>
          <w:rFonts w:ascii="Arial" w:hAnsi="Arial" w:cs="Arial"/>
        </w:rPr>
      </w:pPr>
    </w:p>
    <w:p w14:paraId="69717394" w14:textId="75C3A71F" w:rsidR="005F6376" w:rsidRDefault="00A36EA6" w:rsidP="00124439">
      <w:pPr>
        <w:keepNext/>
        <w:keepLines/>
        <w:numPr>
          <w:ilvl w:val="1"/>
          <w:numId w:val="9"/>
        </w:numPr>
        <w:tabs>
          <w:tab w:val="num" w:pos="360"/>
        </w:tabs>
        <w:spacing w:after="120" w:line="240" w:lineRule="auto"/>
        <w:ind w:left="578" w:hanging="578"/>
        <w:jc w:val="both"/>
        <w:outlineLvl w:val="1"/>
        <w:rPr>
          <w:rFonts w:ascii="Arial" w:eastAsiaTheme="majorEastAsia" w:hAnsi="Arial" w:cs="Arial"/>
          <w:b/>
          <w:color w:val="000000" w:themeColor="text1"/>
          <w:sz w:val="26"/>
          <w:szCs w:val="26"/>
          <w:lang w:eastAsia="de-DE"/>
        </w:rPr>
      </w:pPr>
      <w:bookmarkStart w:id="276" w:name="_Toc525463846"/>
      <w:bookmarkStart w:id="277" w:name="_Toc39480833"/>
      <w:bookmarkStart w:id="278" w:name="_Toc40487363"/>
      <w:bookmarkStart w:id="279" w:name="_Toc42177300"/>
      <w:r w:rsidRPr="00A36EA6">
        <w:rPr>
          <w:rFonts w:ascii="Arial" w:eastAsiaTheme="majorEastAsia" w:hAnsi="Arial" w:cs="Arial"/>
          <w:b/>
          <w:color w:val="000000" w:themeColor="text1"/>
          <w:sz w:val="26"/>
          <w:szCs w:val="26"/>
          <w:lang w:eastAsia="de-DE"/>
        </w:rPr>
        <w:lastRenderedPageBreak/>
        <w:t>System-wide Security</w:t>
      </w:r>
      <w:bookmarkEnd w:id="276"/>
      <w:r w:rsidRPr="00A36EA6">
        <w:rPr>
          <w:rFonts w:ascii="Arial" w:eastAsiaTheme="majorEastAsia" w:hAnsi="Arial" w:cs="Arial"/>
          <w:b/>
          <w:color w:val="000000" w:themeColor="text1"/>
          <w:sz w:val="26"/>
          <w:szCs w:val="26"/>
          <w:lang w:eastAsia="de-DE"/>
        </w:rPr>
        <w:t xml:space="preserve"> </w:t>
      </w:r>
      <w:bookmarkEnd w:id="277"/>
      <w:bookmarkEnd w:id="278"/>
      <w:r w:rsidRPr="00A36EA6">
        <w:rPr>
          <w:rFonts w:ascii="Arial" w:eastAsiaTheme="majorEastAsia" w:hAnsi="Arial" w:cs="Arial"/>
          <w:b/>
          <w:color w:val="000000" w:themeColor="text1"/>
          <w:sz w:val="26"/>
          <w:szCs w:val="26"/>
          <w:lang w:eastAsia="de-DE"/>
        </w:rPr>
        <w:t>challenges</w:t>
      </w:r>
      <w:bookmarkEnd w:id="279"/>
    </w:p>
    <w:p w14:paraId="6DEF52DC" w14:textId="77777777" w:rsidR="005F6376" w:rsidRPr="005F6376" w:rsidRDefault="005F6376" w:rsidP="005F6376">
      <w:pPr>
        <w:keepNext/>
        <w:keepLines/>
        <w:spacing w:after="120" w:line="240" w:lineRule="auto"/>
        <w:jc w:val="both"/>
        <w:outlineLvl w:val="1"/>
        <w:rPr>
          <w:rFonts w:ascii="Arial" w:eastAsiaTheme="majorEastAsia" w:hAnsi="Arial" w:cs="Arial"/>
          <w:b/>
          <w:color w:val="000000" w:themeColor="text1"/>
          <w:sz w:val="26"/>
          <w:szCs w:val="26"/>
          <w:lang w:eastAsia="de-DE"/>
        </w:rPr>
      </w:pPr>
    </w:p>
    <w:p w14:paraId="331BF2C9"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This section will first draw security challenges sorted along security phases, some of them being already implicitly addressed in the transformation discussion of the previous section. Then more focused areas will be depicted in relation with the specific architecture directions proposed in the framework of SNS.</w:t>
      </w:r>
    </w:p>
    <w:p w14:paraId="523DD7EB" w14:textId="77777777" w:rsidR="00A36EA6" w:rsidRPr="00A36EA6" w:rsidRDefault="00A36EA6" w:rsidP="00A36EA6">
      <w:pPr>
        <w:jc w:val="both"/>
        <w:rPr>
          <w:rFonts w:ascii="Arial" w:hAnsi="Arial" w:cs="Arial"/>
          <w:lang w:val="en-US" w:eastAsia="de-DE"/>
        </w:rPr>
      </w:pPr>
    </w:p>
    <w:p w14:paraId="2991367A" w14:textId="77777777" w:rsidR="00A36EA6" w:rsidRPr="00A36EA6" w:rsidRDefault="00A36EA6" w:rsidP="00DA6395">
      <w:pPr>
        <w:pStyle w:val="Heading3"/>
        <w:rPr>
          <w:lang w:val="en-US" w:eastAsia="de-DE"/>
        </w:rPr>
      </w:pPr>
      <w:bookmarkStart w:id="280" w:name="_Toc42177301"/>
      <w:r w:rsidRPr="00A36EA6">
        <w:rPr>
          <w:lang w:val="en-US" w:eastAsia="de-DE"/>
        </w:rPr>
        <w:t>Further Security challenges in phases</w:t>
      </w:r>
      <w:bookmarkEnd w:id="280"/>
    </w:p>
    <w:p w14:paraId="42E3B392" w14:textId="77777777" w:rsidR="00A36EA6" w:rsidRPr="00A36EA6" w:rsidRDefault="00A36EA6" w:rsidP="00A36EA6">
      <w:pPr>
        <w:rPr>
          <w:lang w:val="en-US" w:eastAsia="de-DE"/>
        </w:rPr>
      </w:pPr>
    </w:p>
    <w:p w14:paraId="346CCC4B" w14:textId="77777777" w:rsidR="00A36EA6" w:rsidRPr="00A36EA6" w:rsidRDefault="00A36EA6" w:rsidP="00DA6395">
      <w:pPr>
        <w:pStyle w:val="Heading4"/>
        <w:rPr>
          <w:lang w:val="en-US" w:eastAsia="de-DE"/>
        </w:rPr>
      </w:pPr>
      <w:r w:rsidRPr="00A36EA6">
        <w:rPr>
          <w:lang w:val="en-US" w:eastAsia="de-DE"/>
        </w:rPr>
        <w:t>Identify</w:t>
      </w:r>
    </w:p>
    <w:p w14:paraId="36766256" w14:textId="2780408B" w:rsidR="00A36EA6" w:rsidRPr="00A36EA6" w:rsidRDefault="00A36EA6" w:rsidP="005F6376">
      <w:pPr>
        <w:jc w:val="both"/>
        <w:rPr>
          <w:rFonts w:ascii="Arial" w:hAnsi="Arial" w:cs="Arial"/>
          <w:lang w:val="en-US" w:eastAsia="de-DE"/>
        </w:rPr>
      </w:pPr>
      <w:r w:rsidRPr="00A36EA6">
        <w:rPr>
          <w:rFonts w:ascii="Arial" w:hAnsi="Arial" w:cs="Arial"/>
          <w:lang w:val="en-US" w:eastAsia="de-DE"/>
        </w:rPr>
        <w:t>The recent trend in network attacks has demonstrated that the network as a whole is both a target and a vector of attacks. The Mirai botnet has demonstrated the capability to knock out even large organizations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 In addition to topics already mentioned in other sections, it is worth to mention some specific challenges to AI usage in this phase.  The first one is related to cyber ranges, where AI should help to model systems and services as well as attack/response schemes in order to train SNS actors to relevant strategies for SNS protection. The second is also massive usage of Ai in testing, evaluation and certification methods and tools together with Digital Twins. Another important one, is the Cyber Threat Intelligence (CTI) area based on Opensource Intelligence OSINT and Dark Web crawling allowing to predict signs of malicious activities.</w:t>
      </w:r>
    </w:p>
    <w:p w14:paraId="76A7592D" w14:textId="77777777" w:rsidR="00A36EA6" w:rsidRPr="00A36EA6" w:rsidRDefault="00A36EA6" w:rsidP="00DA6395">
      <w:pPr>
        <w:pStyle w:val="Heading4"/>
        <w:rPr>
          <w:lang w:val="en-US" w:eastAsia="de-DE"/>
        </w:rPr>
      </w:pPr>
      <w:r w:rsidRPr="00A36EA6">
        <w:rPr>
          <w:lang w:val="en-US" w:eastAsia="de-DE"/>
        </w:rPr>
        <w:t>Protect</w:t>
      </w:r>
    </w:p>
    <w:p w14:paraId="0D150EAF"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Here, specific challenges are related to the protection of the systems and Services at various dimensions, from components to systems and services including processes and organization of the providers.</w:t>
      </w:r>
      <w:r w:rsidRPr="00A36EA6">
        <w:rPr>
          <w:rFonts w:ascii="Arial" w:hAnsi="Arial" w:cs="Arial"/>
        </w:rPr>
        <w:t xml:space="preserve"> </w:t>
      </w:r>
      <w:r w:rsidRPr="00A36EA6">
        <w:rPr>
          <w:rFonts w:ascii="Arial" w:hAnsi="Arial" w:cs="Arial"/>
          <w:lang w:val="en-US" w:eastAsia="de-DE"/>
        </w:rPr>
        <w:t>Therefore, the first challenge of next generation networks is to include protection and resilience by default, deeply rooted in their architectures, so that attacks become harder to carry out, less effective impact-wise, easier to attribute. This requires that trust anchors are put in place and resilient configuration patterns deployed, so that networks or virtualized network overlays can resist attacks, and that it becomes impossible for attackers to abuse the network to inject malicious management traffic.</w:t>
      </w:r>
    </w:p>
    <w:p w14:paraId="7BE10272" w14:textId="77777777" w:rsidR="00A36EA6" w:rsidRPr="00A36EA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 xml:space="preserve">Physical layers: </w:t>
      </w:r>
      <w:r w:rsidRPr="00A36EA6">
        <w:rPr>
          <w:rFonts w:ascii="Arial" w:hAnsi="Arial" w:cs="Arial"/>
          <w:lang w:val="en-US" w:eastAsia="de-DE"/>
        </w:rPr>
        <w:t>protection against eavesdropping (IMSI-catchers,…) and jamming are two areas of renewed challenges</w:t>
      </w:r>
    </w:p>
    <w:p w14:paraId="0227DC6F" w14:textId="77777777" w:rsidR="00A36EA6" w:rsidRPr="00A36EA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Data Confidentiality:</w:t>
      </w:r>
      <w:r w:rsidRPr="00A36EA6">
        <w:rPr>
          <w:rFonts w:ascii="Arial" w:hAnsi="Arial" w:cs="Arial"/>
          <w:lang w:val="en-US" w:eastAsia="de-DE"/>
        </w:rPr>
        <w:t xml:space="preserve"> including control, monitoring, management data handled by the systems. Although, issues related to Lawful Interception remain in the scope of SNS and may be antagonist to the measures for data confidentiality.</w:t>
      </w:r>
    </w:p>
    <w:p w14:paraId="4E403C1B" w14:textId="77777777" w:rsidR="00A36EA6" w:rsidRPr="00A36EA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Identity and Access</w:t>
      </w:r>
      <w:r w:rsidRPr="00A36EA6">
        <w:rPr>
          <w:rFonts w:ascii="Arial" w:hAnsi="Arial" w:cs="Arial"/>
          <w:lang w:val="en-US" w:eastAsia="de-DE"/>
        </w:rPr>
        <w:t>: challenges related to the transitivity of rights across domains and services. Including performances issues raised by high speed mobility.</w:t>
      </w:r>
    </w:p>
    <w:p w14:paraId="114EB0FB" w14:textId="77777777" w:rsidR="00A36EA6" w:rsidRPr="00A36EA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Smart orchestration</w:t>
      </w:r>
      <w:r w:rsidRPr="00A36EA6">
        <w:rPr>
          <w:rFonts w:ascii="Arial" w:hAnsi="Arial" w:cs="Arial"/>
          <w:lang w:val="en-US" w:eastAsia="de-DE"/>
        </w:rPr>
        <w:t>: challenges related to the smart time and space distribution of security functions across the systems and means to ensure compliance with security policies.</w:t>
      </w:r>
    </w:p>
    <w:p w14:paraId="7198557D" w14:textId="4DFDB8A8" w:rsidR="00A36EA6" w:rsidRPr="005F6376" w:rsidRDefault="00A36EA6" w:rsidP="00124439">
      <w:pPr>
        <w:numPr>
          <w:ilvl w:val="0"/>
          <w:numId w:val="73"/>
        </w:numPr>
        <w:contextualSpacing/>
        <w:jc w:val="both"/>
        <w:rPr>
          <w:rFonts w:ascii="Arial" w:hAnsi="Arial" w:cs="Arial"/>
          <w:lang w:val="en-US" w:eastAsia="de-DE"/>
        </w:rPr>
      </w:pPr>
      <w:r w:rsidRPr="00A36EA6">
        <w:rPr>
          <w:rFonts w:ascii="Arial" w:hAnsi="Arial" w:cs="Arial"/>
          <w:b/>
          <w:bCs/>
          <w:lang w:val="en-US" w:eastAsia="de-DE"/>
        </w:rPr>
        <w:t>Security strategies</w:t>
      </w:r>
      <w:r w:rsidRPr="00A36EA6">
        <w:rPr>
          <w:rFonts w:ascii="Arial" w:hAnsi="Arial" w:cs="Arial"/>
          <w:lang w:val="en-US" w:eastAsia="de-DE"/>
        </w:rPr>
        <w:t>: Risk assessment, and risk management strategies, potentially involving AI/reasoning taking into account limited visibility of the global system.</w:t>
      </w:r>
    </w:p>
    <w:p w14:paraId="7C148E73" w14:textId="77777777" w:rsidR="00A36EA6" w:rsidRPr="00A36EA6" w:rsidRDefault="00A36EA6" w:rsidP="00DA6395">
      <w:pPr>
        <w:pStyle w:val="Heading4"/>
        <w:rPr>
          <w:lang w:val="en-US" w:eastAsia="de-DE"/>
        </w:rPr>
      </w:pPr>
      <w:r w:rsidRPr="00A36EA6">
        <w:rPr>
          <w:lang w:val="en-US" w:eastAsia="de-DE"/>
        </w:rPr>
        <w:lastRenderedPageBreak/>
        <w:t>Detect</w:t>
      </w:r>
    </w:p>
    <w:p w14:paraId="3BA9BD4D"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whatever the quality of protection measures, attacks will be there. Worse attacks will be more sophisticated and with potential large-scale impacts. Detection must be timely (in the sense that attacks should not have created damage by the time the alert is handled by the security operating centre) and accurate (provide limitations on false positives and false negatives).</w:t>
      </w:r>
    </w:p>
    <w:p w14:paraId="79CFFF9F" w14:textId="77777777" w:rsidR="00A36EA6" w:rsidRPr="00A36EA6" w:rsidRDefault="00A36EA6" w:rsidP="00124439">
      <w:pPr>
        <w:numPr>
          <w:ilvl w:val="0"/>
          <w:numId w:val="74"/>
        </w:numPr>
        <w:contextualSpacing/>
        <w:jc w:val="both"/>
        <w:rPr>
          <w:rFonts w:ascii="Arial" w:hAnsi="Arial" w:cs="Arial"/>
          <w:lang w:val="en-US" w:eastAsia="de-DE"/>
        </w:rPr>
      </w:pPr>
      <w:r w:rsidRPr="00A36EA6">
        <w:rPr>
          <w:rFonts w:ascii="Arial" w:hAnsi="Arial" w:cs="Arial"/>
          <w:b/>
          <w:bCs/>
          <w:lang w:val="en-US" w:eastAsia="de-DE"/>
        </w:rPr>
        <w:t>Distributed Denial of Service</w:t>
      </w:r>
      <w:r w:rsidRPr="00A36EA6">
        <w:rPr>
          <w:rFonts w:ascii="Arial" w:hAnsi="Arial" w:cs="Arial"/>
          <w:lang w:val="en-US" w:eastAsia="de-DE"/>
        </w:rPr>
        <w:t>: mainly due to the low level of security and control over termination points with no hopes of significant enhancements. Local and distributed (correlated, cooperative) detection is still a challenge as well as appropriate counter measures.</w:t>
      </w:r>
    </w:p>
    <w:p w14:paraId="626B5F94" w14:textId="4FED5C9A" w:rsidR="00A36EA6" w:rsidRPr="005F6376" w:rsidRDefault="00A36EA6" w:rsidP="00124439">
      <w:pPr>
        <w:numPr>
          <w:ilvl w:val="0"/>
          <w:numId w:val="74"/>
        </w:numPr>
        <w:contextualSpacing/>
        <w:jc w:val="both"/>
        <w:rPr>
          <w:rFonts w:ascii="Arial" w:hAnsi="Arial" w:cs="Arial"/>
          <w:lang w:val="en-US" w:eastAsia="de-DE"/>
        </w:rPr>
      </w:pPr>
      <w:r w:rsidRPr="00A36EA6">
        <w:rPr>
          <w:rFonts w:ascii="Arial" w:hAnsi="Arial" w:cs="Arial"/>
          <w:b/>
          <w:bCs/>
          <w:lang w:val="en-US" w:eastAsia="de-DE"/>
        </w:rPr>
        <w:t>Smart Orchestration</w:t>
      </w:r>
      <w:r w:rsidRPr="00A36EA6">
        <w:rPr>
          <w:rFonts w:ascii="Arial" w:hAnsi="Arial" w:cs="Arial"/>
          <w:lang w:val="en-US" w:eastAsia="de-DE"/>
        </w:rPr>
        <w:t>: As for protection, there are open challenges to optimize the time and space distribution of EDR, probes and means to detect known attacks or anomalies in case of zero days attacks.</w:t>
      </w:r>
    </w:p>
    <w:p w14:paraId="4C3E97B7" w14:textId="77777777" w:rsidR="00A36EA6" w:rsidRPr="00A36EA6" w:rsidRDefault="00A36EA6" w:rsidP="00DA6395">
      <w:pPr>
        <w:pStyle w:val="Heading4"/>
        <w:rPr>
          <w:lang w:val="en-US" w:eastAsia="de-DE"/>
        </w:rPr>
      </w:pPr>
      <w:r w:rsidRPr="00A36EA6">
        <w:rPr>
          <w:lang w:val="en-US" w:eastAsia="de-DE"/>
        </w:rPr>
        <w:t>Respond</w:t>
      </w:r>
    </w:p>
    <w:p w14:paraId="184F375A"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for a long time, response to incident were not considered with a lot of developments with often the fear that the mitigation may be worse than the problem. Nowadays, the flexibility gained in the orchestration of the system enables powerful strategies including planned safe configuration and/or contextual/reasoning dynamic capabilities.</w:t>
      </w:r>
    </w:p>
    <w:p w14:paraId="729ADC1C" w14:textId="6B9C6947" w:rsidR="00A36EA6" w:rsidRPr="00A36EA6" w:rsidRDefault="00A36EA6" w:rsidP="005F6376">
      <w:pPr>
        <w:jc w:val="both"/>
        <w:rPr>
          <w:rFonts w:ascii="Arial" w:hAnsi="Arial" w:cs="Arial"/>
          <w:lang w:val="en-US" w:eastAsia="de-DE"/>
        </w:rPr>
      </w:pPr>
      <w:r w:rsidRPr="00A36EA6">
        <w:rPr>
          <w:rFonts w:ascii="Arial" w:hAnsi="Arial" w:cs="Arial"/>
          <w:lang w:val="en-US" w:eastAsia="de-DE"/>
        </w:rPr>
        <w:t>Respond mechanisms such as communications, planning, mitigations,…or any means involved of the respond must be protected themselves against attacks and should not be another vector of attacks.</w:t>
      </w:r>
    </w:p>
    <w:p w14:paraId="39FB0DD1" w14:textId="77777777" w:rsidR="00A36EA6" w:rsidRPr="00A36EA6" w:rsidRDefault="00A36EA6" w:rsidP="00DA6395">
      <w:pPr>
        <w:pStyle w:val="Heading4"/>
        <w:rPr>
          <w:lang w:val="en-US" w:eastAsia="de-DE"/>
        </w:rPr>
      </w:pPr>
      <w:r w:rsidRPr="00A36EA6">
        <w:rPr>
          <w:lang w:val="en-US" w:eastAsia="de-DE"/>
        </w:rPr>
        <w:t>Recover</w:t>
      </w:r>
    </w:p>
    <w:p w14:paraId="6F4DD746"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It should also be actionable, leading to either the elimination of the source of the attack, or to a limitation of its effects.</w:t>
      </w:r>
    </w:p>
    <w:p w14:paraId="349B6A99" w14:textId="2042262C" w:rsidR="00A36EA6" w:rsidRPr="00A36EA6" w:rsidRDefault="00A36EA6" w:rsidP="005F6376">
      <w:pPr>
        <w:jc w:val="both"/>
        <w:rPr>
          <w:rFonts w:ascii="Arial" w:hAnsi="Arial" w:cs="Arial"/>
          <w:lang w:val="en-US" w:eastAsia="de-DE"/>
        </w:rPr>
      </w:pPr>
      <w:r w:rsidRPr="00A36EA6">
        <w:rPr>
          <w:rFonts w:ascii="Arial" w:hAnsi="Arial" w:cs="Arial"/>
          <w:lang w:val="en-US" w:eastAsia="de-DE"/>
        </w:rPr>
        <w:t>Learning from experience takes longer time scale. Recover should be the matter of studies based on learning (including AI) of vulnerabilities and sequences of attacks. This expererience should in turn used to make a loop feeding the previous phases.</w:t>
      </w:r>
    </w:p>
    <w:p w14:paraId="49552EAC" w14:textId="77777777" w:rsidR="00A36EA6" w:rsidRPr="00A36EA6" w:rsidRDefault="00A36EA6" w:rsidP="00A36EA6">
      <w:pPr>
        <w:ind w:left="1440"/>
        <w:contextualSpacing/>
        <w:jc w:val="both"/>
        <w:rPr>
          <w:rFonts w:ascii="Arial" w:hAnsi="Arial" w:cs="Arial"/>
          <w:lang w:val="en-US" w:eastAsia="de-DE"/>
        </w:rPr>
      </w:pPr>
    </w:p>
    <w:p w14:paraId="63EC5413" w14:textId="77777777" w:rsidR="00A36EA6" w:rsidRPr="00A36EA6" w:rsidRDefault="00A36EA6" w:rsidP="00DA6395">
      <w:pPr>
        <w:pStyle w:val="Heading3"/>
        <w:rPr>
          <w:lang w:val="en-US" w:eastAsia="de-DE"/>
        </w:rPr>
      </w:pPr>
      <w:bookmarkStart w:id="281" w:name="_Toc42177302"/>
      <w:r w:rsidRPr="00A36EA6">
        <w:rPr>
          <w:lang w:val="en-US" w:eastAsia="de-DE"/>
        </w:rPr>
        <w:t>Specific challenges as per SNS architecture</w:t>
      </w:r>
      <w:bookmarkEnd w:id="281"/>
    </w:p>
    <w:p w14:paraId="7C6243B3" w14:textId="77777777" w:rsidR="00A36EA6" w:rsidRPr="00A36EA6" w:rsidRDefault="00A36EA6" w:rsidP="00A36EA6">
      <w:pPr>
        <w:rPr>
          <w:rFonts w:ascii="Arial" w:hAnsi="Arial" w:cs="Arial"/>
          <w:lang w:val="en-US" w:eastAsia="de-DE"/>
        </w:rPr>
      </w:pPr>
      <w:r w:rsidRPr="00A36EA6">
        <w:rPr>
          <w:rFonts w:ascii="Arial" w:hAnsi="Arial" w:cs="Arial"/>
          <w:lang w:val="en-US" w:eastAsia="de-DE"/>
        </w:rPr>
        <w:t>In this section, in addition to challenges already listed above, we give a focus on security challenges related to the intrinsic architecture of the SNS vision.</w:t>
      </w:r>
    </w:p>
    <w:p w14:paraId="14B35D37" w14:textId="5B1C01C8" w:rsidR="00A36EA6" w:rsidRPr="005F6376" w:rsidRDefault="00A36EA6" w:rsidP="00DA6395">
      <w:pPr>
        <w:pStyle w:val="Heading4"/>
        <w:rPr>
          <w:lang w:val="en-US" w:eastAsia="de-DE"/>
        </w:rPr>
      </w:pPr>
      <w:r w:rsidRPr="00A36EA6">
        <w:rPr>
          <w:lang w:val="en-US" w:eastAsia="de-DE"/>
        </w:rPr>
        <w:t xml:space="preserve">Control and Management security: </w:t>
      </w:r>
    </w:p>
    <w:p w14:paraId="400BD043"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Programmability of security</w:t>
      </w:r>
      <w:r w:rsidRPr="00A36EA6">
        <w:rPr>
          <w:rFonts w:ascii="Arial" w:hAnsi="Arial" w:cs="Arial"/>
          <w:lang w:val="en-US" w:eastAsia="de-DE"/>
        </w:rPr>
        <w:t>: keeping the systems into security policies boundaries mandates to use convergent tools and technologies similar to pure networking functions. Orchestration, chaining, will be enablers of concomitant deployment of security. One of the major challenges is that security should mandates periodic evaluation/verification operations without disrupting the services running and performances of the systems.</w:t>
      </w:r>
    </w:p>
    <w:p w14:paraId="2041668B"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Secured programmability</w:t>
      </w:r>
      <w:r w:rsidRPr="00A36EA6">
        <w:rPr>
          <w:rFonts w:ascii="Arial" w:hAnsi="Arial" w:cs="Arial"/>
          <w:lang w:val="en-US" w:eastAsia="de-DE"/>
        </w:rPr>
        <w:t>: the expected programmability of the infrastructure shall be handled extremely carefully from the security point of view as consequences of vulnerabilities in this area may result in massive outages, data leakage or large impacts on economy and society. The control/management infrastructure shall become more resilient to attacks, against configuration protocols, routing and naming.</w:t>
      </w:r>
    </w:p>
    <w:p w14:paraId="0807B1EC" w14:textId="77777777" w:rsidR="00A36EA6" w:rsidRPr="00A36EA6" w:rsidRDefault="00A36EA6" w:rsidP="00124439">
      <w:pPr>
        <w:numPr>
          <w:ilvl w:val="0"/>
          <w:numId w:val="75"/>
        </w:numPr>
        <w:contextualSpacing/>
        <w:rPr>
          <w:rFonts w:ascii="Arial" w:hAnsi="Arial" w:cs="Arial"/>
          <w:lang w:val="en-US" w:eastAsia="de-DE"/>
        </w:rPr>
      </w:pPr>
      <w:r w:rsidRPr="00A36EA6">
        <w:rPr>
          <w:rFonts w:ascii="Arial" w:hAnsi="Arial" w:cs="Arial"/>
          <w:lang w:val="en-US" w:eastAsia="de-DE"/>
        </w:rPr>
        <w:t>Highly secured Identity and Rights management over control means.</w:t>
      </w:r>
    </w:p>
    <w:p w14:paraId="2A4172E4" w14:textId="77777777" w:rsidR="00A36EA6" w:rsidRPr="00A36EA6" w:rsidRDefault="00A36EA6" w:rsidP="00124439">
      <w:pPr>
        <w:numPr>
          <w:ilvl w:val="0"/>
          <w:numId w:val="75"/>
        </w:numPr>
        <w:contextualSpacing/>
        <w:rPr>
          <w:rFonts w:ascii="Arial" w:hAnsi="Arial" w:cs="Arial"/>
          <w:lang w:val="en-US" w:eastAsia="de-DE"/>
        </w:rPr>
      </w:pPr>
      <w:r w:rsidRPr="00A36EA6">
        <w:rPr>
          <w:rFonts w:ascii="Arial" w:hAnsi="Arial" w:cs="Arial"/>
          <w:lang w:val="en-US" w:eastAsia="de-DE"/>
        </w:rPr>
        <w:t>Safe and secured workflows (protocols, APIs,..)</w:t>
      </w:r>
    </w:p>
    <w:p w14:paraId="2BE16B99" w14:textId="77777777" w:rsidR="00A36EA6" w:rsidRPr="00A36EA6" w:rsidRDefault="00A36EA6" w:rsidP="00124439">
      <w:pPr>
        <w:numPr>
          <w:ilvl w:val="0"/>
          <w:numId w:val="75"/>
        </w:numPr>
        <w:contextualSpacing/>
        <w:rPr>
          <w:rFonts w:ascii="Arial" w:hAnsi="Arial" w:cs="Arial"/>
          <w:lang w:val="en-US" w:eastAsia="de-DE"/>
        </w:rPr>
      </w:pPr>
      <w:r w:rsidRPr="00A36EA6">
        <w:rPr>
          <w:rFonts w:ascii="Arial" w:hAnsi="Arial" w:cs="Arial"/>
          <w:lang w:val="en-US" w:eastAsia="de-DE"/>
        </w:rPr>
        <w:t>Ensure quality and integrity of data used to fuel the AI</w:t>
      </w:r>
    </w:p>
    <w:p w14:paraId="01E98D19" w14:textId="77777777" w:rsidR="00A36EA6" w:rsidRPr="00A36EA6" w:rsidRDefault="00A36EA6" w:rsidP="00124439">
      <w:pPr>
        <w:numPr>
          <w:ilvl w:val="0"/>
          <w:numId w:val="75"/>
        </w:numPr>
        <w:contextualSpacing/>
        <w:rPr>
          <w:rFonts w:ascii="Arial" w:hAnsi="Arial" w:cs="Arial"/>
          <w:lang w:val="en-US" w:eastAsia="de-DE"/>
        </w:rPr>
      </w:pPr>
      <w:r w:rsidRPr="00A36EA6">
        <w:rPr>
          <w:rFonts w:ascii="Arial" w:hAnsi="Arial" w:cs="Arial"/>
          <w:lang w:val="en-US" w:eastAsia="de-DE"/>
        </w:rPr>
        <w:lastRenderedPageBreak/>
        <w:t>Master the entire software life cycle, from safe code to updates over the air</w:t>
      </w:r>
    </w:p>
    <w:p w14:paraId="03C224A2" w14:textId="58E673C6" w:rsidR="00A36EA6" w:rsidRPr="00A36EA6" w:rsidRDefault="00A36EA6" w:rsidP="005F6376">
      <w:pPr>
        <w:jc w:val="both"/>
        <w:rPr>
          <w:rFonts w:ascii="Arial" w:hAnsi="Arial" w:cs="Arial"/>
          <w:lang w:eastAsia="de-DE"/>
        </w:rPr>
      </w:pPr>
      <w:r w:rsidRPr="00A36EA6">
        <w:rPr>
          <w:rFonts w:ascii="Arial" w:hAnsi="Arial" w:cs="Arial"/>
          <w:lang w:eastAsia="de-DE"/>
        </w:rPr>
        <w:t>Another challenge is the capability to better understand attackers, to enhance detection. Beyond honeynets and honeypots, there is a definite need to improve the traceability of activity occurring in the network. This requires the ability both to generate better logs, to make it more difficult for the attacker to hide inside the flow of ”normal” traffic, but also the ability to include tripping points in the network, that will signal anomalous activity. This can be extended to the security at RF level where a complete spectrum and contextual awareness will help to detect and countermeasure different Access Network threats like radio jamming, signal spoofing, fake access network nodes and user equipment or illegal use of spectrum resources. This will support the development of better detection and deterrence methods, reducing the attacker’s gain and increasing its risk. From a non-technical standpoint, it also means that it should become more expensive for attackers to attack, and more expensive for developers to create vulnerable applications than safe ones.</w:t>
      </w:r>
    </w:p>
    <w:p w14:paraId="4A040E2D" w14:textId="77777777" w:rsidR="00A36EA6" w:rsidRPr="00A36EA6" w:rsidRDefault="00A36EA6" w:rsidP="00DA6395">
      <w:pPr>
        <w:pStyle w:val="Heading4"/>
        <w:rPr>
          <w:lang w:val="en-US" w:eastAsia="de-DE"/>
        </w:rPr>
      </w:pPr>
      <w:r w:rsidRPr="00A36EA6">
        <w:rPr>
          <w:lang w:val="en-US" w:eastAsia="de-DE"/>
        </w:rPr>
        <w:t>Multi-tenancy, multi-party</w:t>
      </w:r>
    </w:p>
    <w:p w14:paraId="18A0BE73" w14:textId="7DFBF64F" w:rsidR="00A36EA6" w:rsidRPr="00A36EA6" w:rsidRDefault="00225D53" w:rsidP="00A36EA6">
      <w:pPr>
        <w:jc w:val="both"/>
        <w:rPr>
          <w:rFonts w:ascii="Arial" w:hAnsi="Arial" w:cs="Arial"/>
          <w:lang w:val="en-US" w:eastAsia="de-DE"/>
        </w:rPr>
      </w:pPr>
      <w:r>
        <w:rPr>
          <w:rFonts w:ascii="Arial" w:hAnsi="Arial" w:cs="Arial"/>
          <w:lang w:val="en-US" w:eastAsia="de-DE"/>
        </w:rPr>
        <w:t>S</w:t>
      </w:r>
      <w:r w:rsidR="00A36EA6" w:rsidRPr="00A36EA6">
        <w:rPr>
          <w:rFonts w:ascii="Arial" w:hAnsi="Arial" w:cs="Arial"/>
          <w:lang w:val="en-US" w:eastAsia="de-DE"/>
        </w:rPr>
        <w:t xml:space="preserve">ystems and services targeted by </w:t>
      </w:r>
      <w:r>
        <w:rPr>
          <w:rFonts w:ascii="Arial" w:hAnsi="Arial" w:cs="Arial"/>
          <w:lang w:val="en-US" w:eastAsia="de-DE"/>
        </w:rPr>
        <w:t>the SRIA</w:t>
      </w:r>
      <w:r w:rsidR="00A36EA6" w:rsidRPr="00A36EA6">
        <w:rPr>
          <w:rFonts w:ascii="Arial" w:hAnsi="Arial" w:cs="Arial"/>
          <w:lang w:val="en-US" w:eastAsia="de-DE"/>
        </w:rPr>
        <w:t xml:space="preserve"> result in much more complex relationship mesh than managing default access to a best effort network.</w:t>
      </w:r>
    </w:p>
    <w:p w14:paraId="69B6FD0B"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Multi-tenancy</w:t>
      </w:r>
      <w:r w:rsidRPr="00A36EA6">
        <w:rPr>
          <w:rFonts w:ascii="Arial" w:hAnsi="Arial" w:cs="Arial"/>
          <w:lang w:val="en-US" w:eastAsia="de-DE"/>
        </w:rPr>
        <w:t xml:space="preserve"> enabled by virtualization of resources, eventually provided as slices is raising issues related to the re-distribution of authority perimeters, isolation, regulation (lawful Interception) or forensic/liabilities. </w:t>
      </w:r>
    </w:p>
    <w:p w14:paraId="76A61E89" w14:textId="29780AF5" w:rsidR="00A36EA6" w:rsidRPr="00A36EA6" w:rsidRDefault="00A36EA6" w:rsidP="005F6376">
      <w:pPr>
        <w:jc w:val="both"/>
        <w:rPr>
          <w:rFonts w:ascii="Arial" w:hAnsi="Arial" w:cs="Arial"/>
          <w:lang w:val="en-US" w:eastAsia="de-DE"/>
        </w:rPr>
      </w:pPr>
      <w:r w:rsidRPr="00A36EA6">
        <w:rPr>
          <w:rFonts w:ascii="Arial" w:hAnsi="Arial" w:cs="Arial"/>
          <w:b/>
          <w:bCs/>
          <w:lang w:val="en-US" w:eastAsia="de-DE"/>
        </w:rPr>
        <w:t>Multi-party</w:t>
      </w:r>
      <w:r w:rsidRPr="00A36EA6">
        <w:rPr>
          <w:rFonts w:ascii="Arial" w:hAnsi="Arial" w:cs="Arial"/>
          <w:lang w:val="en-US" w:eastAsia="de-DE"/>
        </w:rPr>
        <w:t xml:space="preserve"> is raising more than ever the issues of End-to-End security as a composition of segment/layers. Considering individual perimeters without concerns for end user resulting security is not an option anymore.</w:t>
      </w:r>
    </w:p>
    <w:p w14:paraId="5DEE62F5" w14:textId="77777777" w:rsidR="00A36EA6" w:rsidRPr="00A36EA6" w:rsidRDefault="00A36EA6" w:rsidP="00DA6395">
      <w:pPr>
        <w:pStyle w:val="Heading4"/>
        <w:rPr>
          <w:lang w:val="en-US" w:eastAsia="de-DE"/>
        </w:rPr>
      </w:pPr>
      <w:r w:rsidRPr="00A36EA6">
        <w:rPr>
          <w:lang w:val="en-US" w:eastAsia="de-DE"/>
        </w:rPr>
        <w:t>Network virtualization and slices</w:t>
      </w:r>
    </w:p>
    <w:p w14:paraId="1D572E24"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The network virtualization and associated slicing concept are major aspects of foreseen architecture, combining Software Defined Security and Security as a Service promising set of solutions. The network-slicing concept implies de-facto some sort of sharing of the control/management with the underlying infrastructure. The immediate obvious security issue is related to the isolation between slices but already in [C8-5] and [C8-6] NGMN listed a set of key security issues beyond basic isolation concerns. Thus, as of today, the 5G slicing security is one security area among many other specific issues that are 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[C8-7] and [C8-8], security areas are more specifically addressed in [C8-9] and [C8-10]. Going far beyond 4G complexity, 5G and beyond is imposing to reconsider many security aspects such as Authentication and Authorization, RAN (multi-access) security, User Equipment (including IoT), confidentiality and key management, etc. and finally Network Slicing security. An overall vision of this security landscape is given in [C8-11] where one can find references to groups and bodies active on 5G security such as ETSI – in particular working groups dealing with Network Function Virtualization (NFV) and management issues (MANO), IETF, IMT-2020, etc. </w:t>
      </w:r>
    </w:p>
    <w:p w14:paraId="3491EC74"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The nature of 5G and beyond components, systems and services lead to an unprecedented combination of specific software-based vulnerabilities, function distribution, boundaries variations in time and space. Moreover, the multiplicity of stakeholders and authorities in the case of network slicing raises serious challenges which are exacerbated by the so-called Mission-Critical support. Through technological but also architectural and business aspects, or even regulation, the slicing shows a novel attack surface but also great opportunities to </w:t>
      </w:r>
      <w:r w:rsidRPr="00A36EA6">
        <w:rPr>
          <w:rFonts w:ascii="Arial" w:hAnsi="Arial" w:cs="Arial"/>
          <w:lang w:val="en-US" w:eastAsia="de-DE"/>
        </w:rPr>
        <w:lastRenderedPageBreak/>
        <w:t>deliver the relevant level of cybersecurity. The slices are software-based and as such, inherit among others from SDN and NFV security issues and solutions. Many threat Intelligence aspects are already addressed in the literature including a comprehensive survey [C8-12] or, for instance for SDN-NFV components, available as Common Vulnerabilities and Exposure (CVE) list</w:t>
      </w:r>
    </w:p>
    <w:p w14:paraId="5D28DBA8"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When considering knowledge of slice assets and its consequences in terms of security issues, a specific problem occurs by nature as the slices are both: </w:t>
      </w:r>
    </w:p>
    <w:p w14:paraId="037F9ABF" w14:textId="77777777" w:rsidR="00A36EA6" w:rsidRPr="00A36EA6" w:rsidRDefault="00A36EA6" w:rsidP="00124439">
      <w:pPr>
        <w:numPr>
          <w:ilvl w:val="0"/>
          <w:numId w:val="76"/>
        </w:numPr>
        <w:contextualSpacing/>
        <w:jc w:val="both"/>
        <w:rPr>
          <w:rFonts w:ascii="Arial" w:hAnsi="Arial" w:cs="Arial"/>
          <w:lang w:val="en-US" w:eastAsia="de-DE"/>
        </w:rPr>
      </w:pPr>
      <w:r w:rsidRPr="00A36EA6">
        <w:rPr>
          <w:rFonts w:ascii="Arial" w:hAnsi="Arial" w:cs="Arial"/>
          <w:lang w:val="en-US" w:eastAsia="de-DE"/>
        </w:rPr>
        <w:t xml:space="preserve">an abstraction/composition of the actual systems and services delivered by third parties and, </w:t>
      </w:r>
    </w:p>
    <w:p w14:paraId="51603547" w14:textId="77777777" w:rsidR="00A36EA6" w:rsidRPr="00A36EA6" w:rsidRDefault="00A36EA6" w:rsidP="00124439">
      <w:pPr>
        <w:numPr>
          <w:ilvl w:val="0"/>
          <w:numId w:val="76"/>
        </w:numPr>
        <w:contextualSpacing/>
        <w:jc w:val="both"/>
        <w:rPr>
          <w:rFonts w:ascii="Arial" w:hAnsi="Arial" w:cs="Arial"/>
          <w:lang w:val="en-US" w:eastAsia="de-DE"/>
        </w:rPr>
      </w:pPr>
      <w:r w:rsidRPr="00A36EA6">
        <w:rPr>
          <w:rFonts w:ascii="Arial" w:hAnsi="Arial" w:cs="Arial"/>
          <w:lang w:val="en-US" w:eastAsia="de-DE"/>
        </w:rPr>
        <w:t>flexible, dynamic or even adaptive to satisfy the varying needs through multi-party complex business environment.</w:t>
      </w:r>
    </w:p>
    <w:p w14:paraId="65EEBE22" w14:textId="74CC34AB" w:rsidR="00A36EA6" w:rsidRPr="005F6376" w:rsidRDefault="00A36EA6" w:rsidP="00A36EA6">
      <w:pPr>
        <w:jc w:val="both"/>
        <w:rPr>
          <w:rFonts w:ascii="Arial" w:hAnsi="Arial" w:cs="Arial"/>
          <w:b/>
          <w:bCs/>
          <w:lang w:val="en-US" w:eastAsia="de-DE"/>
        </w:rPr>
      </w:pPr>
      <w:r w:rsidRPr="00A36EA6">
        <w:rPr>
          <w:rFonts w:ascii="Arial" w:hAnsi="Arial" w:cs="Arial"/>
          <w:lang w:val="en-US" w:eastAsia="de-DE"/>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130111D2" w14:textId="77777777" w:rsidR="00A36EA6" w:rsidRPr="00A36EA6" w:rsidRDefault="00A36EA6" w:rsidP="00DA6395">
      <w:pPr>
        <w:pStyle w:val="Heading4"/>
        <w:rPr>
          <w:lang w:val="en-US" w:eastAsia="de-DE"/>
        </w:rPr>
      </w:pPr>
      <w:r w:rsidRPr="00A36EA6">
        <w:rPr>
          <w:lang w:val="en-US" w:eastAsia="de-DE"/>
        </w:rPr>
        <w:t>Edge and IoT</w:t>
      </w:r>
    </w:p>
    <w:p w14:paraId="2B15553F"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The current IoT vision is grounded in the belief that the steady advances in microelectronics, communications and information technology witnessed in recent years will continue into the foreseeable future. 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regulatory the neutrality of the future Internet. Moreover, all aspects of security and privacy of the user data must be under the control of their original owner by means of as simple and efficient technical solutions as possible. Security and privacy aspects need to be taken into account also in Sections 4.6 Security for Mission-critical Services, 5.3 Massive IoT Services and 9.2.2 Impact of IoT on the Network. Behind the tremendous diversity of applications and deployment constraints, IoT relies on common requirements requiring a cross-sector standardization approach. The first wave of IoT adoption, driven by ICT companies, focused mainly on business / consumer oriented upstream data gathering for centralized cloud processing. Regulations protecting individual privacy are a predominant concern for implementing security in such applications. Industrial IoT, on the other hand, requires closed loop connections between sensors and actuators with real-time constraints, requiring fully distributed processing and filtering of information exchanges on open networks. Moreover, in several sectors, security breach can result in critical safety hazards. While ensuring cybersecurity in the internet world of powerful mainframes computers connected to main power supply with near-permanent high bandwidth connections and close human control is already a challenge, IoT cybersecurity has to adapt to reduced computing resources, sporadic low bandwidth connections, battery and constrained devices, long lifetime, limited human involvement and other operational constraints. </w:t>
      </w:r>
    </w:p>
    <w:p w14:paraId="6C740EF3" w14:textId="77777777" w:rsidR="00A36EA6" w:rsidRPr="00A36EA6" w:rsidRDefault="00A36EA6" w:rsidP="00A36EA6">
      <w:pPr>
        <w:jc w:val="both"/>
        <w:rPr>
          <w:rFonts w:ascii="Arial" w:hAnsi="Arial" w:cs="Arial"/>
          <w:lang w:val="en-US" w:eastAsia="de-DE"/>
        </w:rPr>
      </w:pPr>
      <w:r w:rsidRPr="00A36EA6">
        <w:rPr>
          <w:rFonts w:ascii="Arial" w:hAnsi="Arial" w:cs="Arial"/>
          <w:lang w:val="en-US" w:eastAsia="de-DE"/>
        </w:rPr>
        <w:t xml:space="preserve">A proper balance needs to be established between the traditional internet approach of addressing dynamically discovered security breaches through reactive software updates, with the real world paradigm of ensuring safety by careful initial physical design. Security is a moving target and this is particularly true with the Internet of Things. The role of AI in constantly keeping up with security threats is not to be under estimated. Artificial intelligence plays a vital role in detecting intrusions and widely considered as the better way in adapting and building </w:t>
      </w:r>
      <w:r w:rsidRPr="00A36EA6">
        <w:rPr>
          <w:rFonts w:ascii="Arial" w:hAnsi="Arial" w:cs="Arial"/>
          <w:lang w:val="en-US" w:eastAsia="de-DE"/>
        </w:rPr>
        <w:lastRenderedPageBreak/>
        <w:t xml:space="preserve">intrusion detection systems. Neural network algorithms are can be applied to real-time security problems </w:t>
      </w:r>
    </w:p>
    <w:p w14:paraId="3B6E81E7" w14:textId="77777777" w:rsidR="00A36EA6" w:rsidRPr="00A36EA6" w:rsidRDefault="00A36EA6" w:rsidP="00A36EA6">
      <w:pPr>
        <w:ind w:left="720"/>
        <w:contextualSpacing/>
        <w:jc w:val="both"/>
        <w:rPr>
          <w:rFonts w:ascii="Arial" w:hAnsi="Arial" w:cs="Arial"/>
          <w:lang w:val="en-US" w:eastAsia="de-DE"/>
        </w:rPr>
      </w:pPr>
    </w:p>
    <w:p w14:paraId="197A5E0D"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Scalability</w:t>
      </w:r>
      <w:r w:rsidRPr="00A36EA6">
        <w:rPr>
          <w:rFonts w:ascii="Arial" w:hAnsi="Arial" w:cs="Arial"/>
          <w:lang w:val="en-US" w:eastAsia="de-DE"/>
        </w:rPr>
        <w:t>: Here the main intrinsic system characteristics are related to the scale of devices and components involved, most probably not coming with strong individual security capabilities. Therefore, under constraint of limited CPU, network resources availability, secured hardware and software platforms, challenges will encompass:</w:t>
      </w:r>
    </w:p>
    <w:p w14:paraId="0676D81E"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 xml:space="preserve">efficient and optimized root of trust distribution, </w:t>
      </w:r>
    </w:p>
    <w:p w14:paraId="184D9DA4"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crypto light adapted to the context such as Size Weight and Power (SWaP) constraints.</w:t>
      </w:r>
    </w:p>
    <w:p w14:paraId="74A54C88"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relevant security protection and detection capabilities</w:t>
      </w:r>
    </w:p>
    <w:p w14:paraId="0475E0D7"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 xml:space="preserve">smart deployment under security policies </w:t>
      </w:r>
    </w:p>
    <w:p w14:paraId="393F4D15"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collaborative composition and response to security threats</w:t>
      </w:r>
    </w:p>
    <w:p w14:paraId="4C7CE237" w14:textId="77777777" w:rsidR="00A36EA6" w:rsidRPr="00A36EA6" w:rsidRDefault="00A36EA6" w:rsidP="00A36EA6">
      <w:pPr>
        <w:ind w:left="1440"/>
        <w:contextualSpacing/>
        <w:jc w:val="both"/>
        <w:rPr>
          <w:rFonts w:ascii="Arial" w:hAnsi="Arial" w:cs="Arial"/>
          <w:lang w:val="en-US" w:eastAsia="de-DE"/>
        </w:rPr>
      </w:pPr>
    </w:p>
    <w:p w14:paraId="6DFF2BAC" w14:textId="36FABEEC" w:rsidR="00A36EA6" w:rsidRPr="00A36EA6" w:rsidRDefault="00225D53" w:rsidP="00A36EA6">
      <w:pPr>
        <w:jc w:val="both"/>
        <w:rPr>
          <w:rFonts w:ascii="Arial" w:hAnsi="Arial" w:cs="Arial"/>
          <w:lang w:val="en-US" w:eastAsia="de-DE"/>
        </w:rPr>
      </w:pPr>
      <w:r>
        <w:rPr>
          <w:rFonts w:ascii="Arial" w:hAnsi="Arial" w:cs="Arial"/>
          <w:b/>
          <w:bCs/>
          <w:lang w:val="en-US" w:eastAsia="de-DE"/>
        </w:rPr>
        <w:t>M</w:t>
      </w:r>
      <w:r w:rsidR="00A36EA6" w:rsidRPr="00A36EA6">
        <w:rPr>
          <w:rFonts w:ascii="Arial" w:hAnsi="Arial" w:cs="Arial"/>
          <w:b/>
          <w:bCs/>
          <w:lang w:val="en-US" w:eastAsia="de-DE"/>
        </w:rPr>
        <w:t>icro service interconnect/mesh</w:t>
      </w:r>
      <w:r w:rsidR="00A36EA6" w:rsidRPr="00A36EA6">
        <w:rPr>
          <w:rFonts w:ascii="Arial" w:hAnsi="Arial" w:cs="Arial"/>
          <w:lang w:val="en-US" w:eastAsia="de-DE"/>
        </w:rPr>
        <w:t>: the evolution of paradigms leads to modified patterns of exchange (less point to point) and is raising some new or renewed challenges:</w:t>
      </w:r>
    </w:p>
    <w:p w14:paraId="713B6190"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protocols such as QUIC need to be considered for more flexibility in secured exchanges</w:t>
      </w:r>
    </w:p>
    <w:p w14:paraId="0E1AC9BA"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numerous service components will be used to achieve overall services delivery, this lead to challenges about composition respecting numerous potentially orthogonal criterias (security green, mix criticality,…)</w:t>
      </w:r>
    </w:p>
    <w:p w14:paraId="34B99427" w14:textId="77777777" w:rsidR="00A36EA6" w:rsidRPr="00A36EA6" w:rsidRDefault="00A36EA6" w:rsidP="00124439">
      <w:pPr>
        <w:numPr>
          <w:ilvl w:val="0"/>
          <w:numId w:val="61"/>
        </w:numPr>
        <w:contextualSpacing/>
        <w:jc w:val="both"/>
        <w:rPr>
          <w:rFonts w:ascii="Arial" w:hAnsi="Arial" w:cs="Arial"/>
          <w:lang w:val="en-US" w:eastAsia="de-DE"/>
        </w:rPr>
      </w:pPr>
      <w:r w:rsidRPr="00A36EA6">
        <w:rPr>
          <w:rFonts w:ascii="Arial" w:hAnsi="Arial" w:cs="Arial"/>
          <w:lang w:val="en-US" w:eastAsia="de-DE"/>
        </w:rPr>
        <w:t>overall constancy is involving</w:t>
      </w:r>
    </w:p>
    <w:p w14:paraId="4E755CC1" w14:textId="77777777" w:rsidR="00A36EA6" w:rsidRPr="00A36EA6" w:rsidRDefault="00A36EA6" w:rsidP="00A36EA6">
      <w:pPr>
        <w:ind w:left="1440"/>
        <w:contextualSpacing/>
        <w:jc w:val="both"/>
        <w:rPr>
          <w:rFonts w:ascii="Arial" w:hAnsi="Arial" w:cs="Arial"/>
          <w:lang w:val="en-US" w:eastAsia="de-DE"/>
        </w:rPr>
      </w:pPr>
    </w:p>
    <w:p w14:paraId="077447FC" w14:textId="77777777" w:rsidR="00A36EA6" w:rsidRPr="00A36EA6" w:rsidRDefault="00A36EA6" w:rsidP="00A36EA6">
      <w:pPr>
        <w:jc w:val="both"/>
        <w:rPr>
          <w:rFonts w:ascii="Arial" w:hAnsi="Arial" w:cs="Arial"/>
          <w:lang w:val="en-US" w:eastAsia="de-DE"/>
        </w:rPr>
      </w:pPr>
      <w:r w:rsidRPr="00A36EA6">
        <w:rPr>
          <w:rFonts w:ascii="Arial" w:hAnsi="Arial" w:cs="Arial"/>
          <w:b/>
          <w:bCs/>
          <w:lang w:val="en-US" w:eastAsia="de-DE"/>
        </w:rPr>
        <w:t>in-network processing and convergence with applications</w:t>
      </w:r>
      <w:r w:rsidRPr="00A36EA6">
        <w:rPr>
          <w:rFonts w:ascii="Arial" w:hAnsi="Arial" w:cs="Arial"/>
          <w:lang w:val="en-US" w:eastAsia="de-DE"/>
        </w:rPr>
        <w:t>: 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to support more effectively anomaly detection than has been possible before. Only by getting more and better data as input for activity models will we be able to leverage AI/ML techniques to build efficient anomaly detectors, which are able to include contextual information in alerts to support threat mitigation. The smart binding between what occurs at application level and zero trust approaches are actually not in competition as the second address quite exclusively, confidentiality issues and not availability for instance.</w:t>
      </w:r>
    </w:p>
    <w:p w14:paraId="12FA494B" w14:textId="77777777" w:rsidR="00A36EA6" w:rsidRPr="00A36EA6" w:rsidRDefault="00A36EA6" w:rsidP="00A36EA6">
      <w:pPr>
        <w:rPr>
          <w:rFonts w:ascii="Arial" w:hAnsi="Arial" w:cs="Arial"/>
          <w:lang w:val="en-US" w:eastAsia="de-DE"/>
        </w:rPr>
      </w:pPr>
    </w:p>
    <w:p w14:paraId="26DA854F" w14:textId="77777777" w:rsidR="00A36EA6" w:rsidRPr="00A36EA6" w:rsidRDefault="00A36EA6" w:rsidP="00124439">
      <w:pPr>
        <w:keepNext/>
        <w:keepLines/>
        <w:numPr>
          <w:ilvl w:val="1"/>
          <w:numId w:val="9"/>
        </w:numPr>
        <w:tabs>
          <w:tab w:val="num" w:pos="360"/>
        </w:tabs>
        <w:spacing w:before="120" w:after="0" w:line="240" w:lineRule="auto"/>
        <w:ind w:left="0" w:firstLine="0"/>
        <w:outlineLvl w:val="1"/>
        <w:rPr>
          <w:rFonts w:ascii="Arial" w:eastAsiaTheme="majorEastAsia" w:hAnsi="Arial" w:cs="Arial"/>
          <w:b/>
          <w:sz w:val="26"/>
          <w:szCs w:val="26"/>
        </w:rPr>
      </w:pPr>
      <w:bookmarkStart w:id="282" w:name="_Toc42177303"/>
      <w:r w:rsidRPr="00A36EA6">
        <w:rPr>
          <w:rFonts w:ascii="Arial" w:eastAsiaTheme="majorEastAsia" w:hAnsi="Arial" w:cs="Arial"/>
          <w:b/>
          <w:sz w:val="26"/>
          <w:szCs w:val="26"/>
        </w:rPr>
        <w:t>Operational Security Research directions for System &amp; Services</w:t>
      </w:r>
      <w:bookmarkEnd w:id="282"/>
    </w:p>
    <w:p w14:paraId="2838F0FB" w14:textId="77777777" w:rsidR="00A36EA6" w:rsidRPr="00A36EA6" w:rsidRDefault="00A36EA6" w:rsidP="00A36EA6"/>
    <w:p w14:paraId="2B819963" w14:textId="77777777" w:rsidR="00A36EA6" w:rsidRPr="00A36EA6" w:rsidRDefault="00A36EA6" w:rsidP="00A36EA6">
      <w:pPr>
        <w:jc w:val="both"/>
        <w:rPr>
          <w:rFonts w:ascii="Arial" w:hAnsi="Arial" w:cs="Arial"/>
        </w:rPr>
      </w:pPr>
      <w:r w:rsidRPr="00A36EA6">
        <w:rPr>
          <w:rFonts w:ascii="Arial" w:hAnsi="Arial" w:cs="Arial"/>
        </w:rPr>
        <w:t>In the following section, we explore research directions aiming at solving at least part of the challenges and issues described in the previous sections. Central,--if not a pre-requisite, the capability to quantify the various levels of security is proposed in relation with operational integration at various stage of the systems and services. This last direction is then complemented with a companion in terms of Security as a Service, in turned followed by some of the promising introduction of some deep tech such as DLT and AI.</w:t>
      </w:r>
    </w:p>
    <w:p w14:paraId="25E63A64" w14:textId="77777777" w:rsidR="00A36EA6" w:rsidRPr="00A36EA6" w:rsidRDefault="00A36EA6" w:rsidP="00A36EA6">
      <w:pPr>
        <w:jc w:val="both"/>
        <w:rPr>
          <w:rFonts w:ascii="Arial" w:hAnsi="Arial" w:cs="Arial"/>
        </w:rPr>
      </w:pPr>
    </w:p>
    <w:p w14:paraId="0C5AD67D" w14:textId="77777777" w:rsidR="00A36EA6" w:rsidRPr="00A36EA6" w:rsidRDefault="00A36EA6" w:rsidP="00DA6395">
      <w:pPr>
        <w:pStyle w:val="Heading3"/>
      </w:pPr>
      <w:bookmarkStart w:id="283" w:name="_Toc42177304"/>
      <w:r w:rsidRPr="00A36EA6">
        <w:lastRenderedPageBreak/>
        <w:t>Security quantification</w:t>
      </w:r>
      <w:bookmarkEnd w:id="283"/>
    </w:p>
    <w:p w14:paraId="13E329D1" w14:textId="77777777" w:rsidR="00A36EA6" w:rsidRPr="00A36EA6" w:rsidRDefault="00A36EA6" w:rsidP="00A36EA6">
      <w:pPr>
        <w:jc w:val="both"/>
        <w:rPr>
          <w:rFonts w:ascii="Arial" w:hAnsi="Arial" w:cs="Arial"/>
        </w:rPr>
      </w:pPr>
      <w:r w:rsidRPr="00A36EA6">
        <w:rPr>
          <w:rFonts w:ascii="Arial" w:hAnsi="Arial" w:cs="Arial"/>
        </w:rPr>
        <w:t>The complexity and fragmentation of the system &amp; services landscape, although coming with large openness are mandating the usage of mechanisms to identify, evaluate, certify the level of security. Based on such quantification, trust can be given to providers and services enabling the growth of the sector by answering the diversity of demand from mass market to specific B2B verticals.</w:t>
      </w:r>
    </w:p>
    <w:p w14:paraId="0CC7F771" w14:textId="77777777" w:rsidR="00A36EA6" w:rsidRPr="00A36EA6" w:rsidRDefault="00A36EA6" w:rsidP="00A36EA6">
      <w:pPr>
        <w:jc w:val="both"/>
        <w:rPr>
          <w:rFonts w:ascii="Arial" w:hAnsi="Arial" w:cs="Arial"/>
        </w:rPr>
      </w:pPr>
    </w:p>
    <w:p w14:paraId="6E6C6C96" w14:textId="77777777" w:rsidR="00A36EA6" w:rsidRPr="00A36EA6" w:rsidRDefault="00A36EA6" w:rsidP="00DA6395">
      <w:pPr>
        <w:pStyle w:val="Heading4"/>
      </w:pPr>
      <w:r w:rsidRPr="00A36EA6">
        <w:t>Evaluation, certification</w:t>
      </w:r>
    </w:p>
    <w:p w14:paraId="508E9BB8" w14:textId="77777777" w:rsidR="00A36EA6" w:rsidRPr="00A36EA6" w:rsidRDefault="00A36EA6" w:rsidP="00A36EA6">
      <w:pPr>
        <w:jc w:val="both"/>
        <w:rPr>
          <w:rFonts w:ascii="Arial" w:hAnsi="Arial" w:cs="Arial"/>
        </w:rPr>
      </w:pPr>
      <w:r w:rsidRPr="00A36EA6">
        <w:rPr>
          <w:rFonts w:ascii="Arial" w:hAnsi="Arial" w:cs="Arial"/>
        </w:rPr>
        <w:t>Current state of the art in terms of certification methodologies have two main drawbacks:</w:t>
      </w:r>
    </w:p>
    <w:p w14:paraId="09F8CAF9" w14:textId="77777777" w:rsidR="00A36EA6" w:rsidRPr="00A36EA6" w:rsidRDefault="00A36EA6" w:rsidP="00124439">
      <w:pPr>
        <w:numPr>
          <w:ilvl w:val="0"/>
          <w:numId w:val="77"/>
        </w:numPr>
        <w:contextualSpacing/>
        <w:jc w:val="both"/>
        <w:rPr>
          <w:rFonts w:ascii="Arial" w:hAnsi="Arial" w:cs="Arial"/>
        </w:rPr>
      </w:pPr>
      <w:r w:rsidRPr="00A36EA6">
        <w:rPr>
          <w:rFonts w:ascii="Arial" w:hAnsi="Arial" w:cs="Arial"/>
        </w:rPr>
        <w:t>This is based on Long, costly and complex procedures, based on numerous national and international frameworks/standards but finally for limited product perimeters (piece of codes, chipset,…) and not complex systems or services.</w:t>
      </w:r>
    </w:p>
    <w:p w14:paraId="288F5FDE" w14:textId="77777777" w:rsidR="00A36EA6" w:rsidRPr="00A36EA6" w:rsidRDefault="00A36EA6" w:rsidP="00124439">
      <w:pPr>
        <w:numPr>
          <w:ilvl w:val="0"/>
          <w:numId w:val="77"/>
        </w:numPr>
        <w:contextualSpacing/>
        <w:jc w:val="both"/>
        <w:rPr>
          <w:rFonts w:ascii="Arial" w:hAnsi="Arial" w:cs="Arial"/>
        </w:rPr>
      </w:pPr>
      <w:r w:rsidRPr="00A36EA6">
        <w:rPr>
          <w:rFonts w:ascii="Arial" w:hAnsi="Arial" w:cs="Arial"/>
        </w:rPr>
        <w:t>The variation in time of the security level due to change in configuration, usage, updates, upgrades, … is very rarely taken into considerations whereas real life is intrinsically generating dynamics un usages.</w:t>
      </w:r>
    </w:p>
    <w:p w14:paraId="60B68761" w14:textId="336FD623" w:rsidR="00A36EA6" w:rsidRPr="00A36EA6" w:rsidRDefault="00A36EA6" w:rsidP="005F6376">
      <w:pPr>
        <w:jc w:val="both"/>
        <w:rPr>
          <w:rFonts w:ascii="Arial" w:hAnsi="Arial" w:cs="Arial"/>
        </w:rPr>
      </w:pPr>
      <w:r w:rsidRPr="00A36EA6">
        <w:rPr>
          <w:rFonts w:ascii="Arial" w:hAnsi="Arial" w:cs="Arial"/>
        </w:rPr>
        <w:t>Starting with composition and incremental certification, solutions should come out from this necessary research direction.</w:t>
      </w:r>
    </w:p>
    <w:p w14:paraId="557490D8" w14:textId="77777777" w:rsidR="00A36EA6" w:rsidRPr="00A36EA6" w:rsidRDefault="00A36EA6" w:rsidP="00DA6395">
      <w:pPr>
        <w:pStyle w:val="Heading4"/>
      </w:pPr>
      <w:r w:rsidRPr="00A36EA6">
        <w:t>QoSec</w:t>
      </w:r>
    </w:p>
    <w:p w14:paraId="480FABD8" w14:textId="4ECC996C" w:rsidR="00A36EA6" w:rsidRPr="00A36EA6" w:rsidRDefault="00A36EA6" w:rsidP="005F6376">
      <w:pPr>
        <w:jc w:val="both"/>
        <w:rPr>
          <w:rFonts w:ascii="Arial" w:hAnsi="Arial" w:cs="Arial"/>
        </w:rPr>
      </w:pPr>
      <w:r w:rsidRPr="00A36EA6">
        <w:rPr>
          <w:rFonts w:ascii="Arial" w:hAnsi="Arial" w:cs="Arial"/>
        </w:rPr>
        <w:t>Similar to QoS, security Quality of Security (QoSec) should be defined together with operational feasibility studies demonstrating the value created by matching actual user needs and QoSec delivered by the providers. Robustness to various type of attacks, level of encryption, service disruption time, ratio of anomaly detection,…QoSec should match two major constraints: making sense from user requirements point of view and being measurable.</w:t>
      </w:r>
    </w:p>
    <w:p w14:paraId="1C406027" w14:textId="77777777" w:rsidR="00A36EA6" w:rsidRPr="00A36EA6" w:rsidRDefault="00A36EA6" w:rsidP="00DA6395">
      <w:pPr>
        <w:pStyle w:val="Heading4"/>
      </w:pPr>
      <w:r w:rsidRPr="00A36EA6">
        <w:t>SSLA</w:t>
      </w:r>
    </w:p>
    <w:p w14:paraId="08343C01" w14:textId="05B63DD1" w:rsidR="00A36EA6" w:rsidRPr="00A36EA6" w:rsidRDefault="00A36EA6" w:rsidP="005F6376">
      <w:pPr>
        <w:jc w:val="both"/>
        <w:rPr>
          <w:rFonts w:ascii="Arial" w:hAnsi="Arial" w:cs="Arial"/>
        </w:rPr>
      </w:pPr>
      <w:r w:rsidRPr="00A36EA6">
        <w:rPr>
          <w:rFonts w:ascii="Arial" w:hAnsi="Arial" w:cs="Arial"/>
        </w:rPr>
        <w:t>except if the don’t need or don’t care about security of ICT services they consume/buy, the users should be able to know and monitor the attributes of security attached to the service they are using. Security Service Level Attributes is thus an enabler of security consideration in a service-based architecture. This is applicable to security products and services themselves but needed for most of digital services.</w:t>
      </w:r>
    </w:p>
    <w:p w14:paraId="56EEA025" w14:textId="77777777" w:rsidR="00A36EA6" w:rsidRPr="00A36EA6" w:rsidRDefault="00A36EA6" w:rsidP="00DA6395">
      <w:pPr>
        <w:pStyle w:val="Heading4"/>
      </w:pPr>
      <w:r w:rsidRPr="00A36EA6">
        <w:t>Continuous monitoring</w:t>
      </w:r>
    </w:p>
    <w:p w14:paraId="1B82849C" w14:textId="77777777" w:rsidR="00A36EA6" w:rsidRPr="00A36EA6" w:rsidRDefault="00A36EA6" w:rsidP="00A36EA6">
      <w:pPr>
        <w:jc w:val="both"/>
        <w:rPr>
          <w:rFonts w:ascii="Arial" w:hAnsi="Arial" w:cs="Arial"/>
        </w:rPr>
      </w:pPr>
      <w:r w:rsidRPr="00A36EA6">
        <w:rPr>
          <w:rFonts w:ascii="Arial" w:hAnsi="Arial" w:cs="Arial"/>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260DFD" w14:textId="77777777" w:rsidR="00A36EA6" w:rsidRPr="00A36EA6" w:rsidRDefault="00A36EA6" w:rsidP="00A36EA6">
      <w:pPr>
        <w:jc w:val="both"/>
        <w:rPr>
          <w:rFonts w:ascii="Arial" w:hAnsi="Arial" w:cs="Arial"/>
        </w:rPr>
      </w:pPr>
    </w:p>
    <w:p w14:paraId="43F3A164" w14:textId="77777777" w:rsidR="00A36EA6" w:rsidRPr="00A36EA6" w:rsidRDefault="00A36EA6" w:rsidP="00DA6395">
      <w:pPr>
        <w:pStyle w:val="Heading3"/>
      </w:pPr>
      <w:bookmarkStart w:id="284" w:name="_Toc42177305"/>
      <w:r w:rsidRPr="00A36EA6">
        <w:t>Green Security</w:t>
      </w:r>
      <w:bookmarkEnd w:id="284"/>
    </w:p>
    <w:p w14:paraId="7483442E" w14:textId="77777777" w:rsidR="00A36EA6" w:rsidRPr="00A36EA6" w:rsidRDefault="00A36EA6" w:rsidP="00A36EA6">
      <w:pPr>
        <w:jc w:val="both"/>
        <w:rPr>
          <w:rFonts w:ascii="Arial" w:hAnsi="Arial" w:cs="Arial"/>
        </w:rPr>
      </w:pPr>
      <w:r w:rsidRPr="00A36EA6">
        <w:rPr>
          <w:rFonts w:ascii="Arial" w:hAnsi="Arial" w:cs="Arial"/>
        </w:rPr>
        <w:t xml:space="preserve">Security functions are not agnostic to the sustainability issues and to relation with power consumption in general. First, energy consumption is known as an attack vector, but what we would like to point here is that, as other functions of the digital infrastructure, smart distribution, smart orchestration and frugal usage of security functions have the potential to considerable savings in a landscape where speed of development has been often equal to greedy </w:t>
      </w:r>
      <w:r w:rsidRPr="00A36EA6">
        <w:rPr>
          <w:rFonts w:ascii="Arial" w:hAnsi="Arial" w:cs="Arial"/>
        </w:rPr>
        <w:lastRenderedPageBreak/>
        <w:t>approaches. This should not be detrimental to the level of protection, but just to give an example, applying cryptography at optical transport layer or at application layer doesn’t have the same foot print…and doing both may be useless.</w:t>
      </w:r>
    </w:p>
    <w:p w14:paraId="6ADB8428" w14:textId="77777777" w:rsidR="00A36EA6" w:rsidRPr="00A36EA6" w:rsidRDefault="00A36EA6" w:rsidP="00A36EA6">
      <w:pPr>
        <w:jc w:val="both"/>
      </w:pPr>
    </w:p>
    <w:p w14:paraId="0269DEA8" w14:textId="77777777" w:rsidR="00A36EA6" w:rsidRPr="00A36EA6" w:rsidRDefault="00A36EA6" w:rsidP="00DA6395">
      <w:pPr>
        <w:pStyle w:val="Heading3"/>
      </w:pPr>
      <w:bookmarkStart w:id="285" w:name="_Toc42177306"/>
      <w:r w:rsidRPr="00A36EA6">
        <w:t>Security as a Service</w:t>
      </w:r>
      <w:bookmarkEnd w:id="285"/>
    </w:p>
    <w:p w14:paraId="328F8AB4" w14:textId="77777777" w:rsidR="00A36EA6" w:rsidRPr="00A36EA6" w:rsidRDefault="00A36EA6" w:rsidP="00A36EA6">
      <w:pPr>
        <w:jc w:val="both"/>
        <w:rPr>
          <w:rFonts w:ascii="Arial" w:hAnsi="Arial" w:cs="Arial"/>
        </w:rPr>
      </w:pPr>
      <w:r w:rsidRPr="00A36EA6">
        <w:rPr>
          <w:rFonts w:ascii="Arial" w:hAnsi="Arial" w:cs="Arial"/>
        </w:rPr>
        <w:t xml:space="preserve">Not all tenants will have internal up-to-date expertise available to manage all security aspects. It is thus expected that a wide range of security will be delivered by managed security service providers. Beyond the slicing case, Security-as-a-Service may be considered as one of the very few directions to scale the security needs across the ICT infrastructure and services. </w:t>
      </w:r>
    </w:p>
    <w:p w14:paraId="47C8F3A9" w14:textId="77777777" w:rsidR="00A36EA6" w:rsidRPr="00A36EA6" w:rsidRDefault="00A36EA6" w:rsidP="00A36EA6">
      <w:pPr>
        <w:jc w:val="both"/>
        <w:rPr>
          <w:rFonts w:ascii="Arial" w:hAnsi="Arial" w:cs="Arial"/>
        </w:rPr>
      </w:pPr>
      <w:r w:rsidRPr="00A36EA6">
        <w:rPr>
          <w:rFonts w:ascii="Arial" w:hAnsi="Arial" w:cs="Arial"/>
        </w:rPr>
        <w:t>One associated challenge is to manage exposure, negotiation, monitoring, billing of service attributes, and in particular for security services allowing relevant usage of services. Similar to QoS issues, the qualification, evaluation, exposure of those attributes is a difficult problem considering variations of the systems and diversity of risk-based policies. As an example, Identity and Access Management (IAM) as a Service will be key to distribute and control respective authorities and access across multiple 5G systems stakeholders. Many other security aspects (Key Management, Intrusion detection ...) will be handled this way participating to the slice security.</w:t>
      </w:r>
    </w:p>
    <w:p w14:paraId="033863D4" w14:textId="77777777" w:rsidR="00A36EA6" w:rsidRPr="00A36EA6" w:rsidRDefault="00A36EA6" w:rsidP="00A36EA6">
      <w:pPr>
        <w:jc w:val="both"/>
        <w:rPr>
          <w:rFonts w:ascii="Arial" w:hAnsi="Arial" w:cs="Arial"/>
        </w:rPr>
      </w:pPr>
      <w:r w:rsidRPr="00A36EA6">
        <w:rPr>
          <w:rFonts w:ascii="Arial" w:hAnsi="Arial" w:cs="Arial"/>
          <w:b/>
          <w:bCs/>
        </w:rPr>
        <w:t>Scalability</w:t>
      </w:r>
      <w:r w:rsidRPr="00A36EA6">
        <w:rPr>
          <w:rFonts w:ascii="Arial" w:hAnsi="Arial" w:cs="Arial"/>
        </w:rPr>
        <w:t>: with ten’s of million of enterprise, it is an utopia to believe that skilled people, aware of latest and full Cyber threat Intelligence will be present all the time to protect enterprises or even governmental assets. Even with efforts to increase awareness of citizens, not everybody can be expert in security. Tus in order to reach the right scale of security delivery, it shall be done as much as possible with Security as a Service provided by trusted sources. Most of the time, the provider will need to come as Managed Security Service Provider (MSSP) I addition to the other parties (connectivity, computing, storage,…)</w:t>
      </w:r>
    </w:p>
    <w:p w14:paraId="255A6FCB" w14:textId="77777777" w:rsidR="00A36EA6" w:rsidRPr="00A36EA6" w:rsidRDefault="00A36EA6" w:rsidP="00A36EA6">
      <w:pPr>
        <w:jc w:val="both"/>
        <w:rPr>
          <w:rFonts w:ascii="Arial" w:hAnsi="Arial" w:cs="Arial"/>
        </w:rPr>
      </w:pPr>
    </w:p>
    <w:p w14:paraId="197F85EF" w14:textId="77777777" w:rsidR="00A36EA6" w:rsidRPr="00A36EA6" w:rsidRDefault="00A36EA6" w:rsidP="00DA6395">
      <w:pPr>
        <w:pStyle w:val="Heading3"/>
      </w:pPr>
      <w:bookmarkStart w:id="286" w:name="_Toc42177307"/>
      <w:r w:rsidRPr="00A36EA6">
        <w:t>Security orchestration</w:t>
      </w:r>
      <w:bookmarkEnd w:id="286"/>
    </w:p>
    <w:p w14:paraId="4C41DB5E" w14:textId="77777777" w:rsidR="00A36EA6" w:rsidRPr="00A36EA6" w:rsidRDefault="00A36EA6" w:rsidP="00A36EA6">
      <w:pPr>
        <w:jc w:val="both"/>
        <w:rPr>
          <w:rFonts w:ascii="Arial" w:hAnsi="Arial" w:cs="Arial"/>
        </w:rPr>
      </w:pPr>
      <w:r w:rsidRPr="00A36EA6">
        <w:rPr>
          <w:rFonts w:ascii="Arial" w:hAnsi="Arial" w:cs="Arial"/>
        </w:rPr>
        <w:t>Orchestration has been extensively addressed in this chapter as well as the rest of the document. Let’s just remind here that from security point of view:</w:t>
      </w:r>
    </w:p>
    <w:p w14:paraId="1589922C" w14:textId="77777777" w:rsidR="00A36EA6" w:rsidRPr="00A36EA6" w:rsidRDefault="00A36EA6" w:rsidP="00124439">
      <w:pPr>
        <w:numPr>
          <w:ilvl w:val="0"/>
          <w:numId w:val="62"/>
        </w:numPr>
        <w:contextualSpacing/>
        <w:jc w:val="both"/>
        <w:rPr>
          <w:rFonts w:ascii="Arial" w:hAnsi="Arial" w:cs="Arial"/>
        </w:rPr>
      </w:pPr>
      <w:r w:rsidRPr="00A36EA6">
        <w:rPr>
          <w:rFonts w:ascii="Arial" w:hAnsi="Arial" w:cs="Arial"/>
        </w:rPr>
        <w:t>orchestration will remain a tool to enforce the policies defined by users expectations</w:t>
      </w:r>
    </w:p>
    <w:p w14:paraId="59B96079" w14:textId="77777777" w:rsidR="00A36EA6" w:rsidRPr="00A36EA6" w:rsidRDefault="00A36EA6" w:rsidP="00124439">
      <w:pPr>
        <w:numPr>
          <w:ilvl w:val="0"/>
          <w:numId w:val="62"/>
        </w:numPr>
        <w:contextualSpacing/>
        <w:jc w:val="both"/>
        <w:rPr>
          <w:rFonts w:ascii="Arial" w:hAnsi="Arial" w:cs="Arial"/>
        </w:rPr>
      </w:pPr>
      <w:r w:rsidRPr="00A36EA6">
        <w:rPr>
          <w:rFonts w:ascii="Arial" w:hAnsi="Arial" w:cs="Arial"/>
        </w:rPr>
        <w:t>interoperability and combination of the various authority perimeters will be required to ensure global security</w:t>
      </w:r>
    </w:p>
    <w:p w14:paraId="37B6EE87" w14:textId="77777777" w:rsidR="00A36EA6" w:rsidRPr="00A36EA6" w:rsidRDefault="00A36EA6" w:rsidP="00124439">
      <w:pPr>
        <w:numPr>
          <w:ilvl w:val="0"/>
          <w:numId w:val="62"/>
        </w:numPr>
        <w:contextualSpacing/>
        <w:jc w:val="both"/>
        <w:rPr>
          <w:rFonts w:ascii="Arial" w:hAnsi="Arial" w:cs="Arial"/>
          <w:lang w:val="en-US"/>
        </w:rPr>
      </w:pPr>
      <w:r w:rsidRPr="00A36EA6">
        <w:rPr>
          <w:rFonts w:ascii="Arial" w:hAnsi="Arial" w:cs="Arial"/>
          <w:lang w:val="en-US"/>
        </w:rPr>
        <w:t>Smart protection deployment, smart detection deployment, smart remediation strategies will greatly benefit from the flexibility offered by orchestration</w:t>
      </w:r>
    </w:p>
    <w:p w14:paraId="7FE99272" w14:textId="77777777" w:rsidR="00A36EA6" w:rsidRPr="00A36EA6" w:rsidRDefault="00A36EA6" w:rsidP="00124439">
      <w:pPr>
        <w:numPr>
          <w:ilvl w:val="0"/>
          <w:numId w:val="62"/>
        </w:numPr>
        <w:contextualSpacing/>
        <w:jc w:val="both"/>
        <w:rPr>
          <w:rFonts w:ascii="Arial" w:hAnsi="Arial" w:cs="Arial"/>
          <w:lang w:val="en-US"/>
        </w:rPr>
      </w:pPr>
      <w:r w:rsidRPr="00A36EA6">
        <w:rPr>
          <w:rFonts w:ascii="Arial" w:hAnsi="Arial" w:cs="Arial"/>
          <w:lang w:val="en-US"/>
        </w:rPr>
        <w:t xml:space="preserve">Crossing another key area for research, orchestration will be smart and hopefully simple thanks to massive usage of </w:t>
      </w:r>
      <w:r w:rsidRPr="00A36EA6">
        <w:rPr>
          <w:rFonts w:ascii="Arial" w:hAnsi="Arial" w:cs="Arial"/>
          <w:u w:val="single"/>
          <w:lang w:val="en-US"/>
        </w:rPr>
        <w:t>Artificial Intelligence</w:t>
      </w:r>
      <w:r w:rsidRPr="00A36EA6">
        <w:rPr>
          <w:rFonts w:ascii="Arial" w:hAnsi="Arial" w:cs="Arial"/>
          <w:lang w:val="en-US"/>
        </w:rPr>
        <w:t xml:space="preserve"> technologies</w:t>
      </w:r>
    </w:p>
    <w:p w14:paraId="3EA424B6" w14:textId="77777777" w:rsidR="00A36EA6" w:rsidRPr="00A36EA6" w:rsidRDefault="00A36EA6" w:rsidP="00A36EA6">
      <w:pPr>
        <w:ind w:left="720"/>
        <w:contextualSpacing/>
        <w:jc w:val="both"/>
        <w:rPr>
          <w:rFonts w:ascii="Arial" w:hAnsi="Arial" w:cs="Arial"/>
          <w:lang w:val="en-US"/>
        </w:rPr>
      </w:pPr>
    </w:p>
    <w:p w14:paraId="3A21395A" w14:textId="77777777" w:rsidR="00A36EA6" w:rsidRPr="00A36EA6" w:rsidRDefault="00A36EA6" w:rsidP="00DA6395">
      <w:pPr>
        <w:pStyle w:val="Heading3"/>
        <w:rPr>
          <w:lang w:val="en-US"/>
        </w:rPr>
      </w:pPr>
      <w:bookmarkStart w:id="287" w:name="_Toc42177308"/>
      <w:r w:rsidRPr="00A36EA6">
        <w:rPr>
          <w:lang w:val="en-US"/>
        </w:rPr>
        <w:t>Disruptive Security Strategies</w:t>
      </w:r>
      <w:bookmarkEnd w:id="287"/>
    </w:p>
    <w:p w14:paraId="27A2065E" w14:textId="77777777" w:rsidR="00A36EA6" w:rsidRPr="00A36EA6" w:rsidRDefault="00A36EA6" w:rsidP="00A36EA6">
      <w:pPr>
        <w:jc w:val="both"/>
        <w:rPr>
          <w:rFonts w:ascii="Arial" w:hAnsi="Arial" w:cs="Arial"/>
          <w:lang w:val="en-US"/>
        </w:rPr>
      </w:pPr>
      <w:r w:rsidRPr="00A36EA6">
        <w:rPr>
          <w:rFonts w:ascii="Arial" w:hAnsi="Arial" w:cs="Arial"/>
          <w:lang w:val="en-US"/>
        </w:rPr>
        <w:t>With the unprecedented dynamics and growing complexity of the Digital landscape, cybersecurity strategies become more and more open to new concepts and somehow disruptions. Beyond traditional perimetric, defense in-depth, protection by-design, one can observe emergence of promising strategies taking benefits of systems properties or new technologies. Research priorites shoud encompass at least:</w:t>
      </w:r>
    </w:p>
    <w:p w14:paraId="0DDB015E" w14:textId="77777777" w:rsidR="00A36EA6" w:rsidRPr="00A36EA6" w:rsidRDefault="00A36EA6" w:rsidP="00124439">
      <w:pPr>
        <w:numPr>
          <w:ilvl w:val="0"/>
          <w:numId w:val="63"/>
        </w:numPr>
        <w:contextualSpacing/>
        <w:jc w:val="both"/>
        <w:rPr>
          <w:rFonts w:ascii="Arial" w:hAnsi="Arial" w:cs="Arial"/>
          <w:lang w:val="en-US"/>
        </w:rPr>
      </w:pPr>
      <w:r w:rsidRPr="00A36EA6">
        <w:rPr>
          <w:rFonts w:ascii="Arial" w:hAnsi="Arial" w:cs="Arial"/>
          <w:b/>
          <w:bCs/>
          <w:lang w:val="en-US"/>
        </w:rPr>
        <w:t>Deception</w:t>
      </w:r>
      <w:r w:rsidRPr="00A36EA6">
        <w:rPr>
          <w:rFonts w:ascii="Arial" w:hAnsi="Arial" w:cs="Arial"/>
          <w:lang w:val="en-US"/>
        </w:rPr>
        <w:t xml:space="preserve">: The control and flexibility of the software defined security is an enabler for innovative defence strategies. Among virtualized systems such as 5G slicing related security concepts, two categories are emerging, in both cases using the ability to </w:t>
      </w:r>
      <w:r w:rsidRPr="00A36EA6">
        <w:rPr>
          <w:rFonts w:ascii="Arial" w:hAnsi="Arial" w:cs="Arial"/>
          <w:lang w:val="en-US"/>
        </w:rPr>
        <w:lastRenderedPageBreak/>
        <w:t>automate the manipulation of the system morphology: • Micro-segmentation can provide fine grain isolation, specific access control and sticky security policies. • Deception, overcoming historical honeypots, is assuming that advanced (often unknown/zero days) attacks will be defeated by deceiving the attackers with enabled dynamic/smart proactive security.</w:t>
      </w:r>
    </w:p>
    <w:p w14:paraId="25D035FD" w14:textId="77777777" w:rsidR="00A36EA6" w:rsidRPr="00A36EA6" w:rsidRDefault="00A36EA6" w:rsidP="00A36EA6">
      <w:pPr>
        <w:ind w:left="720"/>
        <w:contextualSpacing/>
        <w:jc w:val="both"/>
        <w:rPr>
          <w:rFonts w:ascii="Arial" w:hAnsi="Arial" w:cs="Arial"/>
          <w:lang w:val="en-US"/>
        </w:rPr>
      </w:pPr>
    </w:p>
    <w:p w14:paraId="3FB3DF49" w14:textId="77777777" w:rsidR="00A36EA6" w:rsidRPr="00A36EA6" w:rsidRDefault="00A36EA6" w:rsidP="00124439">
      <w:pPr>
        <w:numPr>
          <w:ilvl w:val="0"/>
          <w:numId w:val="63"/>
        </w:numPr>
        <w:contextualSpacing/>
        <w:jc w:val="both"/>
        <w:rPr>
          <w:rFonts w:ascii="Arial" w:hAnsi="Arial" w:cs="Arial"/>
          <w:lang w:val="en-US"/>
        </w:rPr>
      </w:pPr>
      <w:r w:rsidRPr="00A36EA6">
        <w:rPr>
          <w:rFonts w:ascii="Arial" w:hAnsi="Arial" w:cs="Arial"/>
          <w:b/>
          <w:bCs/>
          <w:lang w:val="en-US"/>
        </w:rPr>
        <w:t>Moving Target Defense (MTD)</w:t>
      </w:r>
      <w:r w:rsidRPr="00A36EA6">
        <w:rPr>
          <w:rFonts w:ascii="Arial" w:hAnsi="Arial" w:cs="Arial"/>
          <w:lang w:val="en-US"/>
        </w:rPr>
        <w:t>: what if your critical assets were in continuous unpredictable (for the attackers) movement ? The capabilities offered by virtualization and orchestration enable new approaches and is a candidate for a solution set making life of attackers more difficult.</w:t>
      </w:r>
    </w:p>
    <w:p w14:paraId="7289CC15" w14:textId="77777777" w:rsidR="00A36EA6" w:rsidRPr="00A36EA6" w:rsidRDefault="00A36EA6" w:rsidP="00A36EA6">
      <w:pPr>
        <w:ind w:left="720"/>
        <w:contextualSpacing/>
        <w:jc w:val="both"/>
        <w:rPr>
          <w:rFonts w:ascii="Arial" w:hAnsi="Arial" w:cs="Arial"/>
          <w:lang w:val="en-US"/>
        </w:rPr>
      </w:pPr>
    </w:p>
    <w:p w14:paraId="2B67364B" w14:textId="77777777" w:rsidR="00A36EA6" w:rsidRPr="00A36EA6" w:rsidRDefault="00A36EA6" w:rsidP="00A36EA6">
      <w:pPr>
        <w:ind w:left="720"/>
        <w:contextualSpacing/>
        <w:jc w:val="both"/>
        <w:rPr>
          <w:rFonts w:ascii="Arial" w:hAnsi="Arial" w:cs="Arial"/>
          <w:lang w:val="en-US"/>
        </w:rPr>
      </w:pPr>
    </w:p>
    <w:p w14:paraId="1613AAD3" w14:textId="4536D400" w:rsidR="00A36EA6" w:rsidRPr="005F6376" w:rsidRDefault="00A36EA6" w:rsidP="00DA6395">
      <w:pPr>
        <w:pStyle w:val="Heading3"/>
        <w:rPr>
          <w:lang w:val="en-US"/>
        </w:rPr>
      </w:pPr>
      <w:bookmarkStart w:id="288" w:name="_Toc42177309"/>
      <w:r w:rsidRPr="00A36EA6">
        <w:rPr>
          <w:lang w:val="en-US"/>
        </w:rPr>
        <w:t>Distributed Ledger Technologies</w:t>
      </w:r>
      <w:bookmarkEnd w:id="288"/>
    </w:p>
    <w:p w14:paraId="0B8D176E"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evolution of the ICT infrastructure is coming after years of hyper-centralization, future opportunities and use cases take the assumption of hyper-connectivity for distributed applications. By nature, the widening of scope with edge computing, including mobility or IoT is re-introducing issues of distribution of trust across segments and stakeholders. </w:t>
      </w:r>
    </w:p>
    <w:p w14:paraId="3EC881F8"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role of the ICT infrastructure, beyond its own security, is to provide a trustworthy platform allowing development and innovation on top of it. Various verticals and applications will benefit from the critical infrastructure with inheritance of the security properties. </w:t>
      </w:r>
    </w:p>
    <w:p w14:paraId="2D2EEAFA" w14:textId="77777777" w:rsidR="00A36EA6" w:rsidRPr="00A36EA6" w:rsidRDefault="00A36EA6" w:rsidP="00A36EA6">
      <w:pPr>
        <w:jc w:val="both"/>
        <w:rPr>
          <w:rFonts w:ascii="Arial" w:hAnsi="Arial" w:cs="Arial"/>
          <w:lang w:val="en-US"/>
        </w:rPr>
      </w:pPr>
      <w:r w:rsidRPr="00A36EA6">
        <w:rPr>
          <w:rFonts w:ascii="Arial" w:hAnsi="Arial" w:cs="Arial"/>
          <w:lang w:val="en-US"/>
        </w:rPr>
        <w:t>With both intrinsic distribution issues and usage by verticals, one of the main challenges will be to manage the component of trust and their distribution, deployment and usage across the highly diverse and dynamic infrastructure. As mentioned before, the application of the perimetric security paradigm is not well suited for an architecture with billions of objects, sporadic activities, mobility. Novel approaches will have to be developed matching the ”metamorphic” properties, thus delivering smart tools for trust distribution and sharing within the unprecedented system complexity.</w:t>
      </w:r>
    </w:p>
    <w:p w14:paraId="7BF9312A"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Distributed ledgers, or blockchains are promising technologies expected to play an important role where the distribution aspects are predominant. Beyond the known basics of those technologies, issues related to the ”evolutivity”, the interoperability, the sharing between numerous private/public initiatives are specifics of the ICT application. </w:t>
      </w:r>
    </w:p>
    <w:p w14:paraId="21E008E1"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Further research is required on DLTs integrated with distributed architecture and edge processing to support the regulatory requirements of business/industrial IoT applications and moving from a centralized to decentralized transaction model. Adoption of these technologies faces challenges across scalability, performance and storage. </w:t>
      </w:r>
    </w:p>
    <w:p w14:paraId="2AC15384" w14:textId="77777777" w:rsidR="00A36EA6" w:rsidRPr="00A36EA6" w:rsidRDefault="00A36EA6" w:rsidP="00A36EA6">
      <w:pPr>
        <w:jc w:val="both"/>
        <w:rPr>
          <w:rFonts w:ascii="Arial" w:hAnsi="Arial" w:cs="Arial"/>
          <w:lang w:val="en-US"/>
        </w:rPr>
      </w:pPr>
      <w:r w:rsidRPr="00A36EA6">
        <w:rPr>
          <w:rFonts w:ascii="Arial" w:hAnsi="Arial" w:cs="Arial"/>
          <w:lang w:val="en-US"/>
        </w:rPr>
        <w:t xml:space="preserve">The research challenges include techniques for increased scalability especially regarding consensus mechanisms (DLTs and blockchains do not scale as required by IoT applications for use in distributed systems), solutions for dealing with processing power constraints against requirements, simplifying implementations, and interoperability between DLTs. Different participation modes are envisioned for DLTs, ranging from fully non-permissioned approaches to various forms of permissioned DLTs. If non-permissioned DLTs are desired, strategies have to be devised to reduce the size of on-chain data and computation. One possible solution is to devise suitable sharding and anchoring mechanisms. Hence, a large-scale DLT could be partitioned into smaller and independent DLTs, which are then bridged together to achieve target performance while ensuring data integrity and isolation. </w:t>
      </w:r>
    </w:p>
    <w:p w14:paraId="55ADB622" w14:textId="77777777" w:rsidR="00A36EA6" w:rsidRPr="00A36EA6" w:rsidRDefault="00A36EA6" w:rsidP="00A36EA6">
      <w:pPr>
        <w:jc w:val="both"/>
        <w:rPr>
          <w:rFonts w:ascii="Arial" w:hAnsi="Arial" w:cs="Arial"/>
          <w:lang w:val="en-US"/>
        </w:rPr>
      </w:pPr>
      <w:r w:rsidRPr="00A36EA6">
        <w:rPr>
          <w:rFonts w:ascii="Arial" w:hAnsi="Arial" w:cs="Arial"/>
          <w:lang w:val="en-US"/>
        </w:rPr>
        <w:lastRenderedPageBreak/>
        <w:t xml:space="preserve">Another key challenge is how to adjust the operation of a DLT to the different target performance of IoT-based use cases, including lower latency for real-time monitoring applications, or the dynamism of the IoT network where new IoT devices can join, and existing IoT devices can leave at any time. Some non-permissioned blockchains support so called light clients (e.g., Ethereum) which are better suited for IoT devices with limited computational capabilities. The light nodes have to communicate with so called full nodes (holding full state of blockchain) to find the desired blocks and, thus, it might be necessary to place full nodes close to the network edge in order to minimize traffic load and delays. One proposed solution to DLT scaling issues is to use Directed Acyclic Graphs (DAG) instead of blockchain. The main benefits of DAG based DLTs is that miners are not needed and thus DAGs can process larger amounts of transactions with shorter delays and much lower energy consumption. However, there are some concerns about security and resilience against malicious users and thus DAG-based solutions might be better suited for permissioned DLTs. There are already some real-life demonstrations for DAG-based IoT systems and micropayments (e.g., IOTA Tangle) and, thus, supporting such systems at network edge should be considered. Extending multivendor and multioperator federated edge computing all the way to far edge devices will mean that there will be a huge set of computing nodes, attached devices and various versions of software and firmware installations. </w:t>
      </w:r>
    </w:p>
    <w:p w14:paraId="043125A0" w14:textId="77777777" w:rsidR="00A36EA6" w:rsidRPr="00A36EA6" w:rsidRDefault="00A36EA6" w:rsidP="00A36EA6">
      <w:pPr>
        <w:jc w:val="both"/>
        <w:rPr>
          <w:rFonts w:ascii="Arial" w:hAnsi="Arial" w:cs="Arial"/>
          <w:lang w:val="en-US"/>
        </w:rPr>
      </w:pPr>
      <w:r w:rsidRPr="00A36EA6">
        <w:rPr>
          <w:rFonts w:ascii="Arial" w:hAnsi="Arial" w:cs="Arial"/>
          <w:lang w:val="en-US"/>
        </w:rPr>
        <w:t>Furthermore, at far edge, the physical security of the devices can be much easier compromised compared to centralized cloud infrastructure. Thus, various security measures are needed to enable various involved parties to ensure that the network infrastructure is not compromised. Permissioned DLTs can provide suitable mechanisms for this kind of needs. As the participants to permissioned DLTs can be trusted, there is no need for energy and time-consuming consensus methods, and more efficient methods like Paxos or Raft can be used. Smart contracts can be utilized to create automated mechanisms for leasing edge computation capacity. DLTs can be also used as an immutable log for tracking the lifetime of edge computing equipment, sensors and IoT devices from manufacturing to installation and operation, and finally decommissioning.</w:t>
      </w:r>
    </w:p>
    <w:p w14:paraId="6C7D147C" w14:textId="77777777" w:rsidR="00A36EA6" w:rsidRPr="00A36EA6" w:rsidRDefault="00A36EA6" w:rsidP="00A36EA6">
      <w:pPr>
        <w:jc w:val="both"/>
        <w:rPr>
          <w:rFonts w:ascii="Arial" w:hAnsi="Arial" w:cs="Arial"/>
          <w:lang w:val="en-US"/>
        </w:rPr>
      </w:pPr>
    </w:p>
    <w:p w14:paraId="136D6EA0" w14:textId="343F7F23" w:rsidR="00A36EA6" w:rsidRPr="005F6376" w:rsidRDefault="00A36EA6" w:rsidP="00DA6395">
      <w:pPr>
        <w:pStyle w:val="Heading3"/>
        <w:rPr>
          <w:lang w:val="en-US"/>
        </w:rPr>
      </w:pPr>
      <w:bookmarkStart w:id="289" w:name="_Toc42177310"/>
      <w:r w:rsidRPr="00A36EA6">
        <w:rPr>
          <w:lang w:val="en-US"/>
        </w:rPr>
        <w:t>Artificial Intelligence</w:t>
      </w:r>
      <w:bookmarkEnd w:id="289"/>
    </w:p>
    <w:p w14:paraId="6839B91A" w14:textId="77777777" w:rsidR="00A36EA6" w:rsidRPr="00A36EA6" w:rsidRDefault="00A36EA6" w:rsidP="00A36EA6">
      <w:pPr>
        <w:jc w:val="both"/>
        <w:rPr>
          <w:rFonts w:ascii="Arial" w:hAnsi="Arial" w:cs="Arial"/>
          <w:lang w:val="en-US"/>
        </w:rPr>
      </w:pPr>
      <w:r w:rsidRPr="00A36EA6">
        <w:rPr>
          <w:rFonts w:ascii="Arial" w:hAnsi="Arial" w:cs="Arial"/>
          <w:lang w:val="en-US"/>
        </w:rPr>
        <w:t>The increased application of AI technologies such as, (but not limited to) Machine Learning, and other data analytics technologies raise the question about their robustness and inherent vulnerabilities. These technologies are a source for new attack vectors. On the other side applying these technologies in the security domain enable more intelligent security solutions. Both aspects of AI and security, the security of these new technologies itself (how to make them more robust and secure) and applying these technologies to create more intelligent security solutions should be addressed in security research with a focus on research areas like:</w:t>
      </w:r>
    </w:p>
    <w:p w14:paraId="097F1781" w14:textId="77777777" w:rsidR="00A36EA6" w:rsidRPr="00A36EA6" w:rsidRDefault="00A36EA6" w:rsidP="00A36EA6">
      <w:pPr>
        <w:jc w:val="both"/>
        <w:rPr>
          <w:rFonts w:ascii="Arial" w:hAnsi="Arial" w:cs="Arial"/>
          <w:lang w:val="en-US"/>
        </w:rPr>
      </w:pPr>
      <w:r w:rsidRPr="00A36EA6">
        <w:rPr>
          <w:rFonts w:ascii="Arial" w:hAnsi="Arial" w:cs="Arial"/>
          <w:b/>
          <w:bCs/>
          <w:lang w:val="en-US"/>
        </w:rPr>
        <w:t>Dependencies between physical and cyber world</w:t>
      </w:r>
      <w:r w:rsidRPr="00A36EA6">
        <w:rPr>
          <w:rFonts w:ascii="Arial" w:hAnsi="Arial" w:cs="Arial"/>
          <w:lang w:val="en-US"/>
        </w:rPr>
        <w:t xml:space="preserve"> aspects in connected cyber physical systems and their impact on security: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 security monitoring can be improved by integrating information and models about the physical world (e.g. ignoring anomalies caused by a known physical component fault).</w:t>
      </w:r>
    </w:p>
    <w:p w14:paraId="6BB56968" w14:textId="77777777" w:rsidR="00A36EA6" w:rsidRPr="00A36EA6" w:rsidRDefault="00A36EA6" w:rsidP="00A36EA6">
      <w:pPr>
        <w:jc w:val="both"/>
        <w:rPr>
          <w:rFonts w:ascii="Arial" w:hAnsi="Arial" w:cs="Arial"/>
          <w:lang w:val="en-US"/>
        </w:rPr>
      </w:pPr>
      <w:r w:rsidRPr="00A36EA6">
        <w:rPr>
          <w:rFonts w:ascii="Arial" w:hAnsi="Arial" w:cs="Arial"/>
          <w:b/>
          <w:bCs/>
          <w:lang w:val="en-US"/>
        </w:rPr>
        <w:t>Security risks inherent to AI systems</w:t>
      </w:r>
      <w:r w:rsidRPr="00A36EA6">
        <w:rPr>
          <w:rFonts w:ascii="Arial" w:hAnsi="Arial" w:cs="Arial"/>
          <w:lang w:val="en-US"/>
        </w:rPr>
        <w:t xml:space="preserve">: We need a better understanding of the robustness of AI-based systems. These systems should be aware of the limitations of their models and </w:t>
      </w:r>
      <w:r w:rsidRPr="00A36EA6">
        <w:rPr>
          <w:rFonts w:ascii="Arial" w:hAnsi="Arial" w:cs="Arial"/>
          <w:lang w:val="en-US"/>
        </w:rPr>
        <w:lastRenderedPageBreak/>
        <w:t>know the assumptions underlying it. A main security threat of AI/ML systems are adversarial learning attacks, the manipulation of the learning sample set, which in the worst case allows to create hidden backdoors.</w:t>
      </w:r>
    </w:p>
    <w:p w14:paraId="2999A7CE" w14:textId="77777777" w:rsidR="00A36EA6" w:rsidRPr="00A36EA6" w:rsidRDefault="00A36EA6" w:rsidP="00A36EA6">
      <w:pPr>
        <w:jc w:val="both"/>
        <w:rPr>
          <w:rFonts w:ascii="Arial" w:hAnsi="Arial" w:cs="Arial"/>
          <w:lang w:val="en-US"/>
        </w:rPr>
      </w:pPr>
      <w:r w:rsidRPr="00A36EA6">
        <w:rPr>
          <w:rFonts w:ascii="Arial" w:hAnsi="Arial" w:cs="Arial"/>
          <w:b/>
          <w:bCs/>
          <w:lang w:val="en-US"/>
        </w:rPr>
        <w:t>xAI</w:t>
      </w:r>
      <w:r w:rsidRPr="00A36EA6">
        <w:rPr>
          <w:rFonts w:ascii="Arial" w:hAnsi="Arial" w:cs="Arial"/>
          <w:lang w:val="en-US"/>
        </w:rPr>
        <w:t xml:space="preserve"> systems that can explain their response: In particular, deep learning technology needs to be enhanced by integrating and creating human understandable models and reasoning. This is relevant for human interaction with such systems and the acceptance of semi-autonomously acting systems.</w:t>
      </w:r>
    </w:p>
    <w:p w14:paraId="06C74868" w14:textId="77777777" w:rsidR="00A36EA6" w:rsidRPr="00A36EA6" w:rsidRDefault="00A36EA6" w:rsidP="00A36EA6">
      <w:pPr>
        <w:jc w:val="both"/>
        <w:rPr>
          <w:rFonts w:ascii="Arial" w:hAnsi="Arial" w:cs="Arial"/>
          <w:lang w:val="en-US"/>
        </w:rPr>
      </w:pPr>
      <w:r w:rsidRPr="00A36EA6">
        <w:rPr>
          <w:rFonts w:ascii="Arial" w:hAnsi="Arial" w:cs="Arial"/>
          <w:b/>
          <w:bCs/>
          <w:lang w:val="en-US"/>
        </w:rPr>
        <w:t>Security in black</w:t>
      </w:r>
      <w:r w:rsidRPr="00A36EA6">
        <w:rPr>
          <w:rFonts w:ascii="Arial" w:hAnsi="Arial" w:cs="Arial"/>
          <w:lang w:val="en-US"/>
        </w:rPr>
        <w:t>:  Security analytics is facing encrypted data. Today security monitoring and anomaly detection very much depend on data that is not available in case of encrypted traffic. This data needs to be substituted by sampling and analysing new types of data and traffic characteristics that are available also in case of encrypted data and allow similar effective security analytics.</w:t>
      </w:r>
    </w:p>
    <w:p w14:paraId="26316499" w14:textId="77777777" w:rsidR="00A36EA6" w:rsidRPr="00A36EA6" w:rsidRDefault="00A36EA6" w:rsidP="00A36EA6">
      <w:pPr>
        <w:jc w:val="both"/>
        <w:rPr>
          <w:rFonts w:ascii="Arial" w:hAnsi="Arial" w:cs="Arial"/>
          <w:lang w:val="en-US"/>
        </w:rPr>
      </w:pPr>
      <w:r w:rsidRPr="00A36EA6">
        <w:rPr>
          <w:rFonts w:ascii="Arial" w:hAnsi="Arial" w:cs="Arial"/>
          <w:b/>
          <w:bCs/>
          <w:lang w:val="en-US"/>
        </w:rPr>
        <w:t>Smart autonomous orchestration</w:t>
      </w:r>
      <w:r w:rsidRPr="00A36EA6">
        <w:rPr>
          <w:rFonts w:ascii="Arial" w:hAnsi="Arial" w:cs="Arial"/>
          <w:lang w:val="en-US"/>
        </w:rPr>
        <w:t xml:space="preserve">: beyond statistical learning technologies, AI scope should encompass, part of control theory in order to enable appropriate response to the ever-growing catalog of attacks. From fingerprinting of radios equipment , jamming source detection,… to global coordinated response to incident, numerous AI-based schemes are relevant in the various security phases. </w:t>
      </w:r>
    </w:p>
    <w:p w14:paraId="4FECF881" w14:textId="77777777" w:rsidR="00A36EA6" w:rsidRPr="00A36EA6" w:rsidRDefault="00A36EA6" w:rsidP="00A36EA6">
      <w:pPr>
        <w:jc w:val="both"/>
        <w:rPr>
          <w:rFonts w:ascii="Arial" w:hAnsi="Arial" w:cs="Arial"/>
          <w:lang w:val="en-US"/>
        </w:rPr>
      </w:pPr>
      <w:r w:rsidRPr="00A36EA6">
        <w:rPr>
          <w:rFonts w:ascii="Arial" w:hAnsi="Arial" w:cs="Arial"/>
          <w:b/>
          <w:bCs/>
          <w:lang w:val="en-US"/>
        </w:rPr>
        <w:t>CTI</w:t>
      </w:r>
      <w:r w:rsidRPr="00A36EA6">
        <w:rPr>
          <w:rFonts w:ascii="Arial" w:hAnsi="Arial" w:cs="Arial"/>
          <w:lang w:val="en-US"/>
        </w:rPr>
        <w:t>:  Automated threat Intelligence creation and management: This will be a differentiating factor in future security business and pervasive use of AI is the means to achieve this. The final goal is to create even some predictive capabilities. Challenges are to automatically collect and analyse examples from deployed security appliances, create new learning examples, measuring the effectiveness and efficiency of currently deployed models, and incrementally optimise the model learning. Another challenge is utilizing a diversity of other Threat Intelligence resources (structured and unstructured) and being able to exchange and combine models.</w:t>
      </w:r>
    </w:p>
    <w:p w14:paraId="2044C93F" w14:textId="35525FC1" w:rsidR="00F0496C" w:rsidRPr="00A06FBC" w:rsidRDefault="00F0496C" w:rsidP="00A06FBC">
      <w:pPr>
        <w:jc w:val="both"/>
        <w:rPr>
          <w:rFonts w:ascii="Arial" w:hAnsi="Arial" w:cs="Arial"/>
          <w:lang w:val="en-US"/>
        </w:rPr>
      </w:pPr>
      <w:r>
        <w:rPr>
          <w:lang w:eastAsia="de-DE"/>
        </w:rPr>
        <w:br w:type="page"/>
      </w:r>
    </w:p>
    <w:p w14:paraId="702B52CC" w14:textId="14818A8F" w:rsidR="001A3B3E" w:rsidRDefault="00235152" w:rsidP="00124439">
      <w:pPr>
        <w:pStyle w:val="Heading1"/>
        <w:numPr>
          <w:ilvl w:val="0"/>
          <w:numId w:val="9"/>
        </w:numPr>
        <w:rPr>
          <w:lang w:eastAsia="de-DE"/>
        </w:rPr>
      </w:pPr>
      <w:bookmarkStart w:id="290" w:name="_Toc511140349"/>
      <w:bookmarkStart w:id="291" w:name="_Toc42177311"/>
      <w:bookmarkEnd w:id="290"/>
      <w:r w:rsidRPr="0037183E">
        <w:rPr>
          <w:lang w:eastAsia="de-DE"/>
        </w:rPr>
        <w:lastRenderedPageBreak/>
        <w:t>Satellite Communications Technologies</w:t>
      </w:r>
      <w:bookmarkEnd w:id="291"/>
    </w:p>
    <w:p w14:paraId="4FE5E128" w14:textId="77777777" w:rsidR="00D77515" w:rsidRPr="00D77515" w:rsidRDefault="00D77515" w:rsidP="00CE51ED">
      <w:pPr>
        <w:rPr>
          <w:rFonts w:ascii="Arial" w:eastAsiaTheme="majorEastAsia" w:hAnsi="Arial" w:cstheme="majorBidi"/>
          <w:b/>
          <w:vanish/>
          <w:sz w:val="26"/>
          <w:szCs w:val="26"/>
        </w:rPr>
      </w:pPr>
      <w:bookmarkStart w:id="292" w:name="_Toc40773133"/>
      <w:bookmarkStart w:id="293" w:name="_Toc40784108"/>
      <w:bookmarkStart w:id="294" w:name="_Toc40792945"/>
      <w:bookmarkStart w:id="295" w:name="_Toc41304052"/>
      <w:bookmarkStart w:id="296" w:name="_Toc41304538"/>
      <w:bookmarkStart w:id="297" w:name="_Toc41304727"/>
      <w:bookmarkStart w:id="298" w:name="_Toc41304916"/>
      <w:bookmarkEnd w:id="292"/>
      <w:bookmarkEnd w:id="293"/>
      <w:bookmarkEnd w:id="294"/>
      <w:bookmarkEnd w:id="295"/>
      <w:bookmarkEnd w:id="296"/>
      <w:bookmarkEnd w:id="297"/>
      <w:bookmarkEnd w:id="298"/>
    </w:p>
    <w:p w14:paraId="6C334CCE" w14:textId="51BBBEBA" w:rsidR="005F6376" w:rsidRDefault="0035517D" w:rsidP="00124439">
      <w:pPr>
        <w:keepNext/>
        <w:keepLines/>
        <w:numPr>
          <w:ilvl w:val="1"/>
          <w:numId w:val="9"/>
        </w:numPr>
        <w:spacing w:before="480" w:after="0"/>
        <w:ind w:left="578" w:hanging="578"/>
        <w:outlineLvl w:val="1"/>
        <w:rPr>
          <w:rFonts w:ascii="Arial" w:eastAsiaTheme="majorEastAsia" w:hAnsi="Arial" w:cstheme="majorBidi"/>
          <w:b/>
          <w:sz w:val="26"/>
          <w:szCs w:val="26"/>
        </w:rPr>
      </w:pPr>
      <w:bookmarkStart w:id="299" w:name="_Toc42177312"/>
      <w:bookmarkStart w:id="300" w:name="_Toc37227304"/>
      <w:r w:rsidRPr="0035517D">
        <w:rPr>
          <w:rFonts w:ascii="Arial" w:eastAsiaTheme="majorEastAsia" w:hAnsi="Arial" w:cstheme="majorBidi"/>
          <w:b/>
          <w:sz w:val="26"/>
          <w:szCs w:val="26"/>
        </w:rPr>
        <w:t>Introduction</w:t>
      </w:r>
      <w:bookmarkEnd w:id="299"/>
    </w:p>
    <w:p w14:paraId="2A90C4A8" w14:textId="77777777" w:rsidR="005F6376" w:rsidRPr="005F6376" w:rsidRDefault="005F6376" w:rsidP="005F6376">
      <w:pPr>
        <w:keepNext/>
        <w:keepLines/>
        <w:spacing w:after="0"/>
        <w:outlineLvl w:val="1"/>
        <w:rPr>
          <w:rFonts w:ascii="Arial" w:eastAsiaTheme="majorEastAsia" w:hAnsi="Arial" w:cstheme="majorBidi"/>
          <w:b/>
          <w:sz w:val="26"/>
          <w:szCs w:val="26"/>
        </w:rPr>
      </w:pPr>
    </w:p>
    <w:p w14:paraId="63753FFE"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US"/>
        </w:rPr>
        <w:t xml:space="preserve">Today’s non-terrestrial networks are based on a communication model in which, from an end-to-end perspective, satellites provide point-to-point forwarding support toward a complex ground infrastructure consisting of the interconnection of heterogeneous networks. In this model, satellites are flying in different orbits, i.e., </w:t>
      </w:r>
      <w:r w:rsidRPr="0035517D">
        <w:rPr>
          <w:rFonts w:ascii="Arial" w:hAnsi="Arial" w:cs="Arial"/>
        </w:rPr>
        <w:t xml:space="preserve">Geostationary orbit (GEO), and non-geostationary orbit (NGSO) such as Medium Earth Orbit (MEO), Low Earth Orbit (LEO), and very Low Earth Orbit (vLEO), and can be interconnected by inter-satellite links, i.e., communication links between satellites flying in the same orbits. Satellites in different orbits essentially operate as separate systems providing different type of services and applications’ support, from broadcasting to broadband, from critical infrastructure interconnection to Internet of Things (IoT). Integration of these separate systems in the overall telecommunication infrastructure has been </w:t>
      </w:r>
      <w:r w:rsidRPr="0035517D">
        <w:rPr>
          <w:rFonts w:ascii="Arial" w:hAnsi="Arial" w:cs="Arial"/>
          <w:lang w:val="en-US"/>
        </w:rPr>
        <w:t xml:space="preserve">mainly based on proprietary and custom solutions. Moreover, satellite networks have been so far considered completely independent of terrestrial networks and mainly used to provide backhauling solution for the terrestrial infrastructure. </w:t>
      </w:r>
      <w:r w:rsidRPr="0035517D">
        <w:rPr>
          <w:rFonts w:ascii="Arial" w:hAnsi="Arial" w:cs="Arial"/>
        </w:rPr>
        <w:t xml:space="preserve">However, it is now well understood that future networks and systems will be able to provide access to all essential services everywhere, anytime, at any device only through a shift of paradigm in which heterogeneous networks are integrated into a single network of networks. </w:t>
      </w:r>
    </w:p>
    <w:p w14:paraId="2424DBCD" w14:textId="2C1D4D94" w:rsidR="0035517D" w:rsidRPr="0035517D" w:rsidRDefault="0035517D" w:rsidP="0035517D">
      <w:pPr>
        <w:spacing w:after="60" w:line="240" w:lineRule="auto"/>
        <w:jc w:val="both"/>
        <w:rPr>
          <w:rFonts w:ascii="Arial" w:hAnsi="Arial" w:cs="Arial"/>
        </w:rPr>
      </w:pPr>
      <w:r w:rsidRPr="0035517D">
        <w:rPr>
          <w:rFonts w:ascii="Arial" w:hAnsi="Arial" w:cs="Arial"/>
        </w:rPr>
        <w:t xml:space="preserve">The current Non-Terrestrial Network (NTN) architecture shall therefore evolve toward a flexible, and yet scalable and cost-efficient, hierarchical architecture </w:t>
      </w:r>
      <w:r>
        <w:rPr>
          <w:rFonts w:ascii="Arial" w:hAnsi="Arial" w:cs="Arial"/>
        </w:rPr>
        <w:t>[C9-</w:t>
      </w:r>
      <w:r w:rsidRPr="0035517D">
        <w:rPr>
          <w:rFonts w:ascii="Arial" w:hAnsi="Arial" w:cs="Arial"/>
        </w:rPr>
        <w:t xml:space="preserve">13, </w:t>
      </w:r>
      <w:r>
        <w:rPr>
          <w:rFonts w:ascii="Arial" w:hAnsi="Arial" w:cs="Arial"/>
        </w:rPr>
        <w:t>C</w:t>
      </w:r>
      <w:r w:rsidRPr="0035517D">
        <w:rPr>
          <w:rFonts w:ascii="Arial" w:hAnsi="Arial" w:cs="Arial"/>
        </w:rPr>
        <w:t>9-14] seamlessly integrated with the terrestrial telecommunication infrastructure and able to support space-borne nodes, e.g., satellites in different orbits, i.e., GEO and NGSO, and air-borne nodes, i.e., High Altitude Platforms (HAPs) and Unmanned Air Vehicles (UAVs). Flying nodes are possibly interconnected through inter-satellite, or inter-node, links providing support for communications both intra-segment, i.e., among nodes of the same constellations, or inter-segment, i.e., among nodes of different constellations. This creates a three-dimension multi-layered NTN architecture fully supporting future networks, systems, and services.</w:t>
      </w:r>
    </w:p>
    <w:p w14:paraId="351109DC" w14:textId="77777777" w:rsidR="0035517D" w:rsidRPr="0035517D" w:rsidRDefault="0035517D" w:rsidP="0035517D">
      <w:pPr>
        <w:spacing w:after="60" w:line="240" w:lineRule="auto"/>
        <w:jc w:val="both"/>
        <w:rPr>
          <w:rFonts w:ascii="Arial" w:hAnsi="Arial" w:cs="Arial"/>
        </w:rPr>
      </w:pPr>
      <w:r w:rsidRPr="0035517D">
        <w:rPr>
          <w:rFonts w:ascii="Arial" w:hAnsi="Arial" w:cs="Arial"/>
        </w:rPr>
        <w:t>The research and innovation challenges that shall be addressed in the next decades to fully enable this architecture and thus exploit the full potentiality of the NTN component are presented in this chapter along with their expected impact.</w:t>
      </w:r>
    </w:p>
    <w:p w14:paraId="69B41436" w14:textId="22387DA1"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01" w:name="_Toc37132021"/>
      <w:bookmarkStart w:id="302" w:name="_Toc42177313"/>
      <w:r w:rsidRPr="0035517D">
        <w:rPr>
          <w:rFonts w:ascii="Arial" w:eastAsiaTheme="majorEastAsia" w:hAnsi="Arial" w:cs="Arial"/>
          <w:b/>
          <w:sz w:val="26"/>
          <w:szCs w:val="26"/>
        </w:rPr>
        <w:t>System architectures</w:t>
      </w:r>
      <w:bookmarkEnd w:id="301"/>
      <w:bookmarkEnd w:id="302"/>
    </w:p>
    <w:p w14:paraId="6C3856E3" w14:textId="77777777" w:rsidR="005F6376" w:rsidRPr="0035517D" w:rsidRDefault="005F6376" w:rsidP="005F6376">
      <w:pPr>
        <w:keepNext/>
        <w:keepLines/>
        <w:spacing w:after="0"/>
        <w:outlineLvl w:val="1"/>
        <w:rPr>
          <w:rFonts w:ascii="Arial" w:eastAsiaTheme="majorEastAsia" w:hAnsi="Arial" w:cs="Arial"/>
          <w:b/>
          <w:sz w:val="26"/>
          <w:szCs w:val="26"/>
        </w:rPr>
      </w:pPr>
    </w:p>
    <w:p w14:paraId="3C784CE9" w14:textId="77777777" w:rsidR="0035517D" w:rsidRPr="0035517D" w:rsidRDefault="0035517D" w:rsidP="0035517D">
      <w:pPr>
        <w:spacing w:after="60" w:line="240" w:lineRule="auto"/>
        <w:jc w:val="both"/>
        <w:rPr>
          <w:rFonts w:ascii="Arial" w:hAnsi="Arial" w:cs="Arial"/>
        </w:rPr>
      </w:pPr>
      <w:r w:rsidRPr="0035517D">
        <w:rPr>
          <w:rFonts w:ascii="Arial" w:hAnsi="Arial" w:cs="Arial"/>
        </w:rPr>
        <w:t>Different main factors are contributing to the evolution of the satellite system architecture in the next decades:</w:t>
      </w:r>
    </w:p>
    <w:p w14:paraId="6E2B52B2"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growth of data rates and throughput thanks to the use of wideband transponders, higher spectral efficiency figures (about 7 bps/Hz) and the adoption of new frequencies, e.g., Q/V band and even optical communications offering larger bandwidths for feeder-links and intersatellite links;</w:t>
      </w:r>
    </w:p>
    <w:p w14:paraId="0F105E85"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 xml:space="preserve">advances in Software-Defined Radio (SDR) allowing for flexible, reconfigurable and cost-efficient payloads; the integrated use of different orbits, GEO, MEO, LEO and vLEO; </w:t>
      </w:r>
    </w:p>
    <w:p w14:paraId="0206BE81"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 xml:space="preserve">the design and deployment of new constellations such as, mega-constellations with hundreds or thousands of satellites or incomplete constellations with few tens of satellites interconnected through inter-segment links; </w:t>
      </w:r>
    </w:p>
    <w:p w14:paraId="57C71874"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 xml:space="preserve">reduction of the size of the satellite hardware components, both the primary ones, such as engine, attitude control, battery, antennas, and the payload ones; </w:t>
      </w:r>
    </w:p>
    <w:p w14:paraId="0C01FFD3"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lastRenderedPageBreak/>
        <w:t xml:space="preserve">development of new generation of micro, nano, and pico satellites providing lower costs, low communication latencies, low energy consumptions, and high fault tolerance </w:t>
      </w:r>
    </w:p>
    <w:p w14:paraId="43BFF86D" w14:textId="77777777" w:rsidR="0035517D" w:rsidRPr="0035517D" w:rsidRDefault="0035517D" w:rsidP="00124439">
      <w:pPr>
        <w:pStyle w:val="ListParagraph"/>
        <w:numPr>
          <w:ilvl w:val="0"/>
          <w:numId w:val="78"/>
        </w:numPr>
        <w:tabs>
          <w:tab w:val="num" w:pos="360"/>
        </w:tabs>
        <w:spacing w:line="240" w:lineRule="auto"/>
        <w:rPr>
          <w:rFonts w:ascii="Arial" w:hAnsi="Arial" w:cs="Arial"/>
          <w:lang w:val="en-US"/>
        </w:rPr>
      </w:pPr>
      <w:r w:rsidRPr="0035517D">
        <w:rPr>
          <w:rFonts w:ascii="Arial" w:hAnsi="Arial" w:cs="Arial"/>
          <w:lang w:val="en-US"/>
        </w:rPr>
        <w:t>softwarization of the ground and space segment aiming at a fully satellite network virtualization based on software defined ground and space segments; integration in the telecommunication infrastructure through orchestration and coordination of the virtualized NTN objects.</w:t>
      </w:r>
    </w:p>
    <w:p w14:paraId="36AA3EF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rPr>
        <w:t>In the following the main research and innovation challenges related to the evolution of the system architecture are described</w:t>
      </w:r>
    </w:p>
    <w:p w14:paraId="3C3E93F9" w14:textId="77777777" w:rsidR="0035517D" w:rsidRPr="0035517D" w:rsidRDefault="0035517D" w:rsidP="0035517D">
      <w:pPr>
        <w:keepNext/>
        <w:spacing w:after="0"/>
        <w:outlineLvl w:val="3"/>
        <w:rPr>
          <w:rFonts w:ascii="Arial" w:hAnsi="Arial" w:cs="Arial"/>
          <w:u w:val="single"/>
        </w:rPr>
      </w:pPr>
      <w:bookmarkStart w:id="303" w:name="_Toc37132024"/>
      <w:r w:rsidRPr="0035517D">
        <w:rPr>
          <w:rFonts w:ascii="Arial" w:hAnsi="Arial" w:cs="Arial"/>
          <w:u w:val="single"/>
        </w:rPr>
        <w:t>HTS broadband GEO</w:t>
      </w:r>
    </w:p>
    <w:p w14:paraId="47BF962B" w14:textId="72555ACF"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In the last two years, the next growth axis of the SatCom market has taken shape with the launch of high throughput satellites (HTS) and payloads worldwide enabling efficient highspeed internet-by-satellite. Achieving large capacity is the next milestone for the satellite industry in Europe, to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to implement microwave photonic on-board processing functionalities. On the other hand, GEO satellites will be also crucial in providing coverage with IoT direct access for non-delay critical applications with ultra-low data rate requirements </w:t>
      </w:r>
      <w:r>
        <w:rPr>
          <w:rFonts w:ascii="Arial" w:hAnsi="Arial" w:cs="Arial"/>
        </w:rPr>
        <w:t>[C9-</w:t>
      </w:r>
      <w:r w:rsidRPr="0035517D">
        <w:rPr>
          <w:rFonts w:ascii="Arial" w:hAnsi="Arial" w:cs="Arial"/>
        </w:rPr>
        <w:t>15]</w:t>
      </w:r>
    </w:p>
    <w:p w14:paraId="1BF0B9E1"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HTS broadband MEO</w:t>
      </w:r>
    </w:p>
    <w:p w14:paraId="7D17A06F"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MEO satellites (e.g., O3b with a constellation of MEO satellites) is addressing emerging and insufficiently connected markets mostly in Latin America, Africa, the Middle East, Asia, and the Pacific while offering a low latency approach. One of the main advantages is to provide data access at a reasonable latency given the lower altitude of MEO satellites with respect to the GEO counterparts. However, a more advanced design of antennas is necessary to boost the performance.</w:t>
      </w:r>
    </w:p>
    <w:p w14:paraId="0E72CF45"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LEO constellations</w:t>
      </w:r>
    </w:p>
    <w:p w14:paraId="658630CD"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The very next frontier will be represented by broadband mega-constellations equipped with optical inter-satellite links. On the one hand, the large number of satellites will help achieve high-granularity coverage, so that higher capacity will be made available from the entire satellite system. On the other hand, the availability of optical inter-node links will drastically reduce the latency of re-routing operations in space, taking also into account that the speed of light in free space is higher than in terrestrial optic fibres. Moreover, the recent improvement in small satellite technologies is making the employment of small-satellite-based solutions appealing in different use cases including the IoT and in particular in LEO satellite constellations as testified by the many industrial initiatives aimed at offering global IoT coverage thus enabling IoT devices to transmit data irrespective of their location and form factor.  </w:t>
      </w:r>
    </w:p>
    <w:p w14:paraId="680B2527"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vLEO Constellations</w:t>
      </w:r>
    </w:p>
    <w:p w14:paraId="0E9D2C9A"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lang w:val="en-US"/>
        </w:rPr>
        <w:t>Very Low Earth Orbit Constellations, i.e., at an altitude lower that 300 km, are expected to play a fundamental role in future networks thanks to several benefits encountered at those altitudes, e.g., deorbiting time, lower radiation effects, etc, and to the increasing availability of low-cost launchers. vLEO will be of particular interest in support of IoT services by means of improved on-board computation capabilities.</w:t>
      </w:r>
      <w:r w:rsidRPr="0035517D">
        <w:rPr>
          <w:rFonts w:ascii="Arial" w:hAnsi="Arial" w:cs="Arial"/>
        </w:rPr>
        <w:t xml:space="preserve"> Their function to extend the terrestrial network capacity will be carried out by means of nano- and pico-satellites, which together with CubeSats, will make use of high data rate links built on Ka-frequency band or even optical links.</w:t>
      </w:r>
    </w:p>
    <w:p w14:paraId="3EC4C4D8" w14:textId="77777777" w:rsidR="0035517D" w:rsidRPr="0035517D" w:rsidRDefault="0035517D" w:rsidP="0035517D">
      <w:pPr>
        <w:keepNext/>
        <w:spacing w:after="0"/>
        <w:outlineLvl w:val="3"/>
        <w:rPr>
          <w:rFonts w:ascii="Arial" w:eastAsiaTheme="minorEastAsia" w:hAnsi="Arial" w:cs="Arial"/>
          <w:u w:val="single"/>
        </w:rPr>
      </w:pPr>
      <w:r w:rsidRPr="0035517D">
        <w:rPr>
          <w:rFonts w:ascii="Arial" w:hAnsi="Arial" w:cs="Arial"/>
          <w:u w:val="single"/>
        </w:rPr>
        <w:t>Hierarchical Aerial Networks (Satellites + HAPS + UAVs)</w:t>
      </w:r>
    </w:p>
    <w:p w14:paraId="1DC07574" w14:textId="7777777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UAVs and HAPs provide low-cost support for a large class of applications and can be used both individually or as a swarm. Using multiple UAVs and/or HAPs needs coordination and </w:t>
      </w:r>
      <w:r w:rsidRPr="0035517D">
        <w:rPr>
          <w:rFonts w:ascii="Arial" w:hAnsi="Arial" w:cs="Arial"/>
        </w:rPr>
        <w:lastRenderedPageBreak/>
        <w:t xml:space="preserve">data exchange services among them, leading to a multi-layer hierarchical infrastructure known as Space Information Network (SIN). SINs are complex network infrastructures relying on heterogeneous network segments implemented by space platforms, such as satellites, UAVs, HAPs, and airships. They can play a key role in many different applications: connectivity for otherwise disconnected areas, emergency communications, environmental monitoring, mMTC, IoT, to cite a few. </w:t>
      </w:r>
    </w:p>
    <w:p w14:paraId="7B669497"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Fractionated and cooperative constellations</w:t>
      </w:r>
    </w:p>
    <w:p w14:paraId="295F6090" w14:textId="77777777" w:rsidR="0035517D" w:rsidRPr="0035517D" w:rsidRDefault="0035517D" w:rsidP="0035517D">
      <w:pPr>
        <w:spacing w:after="60" w:line="240" w:lineRule="auto"/>
        <w:jc w:val="both"/>
        <w:rPr>
          <w:rFonts w:ascii="Arial" w:hAnsi="Arial" w:cs="Arial"/>
        </w:rPr>
      </w:pPr>
      <w:r w:rsidRPr="0035517D">
        <w:rPr>
          <w:rFonts w:ascii="Arial" w:hAnsi="Arial" w:cs="Arial"/>
        </w:rPr>
        <w:t>New concepts of satellite constellations will also include the cases of incomplete and cooperative constellations, i.e., the satellite coverage is not continuous and the connection is therefore intermittent, where satellites pertaining to different constellations, e.g., vLEO and GEO, communicate through inter-node links and, if on board computation capabilities are available, also cooperates.</w:t>
      </w:r>
    </w:p>
    <w:p w14:paraId="4B0849F5"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Three-dimension multi-layered architecture</w:t>
      </w:r>
    </w:p>
    <w:p w14:paraId="6A08E698" w14:textId="77777777" w:rsidR="00225D53" w:rsidRDefault="0035517D" w:rsidP="0035517D">
      <w:pPr>
        <w:spacing w:after="60" w:line="240" w:lineRule="auto"/>
        <w:jc w:val="both"/>
        <w:rPr>
          <w:rFonts w:ascii="Arial" w:hAnsi="Arial" w:cs="Arial"/>
        </w:rPr>
      </w:pPr>
      <w:r w:rsidRPr="0035517D">
        <w:rPr>
          <w:rFonts w:ascii="Arial" w:hAnsi="Arial" w:cs="Arial"/>
        </w:rPr>
        <w:t>Extension of the above constellations into the three-dimension multi-layered architecture integrated architecture is one of the future challenges to achieve the so-called integrated space data highway, consisting in integrating different classes of satellites into different tiers of the same hierarchical satellite architecture. In other words, the integration of GEO, MEO, LEO, HAP and UAV in a unique mesh network in the sky will help achieve large capacity, resilience, flexibility and cost-efficiency to be offered to end users.</w:t>
      </w:r>
    </w:p>
    <w:p w14:paraId="180A0716" w14:textId="2AA72A27" w:rsidR="0035517D" w:rsidRPr="0035517D" w:rsidRDefault="0035517D" w:rsidP="0035517D">
      <w:pPr>
        <w:spacing w:after="60" w:line="240" w:lineRule="auto"/>
        <w:jc w:val="both"/>
        <w:rPr>
          <w:rFonts w:ascii="Arial" w:eastAsiaTheme="minorEastAsia" w:hAnsi="Arial" w:cs="Arial"/>
          <w:lang w:val="en-US"/>
        </w:rPr>
      </w:pPr>
      <w:r w:rsidRPr="0035517D">
        <w:rPr>
          <w:rFonts w:ascii="Arial" w:hAnsi="Arial" w:cs="Arial"/>
        </w:rPr>
        <w:t xml:space="preserve"> </w:t>
      </w:r>
    </w:p>
    <w:p w14:paraId="53BE8A9E"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04" w:name="_Toc42177314"/>
      <w:r w:rsidRPr="0035517D">
        <w:rPr>
          <w:rFonts w:ascii="Arial" w:eastAsiaTheme="majorEastAsia" w:hAnsi="Arial" w:cs="Arial"/>
          <w:color w:val="1F3763" w:themeColor="accent1" w:themeShade="7F"/>
          <w:sz w:val="24"/>
          <w:szCs w:val="24"/>
        </w:rPr>
        <w:t>Expected Impact</w:t>
      </w:r>
      <w:bookmarkEnd w:id="303"/>
      <w:bookmarkEnd w:id="304"/>
    </w:p>
    <w:p w14:paraId="4FD8AF02" w14:textId="77777777" w:rsidR="0035517D" w:rsidRPr="0035517D" w:rsidRDefault="0035517D" w:rsidP="0035517D">
      <w:pPr>
        <w:spacing w:after="60" w:line="240" w:lineRule="auto"/>
        <w:jc w:val="both"/>
        <w:rPr>
          <w:rFonts w:ascii="Arial" w:hAnsi="Arial" w:cs="Arial"/>
          <w:lang w:val="en-US"/>
        </w:rPr>
      </w:pPr>
      <w:bookmarkStart w:id="305" w:name="_Toc37132025"/>
      <w:r w:rsidRPr="0035517D">
        <w:rPr>
          <w:rFonts w:ascii="Arial" w:hAnsi="Arial" w:cs="Arial"/>
        </w:rPr>
        <w:t>The potential impact of satellite networks in this described ecosystem composed of new applications developed in a plethora of scenarios is linked to their intrinsic ubiquity and broadcasting capabilities. Satellites can act as a main single backhaul segment for rural areas, aircraft, vessels, and trains; as additional backhaul means to opportunistically provide additional connectivity/bandwidth resources, also improving service continuity; or as a pure transport subnetwork. Associated outcomes are in the field of Smart Cities, Smart Industry, and Smart Farm.</w:t>
      </w:r>
      <w:r w:rsidRPr="0035517D">
        <w:rPr>
          <w:rFonts w:ascii="Arial" w:hAnsi="Arial" w:cs="Arial"/>
          <w:lang w:val="en-US"/>
        </w:rPr>
        <w:t xml:space="preserve"> </w:t>
      </w:r>
    </w:p>
    <w:p w14:paraId="46BEB0E0" w14:textId="696B8D8F"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06" w:name="_Toc42177315"/>
      <w:r w:rsidRPr="0035517D">
        <w:rPr>
          <w:rFonts w:ascii="Arial" w:eastAsiaTheme="majorEastAsia" w:hAnsi="Arial" w:cs="Arial"/>
          <w:b/>
          <w:sz w:val="26"/>
          <w:szCs w:val="26"/>
        </w:rPr>
        <w:t>Evolution of Networking Architectures</w:t>
      </w:r>
      <w:bookmarkEnd w:id="306"/>
    </w:p>
    <w:p w14:paraId="5E229B89" w14:textId="77777777" w:rsidR="005F6376" w:rsidRPr="0035517D" w:rsidRDefault="005F6376" w:rsidP="005F6376">
      <w:pPr>
        <w:keepNext/>
        <w:keepLines/>
        <w:spacing w:after="0"/>
        <w:outlineLvl w:val="1"/>
        <w:rPr>
          <w:rFonts w:ascii="Arial" w:eastAsiaTheme="majorEastAsia" w:hAnsi="Arial" w:cs="Arial"/>
          <w:b/>
          <w:sz w:val="26"/>
          <w:szCs w:val="26"/>
        </w:rPr>
      </w:pPr>
    </w:p>
    <w:p w14:paraId="1C94505A" w14:textId="58399409"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appearance of smart miniaturized satellites has facilitated the deployment of satellite constellations in a large number (e.g., hundreds of satellites). These deployments, albeit complex, introduce the possibility to explore satellite-to-satellite communication in an opportunistic way, to assist in the support of the most varied Internet scenarios, and particularly covering wide area regions. At the same time, the Internet fringes are expanding with the integration of the most varied IoT devices. The Internet fringes are rapidly expanding and also embracing the most varied IoT devices in addition to classical users’ equipment, which interconnect to the internet in large-scale and over large distances </w:t>
      </w:r>
      <w:r>
        <w:rPr>
          <w:rFonts w:ascii="Arial" w:hAnsi="Arial" w:cs="Arial"/>
          <w:lang w:val="en-US"/>
        </w:rPr>
        <w:t>[C9-</w:t>
      </w:r>
      <w:r w:rsidRPr="0035517D">
        <w:rPr>
          <w:rFonts w:ascii="Arial" w:hAnsi="Arial" w:cs="Arial"/>
          <w:lang w:val="en-US"/>
        </w:rPr>
        <w:t>1]. This added complexity brings in the need to rethink the underlying support for end-to-end data exchange on satellites. The design of underlying network architectures, where the majority of services are IP-based, needs to take into consideration new challenges such as the large volume of mobile devices involved in data exchange; the increasing number of technologies to support; the possibility to explore direct data exchange between satellites, Moreover, it is essential to consider satellites as smart in the view of their onboard processing and computing capabilities, hence making them Edge devices.</w:t>
      </w:r>
    </w:p>
    <w:p w14:paraId="00DB516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design needs therefore to evolve to accommodate, firstly, a significant growth of end-user and IoT devices. To better support the resulting connectivity demands, it is firstly necessary to enable opportunistic cellular (D2D)/wireless data exchange by ensuring, for instance, a smooth integration of Delay Tolerant Networking (DTN)/Information-centric Networking (ICN) paradigms into elements that are today the basis of the IoT data exchange, e.g., gateways, or specific Edge devices. </w:t>
      </w:r>
    </w:p>
    <w:p w14:paraId="78CECBE8"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US"/>
        </w:rPr>
        <w:lastRenderedPageBreak/>
        <w:t xml:space="preserve">Secondly, the current terrestrial-airborne networking architectures need to evolve by accommodating smart satellites as new Edge elements. It is imperative to consider ways to support global interoperability in a way that is interoperable with today's networking architectures, which consider TCP/IP based services and consider new environments, such as Industrial IoT, where legacy non-IP devices abound. It is essential to address multi-provider network management and ways to automate the management of data exchange, also considering how to assist direct data exchange across satellite constellation. It is also relevant to address a more dynamic routing behavior on selected pools of ground stations, which may support dynamic, secure IP routing (e.g., based on context-awareness). </w:t>
      </w:r>
    </w:p>
    <w:p w14:paraId="30718E4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this framework the following challenges must be addressed. </w:t>
      </w:r>
    </w:p>
    <w:p w14:paraId="0F6BF6B7"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Design Smart Satellites as Edge Nodes.</w:t>
      </w:r>
    </w:p>
    <w:p w14:paraId="3BE47172" w14:textId="418C1915"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From a networking perspective, this requires a better interoperability definition on how to best handle requirements coming from different heterogeneous networks (e.g., ULL, LTE/5G, WiFi 6/WiFi 7) with some degree of automation, and securely </w:t>
      </w:r>
      <w:r>
        <w:rPr>
          <w:rFonts w:ascii="Arial" w:hAnsi="Arial" w:cs="Arial"/>
          <w:lang w:val="en-US"/>
        </w:rPr>
        <w:t>[C9-</w:t>
      </w:r>
      <w:r w:rsidRPr="0035517D">
        <w:rPr>
          <w:rFonts w:ascii="Arial" w:hAnsi="Arial" w:cs="Arial"/>
          <w:lang w:val="en-US"/>
        </w:rPr>
        <w:t>3]. For instance, which functions need to go into a gNB to support DTN/ICN, or whether a smart satellite should behave as a gNB. Also, how to support translation between IP-enabled field-level devices or terminals (e.g., accommodating an automated translation between different IoT protocols such as OPC-UA, MQTT and DTN/ICN). Such design also requires research on how to handle ways</w:t>
      </w:r>
      <w:r w:rsidRPr="0035517D">
        <w:rPr>
          <w:rFonts w:ascii="Arial" w:hAnsi="Arial" w:cs="Arial"/>
          <w:bCs/>
          <w:lang w:val="en-US"/>
        </w:rPr>
        <w:t xml:space="preserve"> to integrate dynamic routing and context-awareness into ground stations (DTN/ICN</w:t>
      </w:r>
      <w:r w:rsidRPr="0035517D">
        <w:rPr>
          <w:rFonts w:ascii="Arial" w:hAnsi="Arial" w:cs="Arial"/>
          <w:bCs/>
          <w:i/>
          <w:lang w:val="en-US"/>
        </w:rPr>
        <w:t xml:space="preserve"> </w:t>
      </w:r>
      <w:r w:rsidRPr="0035517D">
        <w:rPr>
          <w:rFonts w:ascii="Arial" w:hAnsi="Arial" w:cs="Arial"/>
          <w:bCs/>
          <w:lang w:val="en-US"/>
        </w:rPr>
        <w:t>support, for instance); how and whether to integrate simplified forms of routing into smart satellites.</w:t>
      </w:r>
      <w:r w:rsidRPr="0035517D">
        <w:rPr>
          <w:rFonts w:ascii="Arial" w:hAnsi="Arial" w:cs="Arial"/>
          <w:lang w:val="en-US"/>
        </w:rPr>
        <w:t xml:space="preserve">  </w:t>
      </w:r>
    </w:p>
    <w:p w14:paraId="45E0E74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Dynamic network management across multi-provider, terrestrial/airborne environments. </w:t>
      </w:r>
    </w:p>
    <w:p w14:paraId="60153F7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An evolution of the terrestrial/airborne network architecture needs to assume the deployment of large constellations with thousands of smart, IP-enabled satellites in multiple orbits, managed by a single provider, and the interconnection to ground stations managed by another single provider, as well as the offer of multiple services by different providers. To enable a rich and living ecosystem, openness for operators, vendors and service providers on different stages is mandatory. Aspects that should be addressed today to assist this support relate to identifying a best content-centric type of global routing, for instance, a form of source-based routing. It is also relevant to address which simplifications would have to be done to meet small satellite constellation requirements, e.g., low-energy routing). Other aspects concern also the support for inter-domain SLAs, routing, handovers, security, and other topics dealing with interactions of providers and network management. </w:t>
      </w:r>
    </w:p>
    <w:p w14:paraId="2A31C78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Assist the integration of direct communication across satellite constellations. </w:t>
      </w:r>
    </w:p>
    <w:p w14:paraId="52C03818" w14:textId="49E23795" w:rsidR="0035517D" w:rsidRDefault="0035517D" w:rsidP="0035517D">
      <w:pPr>
        <w:spacing w:after="60" w:line="240" w:lineRule="auto"/>
        <w:jc w:val="both"/>
        <w:rPr>
          <w:rFonts w:ascii="Arial" w:hAnsi="Arial" w:cs="Arial"/>
          <w:lang w:val="en-US"/>
        </w:rPr>
      </w:pPr>
      <w:r w:rsidRPr="0035517D">
        <w:rPr>
          <w:rFonts w:ascii="Arial" w:hAnsi="Arial" w:cs="Arial"/>
          <w:lang w:val="en-US"/>
        </w:rPr>
        <w:t>DTN technology, currently being applied to deep space environments as well as to remote terrestrial areas to cope with tolerate intermittent connectivity (see Incomplete and Cooperative Constellation in section 9.2) and large delays is attractive also for satellite-to-satellite communications, as it relies on the store-and-forward principle and can handle well network partitions. DTN pushes data to be transmitted into ”Bundles”, which are then transmitted on every possible opportunity between networking nodes. Networking nodes store persistently the received data. Nodes can then send their information without a full knowledge of the topology, and to act in the case of intermittent connectivity, which can be opportunistic or scheduled, thus making DTN relevant also in the context of future smart satellite constellation communication. The ICN paradigm can provide also support for intermittent connectivity and brings in semantics relevant to security and to mobility. Moreover, ICN principles such as the Pub/Sub receiver-driven model are today highly relevant to assist data exchange in environments such as IoT, where an N-to-M asynchronous data exchange is required. The name-based routing of ICNs is a relevant aspect regarding mobile environments. Coupled with DTNs, the ICN paradigm brings in the possibility to further explore asynchronous communication between earth and space.</w:t>
      </w:r>
    </w:p>
    <w:p w14:paraId="067B37E2" w14:textId="301E3C23" w:rsidR="005F6376" w:rsidRDefault="005F6376" w:rsidP="0035517D">
      <w:pPr>
        <w:spacing w:after="60" w:line="240" w:lineRule="auto"/>
        <w:jc w:val="both"/>
        <w:rPr>
          <w:rFonts w:ascii="Arial" w:hAnsi="Arial" w:cs="Arial"/>
          <w:lang w:val="en-US"/>
        </w:rPr>
      </w:pPr>
    </w:p>
    <w:p w14:paraId="12F5DFE9" w14:textId="77777777" w:rsidR="005F6376" w:rsidRPr="0035517D" w:rsidRDefault="005F6376" w:rsidP="0035517D">
      <w:pPr>
        <w:spacing w:after="60" w:line="240" w:lineRule="auto"/>
        <w:jc w:val="both"/>
        <w:rPr>
          <w:rFonts w:ascii="Arial" w:hAnsi="Arial" w:cs="Arial"/>
          <w:lang w:val="en-US"/>
        </w:rPr>
      </w:pPr>
    </w:p>
    <w:p w14:paraId="3334D772"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07" w:name="_Toc42177316"/>
      <w:r w:rsidRPr="0035517D">
        <w:rPr>
          <w:rFonts w:ascii="Arial" w:eastAsiaTheme="majorEastAsia" w:hAnsi="Arial" w:cs="Arial"/>
          <w:color w:val="1F3763" w:themeColor="accent1" w:themeShade="7F"/>
          <w:sz w:val="24"/>
          <w:szCs w:val="24"/>
        </w:rPr>
        <w:lastRenderedPageBreak/>
        <w:t>Expected impact</w:t>
      </w:r>
      <w:bookmarkEnd w:id="307"/>
      <w:r w:rsidRPr="0035517D">
        <w:rPr>
          <w:rFonts w:ascii="Arial" w:eastAsiaTheme="majorEastAsia" w:hAnsi="Arial" w:cs="Arial"/>
          <w:color w:val="1F3763" w:themeColor="accent1" w:themeShade="7F"/>
          <w:sz w:val="24"/>
          <w:szCs w:val="24"/>
        </w:rPr>
        <w:t> </w:t>
      </w:r>
    </w:p>
    <w:p w14:paraId="0D3A0B6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Internet is evolving towards service decentralization, having data and application centers scattered across Cloud/Edge. Moreover, the increasing number of IoT and Industrial IoT use cases will lead to a tremendous increase in devices and increasing heterogeneity in communication relations between users, data sources, data sinks, back-ends, and Clouds/Edge-Clouds. Smart satellites and Cloud computing are 2 separate worlds, even though there are some initial efforts to bring these words together, as occurs, for instance with some providers such as Amazon</w:t>
      </w:r>
      <w:r w:rsidRPr="0035517D">
        <w:rPr>
          <w:rFonts w:ascii="Arial" w:hAnsi="Arial" w:cs="Arial"/>
          <w:vertAlign w:val="superscript"/>
          <w:lang w:val="en-US"/>
        </w:rPr>
        <w:footnoteReference w:id="8"/>
      </w:r>
      <w:r w:rsidRPr="0035517D">
        <w:rPr>
          <w:rFonts w:ascii="Arial" w:hAnsi="Arial" w:cs="Arial"/>
          <w:lang w:val="en-US"/>
        </w:rPr>
        <w:t xml:space="preserve"> which starts to develop some form of Edge transition. At the same time, there is a new generation of more complex Internet services to support, e.g., decentralized AI; Augmented Reality; Mobile Crowd Sensing. </w:t>
      </w:r>
    </w:p>
    <w:p w14:paraId="06D34F5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evolution of the underlying network architectures, addressing the aforementioned challenges in a way that considers that smart satellites are Edge nodes with the capability to store and forward and to pre-process large sets of information will ignite novel business opportunities and allow satellite systems to evolve beyond the usual forwarding aspects. Satellite-based data centers (such as SpaceBelt, 2019) are highly appealing from a business perspective, as the storage possibilities increase, and the cost lowers. Adding to this, the possibility to store highly sensitive information in areas, which today are not (easily) hackable, are an additional selling point. </w:t>
      </w:r>
    </w:p>
    <w:p w14:paraId="7397CB44" w14:textId="7D17D909"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08" w:name="_Toc42177317"/>
      <w:r w:rsidRPr="0035517D">
        <w:rPr>
          <w:rFonts w:ascii="Arial" w:eastAsiaTheme="majorEastAsia" w:hAnsi="Arial" w:cs="Arial"/>
          <w:b/>
          <w:sz w:val="26"/>
          <w:szCs w:val="26"/>
        </w:rPr>
        <w:t>Hybrid infrastructures: Broadcast/Multicast/Unicast/Storage – EDGECASTING</w:t>
      </w:r>
      <w:bookmarkEnd w:id="308"/>
    </w:p>
    <w:p w14:paraId="16EE1DFE" w14:textId="77777777" w:rsidR="005F6376" w:rsidRPr="0035517D" w:rsidRDefault="005F6376" w:rsidP="005F6376">
      <w:pPr>
        <w:keepNext/>
        <w:keepLines/>
        <w:spacing w:after="0"/>
        <w:outlineLvl w:val="1"/>
        <w:rPr>
          <w:rFonts w:ascii="Arial" w:eastAsiaTheme="majorEastAsia" w:hAnsi="Arial" w:cs="Arial"/>
          <w:b/>
          <w:sz w:val="26"/>
          <w:szCs w:val="26"/>
        </w:rPr>
      </w:pPr>
    </w:p>
    <w:p w14:paraId="215DE9E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It is only by combining different networks and technologies that we can have a sustainable communication infrastructure: using Broadcast and Multicast with local storage capabilities is an essential element for a reliable and sustainable delivery infrastructure reaching at any time 100% of the population on 100% of the territory.</w:t>
      </w:r>
    </w:p>
    <w:p w14:paraId="2AE37360"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Combining unicast IP with IP broadcast and multicast push services, using Satellites + Terrestrial Towers + Cellular to deliver: events interesting large number of users and entire territories (broadcast), non-real time multimedia contents (push multicast to local storage), one to one personalized contents (unicast). Contents will encompass information, entertainment and educational but also other public service contents (e.g. live traffic/alerts, navigation corrections and emergency information) and more in general software and information distribution to large population of users with a zero-marginal cost per additional user. The same contents delivered to mobiles/vehicles can be received and managed at the very edge of the network (end devices) and at the level of any edge server in general, using a local storage to maximize efficiency and economical sustainability. Content and services of media organizations, in particular public service media (PSM) organizations, have evolved from a limited number of linear channels into a rich and differentiated offering across digital distribution platforms including IP-based services which, often through media players, now also provide nonlinear and catch-up content – content and services which are increasingly popular with audiences.</w:t>
      </w:r>
    </w:p>
    <w:p w14:paraId="72CDFAA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Audiences now widely consume media content and services (audio and video) on conventional and smart TV sets, portable and in-car entertainment systems, smartphones, tablets, personal computers, smart speakers, etc. Much of this consumption happens in the home, as well as on the move.</w:t>
      </w:r>
    </w:p>
    <w:p w14:paraId="631584C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Conventional broadcast technologies (e.g. DVB-T/T2) could deliver linear services to portable and mobile devices. However, these standards are not widely supported in such devices. Typical HPHT broadcast networks for TV are in general not designed to support mobile use cases and will need to be adapted for such use cases, e.g. for public transport in cities. </w:t>
      </w:r>
      <w:r w:rsidRPr="0035517D">
        <w:rPr>
          <w:rFonts w:ascii="Arial" w:hAnsi="Arial" w:cs="Arial"/>
          <w:lang w:val="en-US"/>
        </w:rPr>
        <w:lastRenderedPageBreak/>
        <w:t>Additionally, conventional broadcasting standards are not capable of delivering nonlinear services without a complementary IP connection. </w:t>
      </w:r>
    </w:p>
    <w:p w14:paraId="4B9485D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principle it is possible to deliver linear and nonlinear media content and services to mobile and portable devices with conventional mobile broadband (e.g. unicast IP over mobile networks), however questions remain about this distribution mode, such as:</w:t>
      </w:r>
    </w:p>
    <w:p w14:paraId="1BE03D83"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Whether mobile networks could provide adequate quality of service to large audiences by means of unicast connections.</w:t>
      </w:r>
    </w:p>
    <w:p w14:paraId="04A49659"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Whether unicast would be affordable for consumers given data volumes consumed by media content.</w:t>
      </w:r>
    </w:p>
    <w:p w14:paraId="392879F2" w14:textId="77777777" w:rsidR="0035517D" w:rsidRPr="0035517D" w:rsidRDefault="0035517D" w:rsidP="0035517D">
      <w:pPr>
        <w:tabs>
          <w:tab w:val="num" w:pos="360"/>
        </w:tabs>
        <w:spacing w:line="240" w:lineRule="auto"/>
        <w:ind w:left="357" w:hanging="357"/>
        <w:contextualSpacing/>
        <w:rPr>
          <w:rFonts w:ascii="Arial" w:hAnsi="Arial" w:cs="Arial"/>
          <w:lang w:val="en-US"/>
        </w:rPr>
      </w:pPr>
      <w:r w:rsidRPr="0035517D">
        <w:rPr>
          <w:rFonts w:ascii="Arial" w:hAnsi="Arial" w:cs="Arial"/>
          <w:lang w:val="en-US"/>
        </w:rPr>
        <w:t>Whether distribution over mobile networks is affordable for service providers - and is compatible for example with the remit of PSM organisations.</w:t>
      </w:r>
    </w:p>
    <w:p w14:paraId="60DB19CB" w14:textId="50061F9E" w:rsidR="0035517D" w:rsidRDefault="0035517D" w:rsidP="0035517D">
      <w:pPr>
        <w:spacing w:after="60" w:line="240" w:lineRule="auto"/>
        <w:jc w:val="both"/>
        <w:rPr>
          <w:rFonts w:ascii="Arial" w:hAnsi="Arial" w:cs="Arial"/>
          <w:lang w:val="en-US"/>
        </w:rPr>
      </w:pPr>
      <w:r w:rsidRPr="0035517D">
        <w:rPr>
          <w:rFonts w:ascii="Arial" w:hAnsi="Arial" w:cs="Arial"/>
          <w:lang w:val="en-US"/>
        </w:rPr>
        <w:t>5G has the potential to provide answers to some of the questions above, particularly for linear services which can be delivered with 5G’s broadcast functionality. This may enable meeting the media industry’s technical, commercial and regulatory requirements at the same time. The 5G Broadcasting solution provides for the development of a cooperative network that combines satellite, terrestrial and cellular infrastructure in an intelligent way. By combining those technologies, the potential cost savings are relevant. Popular media content currently delivered via unicast can be shifted to push multicast delivery. When combined with the use of storage at the edge of the network or in the device itself, it becomes an even more attractive opportunity. For the distribution of live content such as sports and news events to mass audiences, broadcast will continue to make the most sense. Satellite &amp; Terrestrial networks can cover 100% of territories &amp; population.</w:t>
      </w:r>
    </w:p>
    <w:p w14:paraId="15F7BF13" w14:textId="77777777" w:rsidR="005F6376" w:rsidRPr="0035517D" w:rsidRDefault="005F6376" w:rsidP="0035517D">
      <w:pPr>
        <w:spacing w:after="60" w:line="240" w:lineRule="auto"/>
        <w:jc w:val="both"/>
        <w:rPr>
          <w:rFonts w:ascii="Arial" w:hAnsi="Arial" w:cs="Arial"/>
          <w:lang w:val="en-US"/>
        </w:rPr>
      </w:pPr>
    </w:p>
    <w:p w14:paraId="50797BA1"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r w:rsidRPr="0035517D">
        <w:rPr>
          <w:rFonts w:ascii="Arial" w:eastAsiaTheme="majorEastAsia" w:hAnsi="Arial" w:cs="Arial"/>
          <w:color w:val="1F3763" w:themeColor="accent1" w:themeShade="7F"/>
          <w:sz w:val="14"/>
          <w:szCs w:val="14"/>
        </w:rPr>
        <w:t> </w:t>
      </w:r>
      <w:bookmarkStart w:id="309" w:name="_Toc42177318"/>
      <w:r w:rsidRPr="0035517D">
        <w:rPr>
          <w:rFonts w:ascii="Arial" w:eastAsiaTheme="majorEastAsia" w:hAnsi="Arial" w:cs="Arial"/>
          <w:color w:val="1F3763" w:themeColor="accent1" w:themeShade="7F"/>
          <w:sz w:val="24"/>
          <w:szCs w:val="24"/>
        </w:rPr>
        <w:t>Expected Impact</w:t>
      </w:r>
      <w:bookmarkEnd w:id="309"/>
    </w:p>
    <w:p w14:paraId="5F88A52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Broadcasters</w:t>
      </w:r>
      <w:r w:rsidRPr="0035517D">
        <w:rPr>
          <w:rFonts w:ascii="Arial" w:hAnsi="Arial" w:cs="Arial"/>
          <w:lang w:val="en-US"/>
        </w:rPr>
        <w:t xml:space="preserve"> - Under huge pressure from increased global competition and shifting consumption patterns, broadcasters and other content providers need to adapt their distribution models to meet user expectations. The development of hybrid services, combining linear and time-shifted elements, along with personalized on-demand services, using a combination of broadcast and multicast content delivery, and caching paradigms represents a cost effective and sustainable solution. A win for the media industry will see broadcasting reinvented to use collaborative infrastructure that combines the reach and efficiencies of terrestrial and satellite, broadcast and multicast, and caching at the edge with the high throughput and personalized delivery mechanisms of mobile networks. </w:t>
      </w:r>
    </w:p>
    <w:p w14:paraId="1833D46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MNOs</w:t>
      </w:r>
      <w:r w:rsidRPr="0035517D">
        <w:rPr>
          <w:rFonts w:ascii="Arial" w:hAnsi="Arial" w:cs="Arial"/>
          <w:lang w:val="en-US"/>
        </w:rPr>
        <w:t xml:space="preserve"> -The MNOs are in a strong position, with a well-established business built on direct relationships with end users and strong leverage over device manufacturers. But they need to greatly expand their media content offer which – in their current model - comes with a heavy investment burden. A win for the MNOs will involve enhancing their media offer to both mobile devices and cars via 5G broadcast and multicast modes, as a powerful means of efficiently and cost-effectively using available network resources, such as those offered by a seamlessly and fully integrated NTN component (see section 9-14). Efficiencies can be translated also in huge cost savings as speculated in the market assessments.</w:t>
      </w:r>
    </w:p>
    <w:p w14:paraId="176959F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AUTOMOTIVE</w:t>
      </w:r>
      <w:r w:rsidRPr="0035517D">
        <w:rPr>
          <w:rFonts w:ascii="Arial" w:hAnsi="Arial" w:cs="Arial"/>
          <w:lang w:val="en-US"/>
        </w:rPr>
        <w:t xml:space="preserve"> - As our transport infrastructure becomes ever smarter, we will require networks that can meet the need for entertainment, navigation, safety and software updates. Such networks need to cover 100% of the territory and 100% of the population with guaranteed quality of service (QoS) at a sustainable cost/user. Currently, no single infrastructure can achieve this. A win for the automotive industry will involve equipping connected cars and networks with the intelligence to use broadcast, multicast and unicast in an efficient and reliable configuration that enables the full potential of smarter, safer and – eventually – self-driving cars.</w:t>
      </w:r>
    </w:p>
    <w:p w14:paraId="3FAC9EE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b/>
          <w:bCs/>
          <w:lang w:val="en-US"/>
        </w:rPr>
        <w:t>EMERGENCY SERVICES</w:t>
      </w:r>
      <w:r w:rsidRPr="0035517D">
        <w:rPr>
          <w:rFonts w:ascii="Arial" w:hAnsi="Arial" w:cs="Arial"/>
          <w:lang w:val="en-US"/>
        </w:rPr>
        <w:t xml:space="preserve"> - Alerting the public in emergencies, whether natural or man-made, is an essential element of public safety systems. Both broadcasters and telecoms operators have a regulatory obligation to build the necessary infrastructure and put it at the disposal of local, regional or national authorities. This is technically challenging and costly. A win for the </w:t>
      </w:r>
      <w:r w:rsidRPr="0035517D">
        <w:rPr>
          <w:rFonts w:ascii="Arial" w:hAnsi="Arial" w:cs="Arial"/>
          <w:lang w:val="en-US"/>
        </w:rPr>
        <w:lastRenderedPageBreak/>
        <w:t>national authorities, broadcasters and telecoms operators, and ultimately the citizens, will be a reliable, cost-effective, advanced network infrastructure with near-universal coverage of the population and territory that can support public warnings in emergency situations.</w:t>
      </w:r>
    </w:p>
    <w:p w14:paraId="5C583B9C" w14:textId="710983BA"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10" w:name="_Toc42177319"/>
      <w:r w:rsidRPr="0035517D">
        <w:rPr>
          <w:rFonts w:ascii="Arial" w:eastAsiaTheme="majorEastAsia" w:hAnsi="Arial" w:cs="Arial"/>
          <w:b/>
          <w:sz w:val="26"/>
          <w:szCs w:val="26"/>
        </w:rPr>
        <w:t>Smart Satellite Networking</w:t>
      </w:r>
      <w:bookmarkEnd w:id="305"/>
      <w:bookmarkEnd w:id="310"/>
    </w:p>
    <w:p w14:paraId="150F7281" w14:textId="77777777" w:rsidR="005F6376" w:rsidRPr="0035517D" w:rsidRDefault="005F6376" w:rsidP="005F6376">
      <w:pPr>
        <w:keepNext/>
        <w:keepLines/>
        <w:spacing w:after="0"/>
        <w:outlineLvl w:val="1"/>
        <w:rPr>
          <w:rFonts w:ascii="Arial" w:eastAsiaTheme="majorEastAsia" w:hAnsi="Arial" w:cs="Arial"/>
          <w:b/>
          <w:sz w:val="26"/>
          <w:szCs w:val="26"/>
        </w:rPr>
      </w:pPr>
    </w:p>
    <w:p w14:paraId="3FF3C50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To really allow the satellite systems to be a component of the 5G network and to be considered one of the possible solutions to guarantee connectivity and best performance, as well as other technologies, it is strictly mandatory to push softwarization, implying to develop all the functions necessary respecting the NFV/SDN paradigm and 5G standard, including the functions implemented in the modem. Then, some functions shall leverage on cloud capabilities and on AI/ML, making SatCom fully compliant with terrestrial technology.</w:t>
      </w:r>
    </w:p>
    <w:p w14:paraId="05D9C8C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adoption of a NFV framework standardizes the reference points along which the components interact among one another. It natively supports service chains, providing the basis for decomposition and provisioning of complex network services via a series of interconnected network functions, where each of which could reside in a different (virtual or physical) machine.</w:t>
      </w:r>
    </w:p>
    <w:p w14:paraId="0EF9299B" w14:textId="0512B560" w:rsidR="0035517D" w:rsidRDefault="0035517D" w:rsidP="0035517D">
      <w:pPr>
        <w:spacing w:after="60" w:line="240" w:lineRule="auto"/>
        <w:jc w:val="both"/>
        <w:rPr>
          <w:rFonts w:ascii="Arial" w:hAnsi="Arial" w:cs="Arial"/>
          <w:lang w:val="en-US"/>
        </w:rPr>
      </w:pPr>
      <w:r w:rsidRPr="0035517D">
        <w:rPr>
          <w:rFonts w:ascii="Arial" w:hAnsi="Arial" w:cs="Arial"/>
          <w:lang w:val="en-US"/>
        </w:rPr>
        <w:t>The research and innovation challenges are to design and implement a number of functions realizing also a service chaining by constructing a forwarding graph interconnecting network functions in the NFV layer (Virtual Network Function Forwarding Graph - VNFFG). A detailed, but non-exhaustive, list of virtualized functions to be developed to make the satellite network fully compliant with 5G architectures is: Transport Layer Optimization VNF, Deep Packet Inspection VNF (DPI-VNF), Adaptive modem and CODEC box, multi beam multi gateway, Bonding proxy, Virtual Cache, Virtual PEP. Some of the listed activities may imply the redesign of the radio access and physical layer to be suitable with these paradigms. More ambitious virtualization research could address the SatCom mission segment functionalities enabling: higher degrees of automation, the instantiation of satellite resources, multi-tenancy schemes and secure SatCom infrastructure “virtual” fragmentation, enhanced and more accessible SatCom resource allocation and usage, beam-hopping payload capability. The need to cope also with mobility shall imply to develop efficient and seamless handover at beam, gateway, and satellite level, considering also the advent of mega-constellations. Therefore, suitable orchestration schemes, fully centralized or distributed to better cope with the increase of processing delay, shall be developed. The heterogeneity of the technologies involved in the setup of complex architectures requires the definition of new network management models, unifying the different models, each one referred to a single technology, to get a flexible and consistent network management plane, with consequent implications also at system orchestration and security level.</w:t>
      </w:r>
    </w:p>
    <w:p w14:paraId="39C4C9CA" w14:textId="77777777" w:rsidR="005F6376" w:rsidRPr="0035517D" w:rsidRDefault="005F6376" w:rsidP="0035517D">
      <w:pPr>
        <w:spacing w:after="60" w:line="240" w:lineRule="auto"/>
        <w:jc w:val="both"/>
        <w:rPr>
          <w:rFonts w:ascii="Arial" w:hAnsi="Arial" w:cs="Arial"/>
          <w:lang w:val="en-US"/>
        </w:rPr>
      </w:pPr>
    </w:p>
    <w:p w14:paraId="07BDDD94"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11" w:name="_Toc37132028"/>
      <w:bookmarkStart w:id="312" w:name="_Toc42177320"/>
      <w:r w:rsidRPr="0035517D">
        <w:rPr>
          <w:rFonts w:ascii="Arial" w:eastAsiaTheme="majorEastAsia" w:hAnsi="Arial" w:cs="Arial"/>
          <w:color w:val="1F3763" w:themeColor="accent1" w:themeShade="7F"/>
          <w:sz w:val="24"/>
          <w:szCs w:val="24"/>
        </w:rPr>
        <w:t>Expected impact</w:t>
      </w:r>
      <w:bookmarkEnd w:id="311"/>
      <w:bookmarkEnd w:id="312"/>
    </w:p>
    <w:p w14:paraId="19EA281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outcomes of these activities are expected to be the availability of a full set of virtualized functions to be utilized by service providers and virtual telecom operators (agnostic from technological point of view but wishing to achieve the best performance satisfying user requirements) installed on servers along the network infrastructure, ready to be instantiated when needed. The network management will be particularly impacted in terms of resource allocation and dynamicity. The impact will also be an increased use of the satellite segment because no longer depending on the capability to convince content providers, OTT, telecom operators and verticals that they need the satellite but on the optimization of network management algorithms which will utilize the satellite when this really improves performance and increases efficiency. In terms of performance in strict sense, an additional contribution to overall latency introduced by cloud computation shall be considered.</w:t>
      </w:r>
    </w:p>
    <w:p w14:paraId="471001F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most promising service scenario in which the utilization increase can be more meaningful is CDN management. Both satellite terminals and (more futuristic) payload may be equipped </w:t>
      </w:r>
      <w:r w:rsidRPr="0035517D">
        <w:rPr>
          <w:rFonts w:ascii="Arial" w:hAnsi="Arial" w:cs="Arial"/>
          <w:lang w:val="en-US"/>
        </w:rPr>
        <w:lastRenderedPageBreak/>
        <w:t>with caching capabilities but, mainly, taking advantage of the intrinsic best cost/effectiveness of satellite-based architectures to set up multicast connectivity, the feed of already deployed CDNs directly through a satellite link has been demonstrated to be optimum and can represent an interesting market perspective.</w:t>
      </w:r>
    </w:p>
    <w:p w14:paraId="4C277E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development and deployment of networks based on virtualized functions, which will include the satellite segment among the possible technologies to be used to provide efficient services due to the introduced flexibility, will also unleash new business cases for virtual operators. In fact, it will be possible to set up complex networks optimized on specific services satisfying the relative requirements and QoS transparently for the final user who may not be aware to use the satellite but will just enjoy the performance improvement.</w:t>
      </w:r>
    </w:p>
    <w:p w14:paraId="223568EF" w14:textId="709E3290"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13" w:name="_Toc37132029"/>
      <w:bookmarkStart w:id="314" w:name="_Toc42177321"/>
      <w:r w:rsidRPr="0035517D">
        <w:rPr>
          <w:rFonts w:ascii="Arial" w:eastAsiaTheme="majorEastAsia" w:hAnsi="Arial" w:cs="Arial"/>
          <w:b/>
          <w:sz w:val="26"/>
          <w:szCs w:val="26"/>
        </w:rPr>
        <w:t>Optical based Satellite Communications</w:t>
      </w:r>
      <w:bookmarkEnd w:id="313"/>
      <w:bookmarkEnd w:id="314"/>
    </w:p>
    <w:p w14:paraId="0006A618" w14:textId="77777777" w:rsidR="005F6376" w:rsidRPr="0035517D" w:rsidRDefault="005F6376" w:rsidP="005F6376">
      <w:pPr>
        <w:keepNext/>
        <w:keepLines/>
        <w:spacing w:after="0"/>
        <w:outlineLvl w:val="1"/>
        <w:rPr>
          <w:rFonts w:ascii="Arial" w:eastAsiaTheme="majorEastAsia" w:hAnsi="Arial" w:cs="Arial"/>
          <w:b/>
          <w:sz w:val="26"/>
          <w:szCs w:val="26"/>
        </w:rPr>
      </w:pPr>
    </w:p>
    <w:p w14:paraId="7607579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future High Throughput NTN networks, the use of multibeam coverage, through multibeam satellite or distributed antenna systems (see the Antenna Section) will require the feeder to transport enormous data rate. Innovative approaches shall be therefore researched and developed. Amongst the different solutions proposed, using optical wireless technology in the feeder link is certainly particularly appealing for the following reasons: </w:t>
      </w:r>
    </w:p>
    <w:p w14:paraId="12B9041F" w14:textId="77777777" w:rsidR="0035517D" w:rsidRPr="00225D53" w:rsidRDefault="0035517D" w:rsidP="00225D53">
      <w:pPr>
        <w:pStyle w:val="ListParagraph"/>
        <w:numPr>
          <w:ilvl w:val="0"/>
          <w:numId w:val="85"/>
        </w:numPr>
        <w:tabs>
          <w:tab w:val="num" w:pos="360"/>
        </w:tabs>
        <w:rPr>
          <w:rFonts w:ascii="Arial" w:eastAsiaTheme="minorEastAsia" w:hAnsi="Arial" w:cs="Arial"/>
          <w:lang w:val="en-US"/>
        </w:rPr>
      </w:pPr>
      <w:r w:rsidRPr="00225D53">
        <w:rPr>
          <w:rFonts w:ascii="Arial" w:hAnsi="Arial" w:cs="Arial"/>
          <w:lang w:val="en-US"/>
        </w:rPr>
        <w:t xml:space="preserve">Wider EM spectrum. The achievable data rate in a point-to-point optical wireless link can be few orders of magnitude larger than with an RF wireless link. </w:t>
      </w:r>
    </w:p>
    <w:p w14:paraId="5EDFC3E5" w14:textId="77777777" w:rsidR="0035517D" w:rsidRPr="00225D53" w:rsidRDefault="0035517D" w:rsidP="00225D53">
      <w:pPr>
        <w:pStyle w:val="ListParagraph"/>
        <w:numPr>
          <w:ilvl w:val="0"/>
          <w:numId w:val="85"/>
        </w:numPr>
        <w:tabs>
          <w:tab w:val="num" w:pos="360"/>
        </w:tabs>
        <w:rPr>
          <w:rFonts w:ascii="Arial" w:eastAsiaTheme="minorEastAsia" w:hAnsi="Arial" w:cs="Arial"/>
          <w:lang w:val="en-US"/>
        </w:rPr>
      </w:pPr>
      <w:r w:rsidRPr="00225D53">
        <w:rPr>
          <w:rFonts w:ascii="Arial" w:hAnsi="Arial" w:cs="Arial"/>
          <w:lang w:val="en-US"/>
        </w:rPr>
        <w:t xml:space="preserve">License-exempt. Optical wireless systems do not require a license for operation. </w:t>
      </w:r>
    </w:p>
    <w:p w14:paraId="496B0F98" w14:textId="77777777" w:rsidR="0035517D" w:rsidRPr="00225D53" w:rsidRDefault="0035517D" w:rsidP="00225D53">
      <w:pPr>
        <w:pStyle w:val="ListParagraph"/>
        <w:numPr>
          <w:ilvl w:val="0"/>
          <w:numId w:val="85"/>
        </w:numPr>
        <w:tabs>
          <w:tab w:val="num" w:pos="360"/>
        </w:tabs>
        <w:rPr>
          <w:rFonts w:ascii="Arial" w:eastAsiaTheme="minorEastAsia" w:hAnsi="Arial" w:cs="Arial"/>
          <w:lang w:val="en-US"/>
        </w:rPr>
      </w:pPr>
      <w:r w:rsidRPr="00225D53">
        <w:rPr>
          <w:rFonts w:ascii="Arial" w:hAnsi="Arial" w:cs="Arial"/>
          <w:lang w:val="en-US"/>
        </w:rPr>
        <w:t>Interference management. The propagation conditions of the optical wireless channel, as well as the high directivity gain of the optical wireless transmitter and receiver telescopes, mitigates notably the interference that is generated in ultra-dense deployments.</w:t>
      </w:r>
    </w:p>
    <w:p w14:paraId="2B42072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the design of the optical feeder link the research and innovation challenges to be addressed depend on the payload characteristics. </w:t>
      </w:r>
    </w:p>
    <w:p w14:paraId="1F19EB5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 the </w:t>
      </w:r>
      <w:r w:rsidRPr="0035517D">
        <w:rPr>
          <w:rFonts w:ascii="Arial" w:hAnsi="Arial" w:cs="Arial"/>
          <w:i/>
          <w:iCs/>
          <w:lang w:val="en-US"/>
        </w:rPr>
        <w:t>“ideal”</w:t>
      </w:r>
      <w:r w:rsidRPr="0035517D">
        <w:rPr>
          <w:rFonts w:ascii="Arial" w:hAnsi="Arial" w:cs="Arial"/>
          <w:lang w:val="en-US"/>
        </w:rPr>
        <w:t xml:space="preserve"> case of a </w:t>
      </w:r>
      <w:r w:rsidRPr="0035517D">
        <w:rPr>
          <w:rFonts w:ascii="Arial" w:hAnsi="Arial" w:cs="Arial"/>
          <w:b/>
          <w:bCs/>
          <w:lang w:val="en-US"/>
        </w:rPr>
        <w:t>fully regenerative payload</w:t>
      </w:r>
      <w:r w:rsidRPr="0035517D">
        <w:rPr>
          <w:rFonts w:ascii="Arial" w:hAnsi="Arial" w:cs="Arial"/>
          <w:lang w:val="en-US"/>
        </w:rPr>
        <w:t xml:space="preserve">, the optical feeder link terminates in the satellite; therefore, robust Forward Error Correction (FEC) can be used to correct the long burst of bit errors that the turbulent optical satellite channel introduces. Moreover, this approach enables the implementation of advanced signal processing mechanisms on-board the satellite, such as beam precoding, enabling higher spectral/energy efficiency. In contrast, the fully regenerative payload demands the highest processing power on-board the satellite and gives limited flexibility to adapt to modifications on the communication standard during the lifespan of the HTS system. Therefore, transparent non-regenerative </w:t>
      </w:r>
      <w:r w:rsidRPr="0035517D">
        <w:rPr>
          <w:rFonts w:ascii="Arial" w:hAnsi="Arial" w:cs="Arial"/>
          <w:i/>
          <w:iCs/>
          <w:lang w:val="en-US"/>
        </w:rPr>
        <w:t>“bent-pipe”</w:t>
      </w:r>
      <w:r w:rsidRPr="0035517D">
        <w:rPr>
          <w:rFonts w:ascii="Arial" w:hAnsi="Arial" w:cs="Arial"/>
          <w:lang w:val="en-US"/>
        </w:rPr>
        <w:t xml:space="preserve"> solutions should be initially implemented regardless if they are analog or digital transparent. </w:t>
      </w:r>
    </w:p>
    <w:p w14:paraId="40673A75" w14:textId="77777777" w:rsidR="0035517D" w:rsidRPr="0035517D" w:rsidRDefault="0035517D" w:rsidP="0035517D">
      <w:pPr>
        <w:spacing w:after="60" w:line="240" w:lineRule="auto"/>
        <w:jc w:val="both"/>
        <w:rPr>
          <w:rFonts w:ascii="Arial" w:hAnsi="Arial" w:cs="Arial"/>
          <w:b/>
          <w:bCs/>
          <w:lang w:val="en-US"/>
        </w:rPr>
      </w:pPr>
      <w:r w:rsidRPr="0035517D">
        <w:rPr>
          <w:rFonts w:ascii="Arial" w:hAnsi="Arial" w:cs="Arial"/>
          <w:lang w:val="en-US"/>
        </w:rPr>
        <w:t xml:space="preserve">In the </w:t>
      </w:r>
      <w:r w:rsidRPr="0035517D">
        <w:rPr>
          <w:rFonts w:ascii="Arial" w:hAnsi="Arial" w:cs="Arial"/>
          <w:b/>
          <w:bCs/>
          <w:lang w:val="en-US"/>
        </w:rPr>
        <w:t xml:space="preserve">analog transparent </w:t>
      </w:r>
      <w:r w:rsidRPr="0035517D">
        <w:rPr>
          <w:rFonts w:ascii="Arial" w:hAnsi="Arial" w:cs="Arial"/>
          <w:lang w:val="en-US"/>
        </w:rPr>
        <w:t>payload, the instantaneous value of the RF signal modulates the Intensity of the feeder link Laser Diode (LD). The most practical approach to implement the analog transparent optical feeder link consists in multiplexing the RF signals intended to the spot-beams of the HTS on a different wavelength in the infrared spectral window (1064/1550 nm). This Wavelength Division Multiplexing (WDM) solution enables high flexibility due to its channel scalability. For example, typical dense WDM systems in the C-band (1525-1565 nm) can accommodate 40 (80) optical channels at 100 (50) GHz spacing. For ultra-dense WDM solutions, 25/12.5 GHz spacing is also possible. The random turbulence that exist in the atmosphere leads to wave-front distortion and scintillation. For the uplink, the smaller aperture size of the receiver telescope leads to deep turbulence-induced fading events. For the downlink, the spatial dissemination of the received beam creates a similar effect after coupling the received optical signal into a Single-Mode Fibre (SMF). Different techniques exist to mitigate the effect of turbulence, such as 1) transmit micro-diversity schemes, adaptive Optics, and macro-diversity schemes.</w:t>
      </w:r>
      <w:r w:rsidRPr="0035517D">
        <w:rPr>
          <w:rFonts w:ascii="Arial" w:hAnsi="Arial" w:cs="Arial"/>
          <w:b/>
          <w:bCs/>
          <w:lang w:val="en-US"/>
        </w:rPr>
        <w:t xml:space="preserve"> </w:t>
      </w:r>
    </w:p>
    <w:p w14:paraId="533A7504" w14:textId="0AFECAB9" w:rsidR="0035517D" w:rsidRDefault="0035517D" w:rsidP="0035517D">
      <w:pPr>
        <w:spacing w:after="60" w:line="240" w:lineRule="auto"/>
        <w:jc w:val="both"/>
        <w:rPr>
          <w:rFonts w:ascii="Arial" w:hAnsi="Arial" w:cs="Arial"/>
          <w:lang w:val="en-US"/>
        </w:rPr>
      </w:pPr>
      <w:r w:rsidRPr="0035517D">
        <w:rPr>
          <w:rFonts w:ascii="Arial" w:hAnsi="Arial" w:cs="Arial"/>
          <w:lang w:val="en-US"/>
        </w:rPr>
        <w:lastRenderedPageBreak/>
        <w:t xml:space="preserve">On the other hand, in the </w:t>
      </w:r>
      <w:r w:rsidRPr="0035517D">
        <w:rPr>
          <w:rFonts w:ascii="Arial" w:hAnsi="Arial" w:cs="Arial"/>
          <w:b/>
          <w:bCs/>
          <w:lang w:val="en-US"/>
        </w:rPr>
        <w:t>digital transparent</w:t>
      </w:r>
      <w:r w:rsidRPr="0035517D">
        <w:rPr>
          <w:rFonts w:ascii="Arial" w:hAnsi="Arial" w:cs="Arial"/>
          <w:lang w:val="en-US"/>
        </w:rPr>
        <w:t xml:space="preserve"> payload, I/Q components of the baseband radio signal are oversampled and quantized to guarantee an acceptable Signal-to-Distortion Ratio (SDR). After that, the resulting sequence of bits modulates (digitally) the optical carrier of the feeder link. In the digital transparent payload, only limited signal processing capabilities are required on-board the satellite to reconstruct the complex-valued I/Q baseband signal; moreover, Forward Error Correction (FEC) can be used to protect the transmission against the impairments of the optical turbulent channel. Unfortunately, the digital transparent approach limits the aggregate data rate that the HTS system can support, as the digitalization process expands </w:t>
      </w:r>
      <w:r w:rsidRPr="0035517D">
        <w:rPr>
          <w:rFonts w:ascii="Arial" w:hAnsi="Arial" w:cs="Arial"/>
          <w:i/>
          <w:iCs/>
          <w:lang w:val="en-US"/>
        </w:rPr>
        <w:t>many times</w:t>
      </w:r>
      <w:r w:rsidRPr="0035517D">
        <w:rPr>
          <w:rFonts w:ascii="Arial" w:hAnsi="Arial" w:cs="Arial"/>
          <w:lang w:val="en-US"/>
        </w:rPr>
        <w:t xml:space="preserve"> the original bandwidth of the complex I/Q baseband signal that wants to be transported.</w:t>
      </w:r>
    </w:p>
    <w:p w14:paraId="6BB3C743" w14:textId="77777777" w:rsidR="005F6376" w:rsidRPr="0035517D" w:rsidRDefault="005F6376" w:rsidP="0035517D">
      <w:pPr>
        <w:spacing w:after="60" w:line="240" w:lineRule="auto"/>
        <w:jc w:val="both"/>
        <w:rPr>
          <w:rFonts w:ascii="Arial" w:hAnsi="Arial" w:cs="Arial"/>
          <w:lang w:val="en-US"/>
        </w:rPr>
      </w:pPr>
    </w:p>
    <w:p w14:paraId="04A8047B"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15" w:name="_Toc37132032"/>
      <w:bookmarkStart w:id="316" w:name="_Toc42177322"/>
      <w:r w:rsidRPr="0035517D">
        <w:rPr>
          <w:rFonts w:ascii="Arial" w:eastAsiaTheme="majorEastAsia" w:hAnsi="Arial" w:cs="Arial"/>
          <w:color w:val="1F3763" w:themeColor="accent1" w:themeShade="7F"/>
          <w:sz w:val="24"/>
          <w:szCs w:val="24"/>
        </w:rPr>
        <w:t>Expected Impact</w:t>
      </w:r>
      <w:bookmarkEnd w:id="315"/>
      <w:bookmarkEnd w:id="316"/>
    </w:p>
    <w:p w14:paraId="3CC096F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main expected outcome is to identify a unified technology for the implementation of the optical feeder link. So far, mostly theoretical studies have been reported on the literature on the different implementation approaches. Nevertheless, if a common standardized solution is found in a reasonable time window, large-scale experimental trials could be later organized, paving the way to a full implementation of the technology in an operative HTS system. This way, a giant leap will be taken to integrate the satellite segment into the Beyond 5G landscape.</w:t>
      </w:r>
    </w:p>
    <w:p w14:paraId="436D132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Once the implementation approach of the optical feeder link is defined, different signal processing methods to mitigate the impact of the impairments introduced by the optical components of the feeder link, the electrical components of the access link, and the different effects that the atmosphere creates on the optical signal mainly (</w:t>
      </w:r>
      <w:r w:rsidRPr="0035517D">
        <w:rPr>
          <w:rFonts w:ascii="Arial" w:hAnsi="Arial" w:cs="Arial"/>
          <w:i/>
          <w:iCs/>
          <w:lang w:val="en-US"/>
        </w:rPr>
        <w:t>i.e.</w:t>
      </w:r>
      <w:r w:rsidRPr="0035517D">
        <w:rPr>
          <w:rFonts w:ascii="Arial" w:hAnsi="Arial" w:cs="Arial"/>
          <w:lang w:val="en-US"/>
        </w:rPr>
        <w:t>, turbulence, particles, etc.), should be also taken into account. For this purpose, a consensus on the requirements and implementation limitations should be clearly defined, including the use-cases in which the HTS systems will be involved and the KPIs that should be maximized.</w:t>
      </w:r>
    </w:p>
    <w:p w14:paraId="4A8444DD" w14:textId="19D39DEC"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17" w:name="_Toc42177323"/>
      <w:bookmarkStart w:id="318" w:name="_Toc37132033"/>
      <w:r w:rsidRPr="0035517D">
        <w:rPr>
          <w:rFonts w:ascii="Arial" w:eastAsiaTheme="majorEastAsia" w:hAnsi="Arial" w:cs="Arial"/>
          <w:b/>
          <w:sz w:val="26"/>
          <w:szCs w:val="26"/>
        </w:rPr>
        <w:t>Software Defined Payloads</w:t>
      </w:r>
      <w:bookmarkEnd w:id="317"/>
    </w:p>
    <w:p w14:paraId="665E2632" w14:textId="77777777" w:rsidR="005F6376" w:rsidRPr="0035517D" w:rsidRDefault="005F6376" w:rsidP="005F6376">
      <w:pPr>
        <w:keepNext/>
        <w:keepLines/>
        <w:spacing w:after="0"/>
        <w:outlineLvl w:val="1"/>
        <w:rPr>
          <w:rFonts w:ascii="Arial" w:eastAsiaTheme="majorEastAsia" w:hAnsi="Arial" w:cs="Arial"/>
          <w:b/>
          <w:sz w:val="26"/>
          <w:szCs w:val="26"/>
        </w:rPr>
      </w:pPr>
    </w:p>
    <w:bookmarkEnd w:id="318"/>
    <w:p w14:paraId="4F52A4A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Payload softwarization is the key development that facilitates the system reconfiguration to accommodate dynamically changing demands, optimizes cost and processes, and enables self-management and automation of operations. The latter combined with a full digital implementation has multiple advantages, namely beam forming allowing any beam layouts (or their combination), full routing allowing any network topology, gradual deployments, dynamic power and bandwidth allocation and interference mitigation techniques. In particular, the new on-board processing capabilities combined with the emerging role of active antenna systems, open the door to advanced resource management techniques capable of maximizing the satellite resource utilization while maintaining QoS guarantees, and dynamically matching the distribution of the satellite capacity on ground to the geographic distribution of the traffic demand and following its variations in time. To this end, the deployment of active antenna systems on-board represent an additional degree of freedom allowing beam reconfiguration over time.  </w:t>
      </w:r>
    </w:p>
    <w:p w14:paraId="3082A63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a mid-term future, regenerative payloads (demodulation) are foreseen to enhance signal and remove impairments affecting the uplink. Moreover, with the aim of reducing latency and the launching costs, lower orbit constellations are gaining momentum by providing satellite-based data services with a superior end-user experience. The coordination of these small satellites is tightly connected to the resource allocation strategies, not only for maximizing the performance of the forward link, but also to optimize the ground segment (e.g. number of gateways and feeder link allocation/diversity). Inter-satellite, or inter-node, links additionally provide solutions to drive these developments.</w:t>
      </w:r>
    </w:p>
    <w:p w14:paraId="1F2FF4EF"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19" w:name="_Toc37132036"/>
      <w:bookmarkStart w:id="320" w:name="_Toc42177324"/>
      <w:r w:rsidRPr="0035517D">
        <w:rPr>
          <w:rFonts w:ascii="Arial" w:eastAsiaTheme="majorEastAsia" w:hAnsi="Arial" w:cs="Arial"/>
          <w:color w:val="1F3763" w:themeColor="accent1" w:themeShade="7F"/>
          <w:sz w:val="24"/>
          <w:szCs w:val="24"/>
        </w:rPr>
        <w:t>Expected Impact</w:t>
      </w:r>
      <w:bookmarkEnd w:id="319"/>
      <w:bookmarkEnd w:id="320"/>
    </w:p>
    <w:p w14:paraId="0DD443F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Software-based satellite systems bring important improvements from a network management point of view, by allowing a better orchestration of the satellite resources. Unavoidably, </w:t>
      </w:r>
      <w:r w:rsidRPr="0035517D">
        <w:rPr>
          <w:rFonts w:ascii="Arial" w:hAnsi="Arial" w:cs="Arial"/>
          <w:lang w:val="en-US"/>
        </w:rPr>
        <w:lastRenderedPageBreak/>
        <w:t>“softwarization” will expand to the whole satellite ecosystem, replacing the custom hardware solutions, resulting in a more flexible and dynamic system with overall better performance and efficiency. Footprints, frequencies and power can be dynamically changed over time to follow the business evolution with the potential to adapt continuously to optimize usage. However, standardization and production in series are key to achieving CAPEX reduction.</w:t>
      </w:r>
    </w:p>
    <w:p w14:paraId="233F93ED" w14:textId="7804AC31"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21" w:name="_Toc37132037"/>
      <w:bookmarkStart w:id="322" w:name="_Toc42177325"/>
      <w:r w:rsidRPr="0035517D">
        <w:rPr>
          <w:rFonts w:ascii="Arial" w:eastAsiaTheme="majorEastAsia" w:hAnsi="Arial" w:cs="Arial"/>
          <w:b/>
          <w:sz w:val="26"/>
          <w:szCs w:val="26"/>
        </w:rPr>
        <w:t>Radio Access Network beyond 5G and 6G</w:t>
      </w:r>
      <w:bookmarkEnd w:id="321"/>
      <w:bookmarkEnd w:id="322"/>
    </w:p>
    <w:p w14:paraId="664EC311" w14:textId="77777777" w:rsidR="005F6376" w:rsidRPr="0035517D" w:rsidRDefault="005F6376" w:rsidP="005F6376">
      <w:pPr>
        <w:keepNext/>
        <w:keepLines/>
        <w:spacing w:after="0"/>
        <w:ind w:left="578"/>
        <w:outlineLvl w:val="1"/>
        <w:rPr>
          <w:rFonts w:ascii="Arial" w:eastAsiaTheme="majorEastAsia" w:hAnsi="Arial" w:cs="Arial"/>
          <w:b/>
          <w:sz w:val="26"/>
          <w:szCs w:val="26"/>
        </w:rPr>
      </w:pPr>
    </w:p>
    <w:p w14:paraId="591AABFC"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23" w:name="_Toc37132038"/>
      <w:bookmarkStart w:id="324" w:name="_Toc42177326"/>
      <w:r w:rsidRPr="0035517D">
        <w:rPr>
          <w:rFonts w:ascii="Arial" w:eastAsiaTheme="majorEastAsia" w:hAnsi="Arial" w:cs="Arial"/>
          <w:color w:val="1F3763" w:themeColor="accent1" w:themeShade="7F"/>
          <w:sz w:val="24"/>
          <w:szCs w:val="24"/>
        </w:rPr>
        <w:t>Rationale</w:t>
      </w:r>
      <w:bookmarkEnd w:id="323"/>
      <w:bookmarkEnd w:id="324"/>
    </w:p>
    <w:p w14:paraId="6F44C7E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recent years, Radio Access Network aspects have been deeply studied and discussed, in the framework of the NTN integration into the 5G ecosystems. Studies have clearly had an impact in 3GPP and shown the feasibility of such integration and the suitability of the terrestrial solutions to the characteristics of the non-terrestrial scenarios.</w:t>
      </w:r>
    </w:p>
    <w:p w14:paraId="3CB69F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It has been shown that, with limited and acceptable modifications, the NR air interface can be adapted to the NTN case, thus introducing a completely new dimension in the overall 5G ecosystem. At the same time, it is also clear that the full potentiality of the future NTN component can be only empowered by research and innovation activities addressing those RAN aspects that can benefit from a design that takes into consideration the future NTN strengths and peculiarities, from the very beginning. </w:t>
      </w:r>
    </w:p>
    <w:p w14:paraId="451A40C4"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future NTN component calls for a change in the air interface design paradigm: flexibility, adaptability, and overall efficiency of the RAN design shall become predominant with respect to the classical approach of a link spectral efficiency maximization. The research and development activities shall focus on the design of techniques able to flexibly and dynamically adapt to different requirements, scenarios, and conditions by maintaining at the same time extremely high spectral and energy efficiencies. In particular, the introduction of GSO and NGSO constellations, active antenna payloads, aggressive frequency reuse requires a RAN design aware of the peculiarities of the NTN component so as to satisfy the overall system KPIs.</w:t>
      </w:r>
    </w:p>
    <w:p w14:paraId="1B3380C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Also, for those scenarios where the system requirements require a shift from a bent pipe to a reconfigurable and regenerative payload approach, it is of a paramount importance to address the design of highly reconfigurable RAN techniques that, thanks to Software Defined Payloads (see the Software defined payloads section), allow the NTN component to adapt to the ever-changing communication scenarios without the need of costly updates of the flying nodes.</w:t>
      </w:r>
    </w:p>
    <w:p w14:paraId="21DF7F59" w14:textId="011487A0" w:rsidR="0035517D" w:rsidRDefault="0035517D" w:rsidP="0035517D">
      <w:pPr>
        <w:spacing w:after="60" w:line="240" w:lineRule="auto"/>
        <w:jc w:val="both"/>
        <w:rPr>
          <w:rFonts w:ascii="Arial" w:hAnsi="Arial" w:cs="Arial"/>
          <w:lang w:val="en-US"/>
        </w:rPr>
      </w:pPr>
      <w:r w:rsidRPr="0035517D">
        <w:rPr>
          <w:rFonts w:ascii="Arial" w:hAnsi="Arial" w:cs="Arial"/>
          <w:lang w:val="en-US"/>
        </w:rPr>
        <w:t>The support of multiple logical networks, and even multi radio access, increases the complexity and requires enables as AI/ML in cooperation with data mining solutions (see the Machine Learning for SatCom section).</w:t>
      </w:r>
    </w:p>
    <w:p w14:paraId="0BA3C784" w14:textId="77777777" w:rsidR="005F6376" w:rsidRPr="0035517D" w:rsidRDefault="005F6376" w:rsidP="0035517D">
      <w:pPr>
        <w:spacing w:after="60" w:line="240" w:lineRule="auto"/>
        <w:jc w:val="both"/>
        <w:rPr>
          <w:rFonts w:ascii="Arial" w:hAnsi="Arial" w:cs="Arial"/>
          <w:lang w:val="en-US"/>
        </w:rPr>
      </w:pPr>
    </w:p>
    <w:p w14:paraId="16255040"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25" w:name="_Toc37132040"/>
      <w:bookmarkStart w:id="326" w:name="_Toc42177327"/>
      <w:r w:rsidRPr="0035517D">
        <w:rPr>
          <w:rFonts w:ascii="Arial" w:eastAsiaTheme="majorEastAsia" w:hAnsi="Arial" w:cs="Arial"/>
          <w:color w:val="1F3763" w:themeColor="accent1" w:themeShade="7F"/>
          <w:sz w:val="24"/>
          <w:szCs w:val="24"/>
        </w:rPr>
        <w:t>Expected Impact</w:t>
      </w:r>
      <w:bookmarkEnd w:id="325"/>
      <w:bookmarkEnd w:id="326"/>
    </w:p>
    <w:p w14:paraId="308475B4" w14:textId="2FD67923" w:rsidR="0035517D" w:rsidRPr="0035517D" w:rsidRDefault="0035517D" w:rsidP="0035517D">
      <w:pPr>
        <w:spacing w:after="60" w:line="240" w:lineRule="auto"/>
        <w:jc w:val="both"/>
        <w:rPr>
          <w:rFonts w:ascii="Arial" w:hAnsi="Arial" w:cs="Arial"/>
          <w:lang w:val="en-US"/>
        </w:rPr>
      </w:pPr>
      <w:bookmarkStart w:id="327" w:name="_Toc37132041"/>
      <w:r w:rsidRPr="0035517D">
        <w:rPr>
          <w:rFonts w:ascii="Arial" w:hAnsi="Arial" w:cs="Arial"/>
          <w:lang w:val="en-US"/>
        </w:rPr>
        <w:t xml:space="preserve">The expected outcome is the design of a unified air-interface that can provide connectivity in an heterogeneous environment, where users may access the network through terrestrial and satellite links, and a reconfigurable radio access network that can be dynamically adjusted to changing conditions and requirements and ease the co-existence of different services. The expected outcome related to radio access network opens new research avenues. As it is summarized in </w:t>
      </w:r>
      <w:r>
        <w:rPr>
          <w:rFonts w:ascii="Arial" w:hAnsi="Arial" w:cs="Arial"/>
          <w:lang w:val="en-US"/>
        </w:rPr>
        <w:t>[C9-</w:t>
      </w:r>
      <w:r w:rsidRPr="0035517D">
        <w:rPr>
          <w:rFonts w:ascii="Arial" w:hAnsi="Arial" w:cs="Arial"/>
          <w:lang w:val="en-US"/>
        </w:rPr>
        <w:t>12], the research and development activities addressing the Radio Access Network of the Beyond 5G and 6G future systems shall provide support for:</w:t>
      </w:r>
    </w:p>
    <w:p w14:paraId="64A434AF" w14:textId="77777777" w:rsidR="0035517D" w:rsidRPr="00225D53" w:rsidRDefault="0035517D" w:rsidP="00225D53">
      <w:pPr>
        <w:pStyle w:val="ListParagraph"/>
        <w:numPr>
          <w:ilvl w:val="0"/>
          <w:numId w:val="86"/>
        </w:numPr>
        <w:tabs>
          <w:tab w:val="num" w:pos="360"/>
        </w:tabs>
        <w:rPr>
          <w:rFonts w:ascii="Arial" w:hAnsi="Arial" w:cs="Arial"/>
          <w:lang w:val="en-US"/>
        </w:rPr>
      </w:pPr>
      <w:r w:rsidRPr="00225D53">
        <w:rPr>
          <w:rFonts w:ascii="Arial" w:hAnsi="Arial" w:cs="Arial"/>
          <w:lang w:val="en-US"/>
        </w:rPr>
        <w:t>Space-borne and air-borne integration;</w:t>
      </w:r>
    </w:p>
    <w:p w14:paraId="0A86038E" w14:textId="77777777" w:rsidR="0035517D" w:rsidRPr="00225D53" w:rsidRDefault="0035517D" w:rsidP="00225D53">
      <w:pPr>
        <w:pStyle w:val="ListParagraph"/>
        <w:numPr>
          <w:ilvl w:val="0"/>
          <w:numId w:val="86"/>
        </w:numPr>
        <w:tabs>
          <w:tab w:val="num" w:pos="360"/>
        </w:tabs>
        <w:rPr>
          <w:rFonts w:ascii="Arial" w:hAnsi="Arial" w:cs="Arial"/>
          <w:lang w:val="en-US"/>
        </w:rPr>
      </w:pPr>
      <w:r w:rsidRPr="00225D53">
        <w:rPr>
          <w:rFonts w:ascii="Arial" w:hAnsi="Arial" w:cs="Arial"/>
          <w:lang w:val="en-US"/>
        </w:rPr>
        <w:t>GSO and highly NGSO constellations (down to vLEO for the space-borne platforms) ;</w:t>
      </w:r>
    </w:p>
    <w:p w14:paraId="52431A3A" w14:textId="77777777" w:rsidR="0035517D" w:rsidRPr="00225D53" w:rsidRDefault="0035517D" w:rsidP="00225D53">
      <w:pPr>
        <w:pStyle w:val="ListParagraph"/>
        <w:numPr>
          <w:ilvl w:val="0"/>
          <w:numId w:val="86"/>
        </w:numPr>
        <w:tabs>
          <w:tab w:val="num" w:pos="360"/>
        </w:tabs>
        <w:rPr>
          <w:rFonts w:ascii="Arial" w:hAnsi="Arial" w:cs="Arial"/>
          <w:lang w:val="en-US"/>
        </w:rPr>
      </w:pPr>
      <w:r w:rsidRPr="00225D53">
        <w:rPr>
          <w:rFonts w:ascii="Arial" w:hAnsi="Arial" w:cs="Arial"/>
          <w:lang w:val="en-US"/>
        </w:rPr>
        <w:t>Multilayer integration and handover;</w:t>
      </w:r>
    </w:p>
    <w:p w14:paraId="73521363" w14:textId="77777777" w:rsidR="0035517D" w:rsidRPr="00225D53" w:rsidRDefault="0035517D" w:rsidP="00225D53">
      <w:pPr>
        <w:pStyle w:val="ListParagraph"/>
        <w:numPr>
          <w:ilvl w:val="0"/>
          <w:numId w:val="86"/>
        </w:numPr>
        <w:tabs>
          <w:tab w:val="num" w:pos="360"/>
        </w:tabs>
        <w:rPr>
          <w:rFonts w:ascii="Arial" w:hAnsi="Arial" w:cs="Arial"/>
          <w:lang w:val="en-US"/>
        </w:rPr>
      </w:pPr>
      <w:r w:rsidRPr="00225D53">
        <w:rPr>
          <w:rFonts w:ascii="Arial" w:hAnsi="Arial" w:cs="Arial"/>
          <w:lang w:val="en-US"/>
        </w:rPr>
        <w:t>Multi NTN system integration;</w:t>
      </w:r>
    </w:p>
    <w:p w14:paraId="2EBEA185" w14:textId="77777777" w:rsidR="0035517D" w:rsidRPr="00225D53" w:rsidRDefault="0035517D" w:rsidP="00225D53">
      <w:pPr>
        <w:pStyle w:val="ListParagraph"/>
        <w:numPr>
          <w:ilvl w:val="0"/>
          <w:numId w:val="86"/>
        </w:numPr>
        <w:tabs>
          <w:tab w:val="num" w:pos="360"/>
        </w:tabs>
        <w:rPr>
          <w:rFonts w:ascii="Arial" w:hAnsi="Arial" w:cs="Arial"/>
          <w:lang w:val="en-US"/>
        </w:rPr>
      </w:pPr>
      <w:r w:rsidRPr="00225D53">
        <w:rPr>
          <w:rFonts w:ascii="Arial" w:hAnsi="Arial" w:cs="Arial"/>
          <w:lang w:val="en-US"/>
        </w:rPr>
        <w:lastRenderedPageBreak/>
        <w:t>Highly flexible and adaptable air interface for reconfigurable, regenerative, and software defined payloads;</w:t>
      </w:r>
    </w:p>
    <w:p w14:paraId="62473C2A" w14:textId="77777777" w:rsidR="0035517D" w:rsidRPr="00225D53" w:rsidRDefault="0035517D" w:rsidP="00225D53">
      <w:pPr>
        <w:pStyle w:val="ListParagraph"/>
        <w:numPr>
          <w:ilvl w:val="0"/>
          <w:numId w:val="86"/>
        </w:numPr>
        <w:tabs>
          <w:tab w:val="num" w:pos="360"/>
        </w:tabs>
        <w:rPr>
          <w:rFonts w:ascii="Arial" w:hAnsi="Arial" w:cs="Arial"/>
          <w:lang w:val="en-US"/>
        </w:rPr>
      </w:pPr>
      <w:r w:rsidRPr="00225D53">
        <w:rPr>
          <w:rFonts w:ascii="Arial" w:hAnsi="Arial" w:cs="Arial"/>
          <w:lang w:val="en-US"/>
        </w:rPr>
        <w:t>Advanced Radio Resource Management algorithms to allow satellite beams to overlap terrestrial cells and also a seamless terrestrial-satellite integration.</w:t>
      </w:r>
    </w:p>
    <w:p w14:paraId="61DBF0B8" w14:textId="120B4595"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28" w:name="_Toc42177328"/>
      <w:r w:rsidRPr="0035517D">
        <w:rPr>
          <w:rFonts w:ascii="Arial" w:eastAsiaTheme="majorEastAsia" w:hAnsi="Arial" w:cs="Arial"/>
          <w:b/>
          <w:sz w:val="26"/>
          <w:szCs w:val="26"/>
        </w:rPr>
        <w:t>Antennas</w:t>
      </w:r>
      <w:bookmarkEnd w:id="327"/>
      <w:bookmarkEnd w:id="328"/>
    </w:p>
    <w:p w14:paraId="55792C29" w14:textId="77777777" w:rsidR="005F6376" w:rsidRPr="0035517D" w:rsidRDefault="005F6376" w:rsidP="005F6376">
      <w:pPr>
        <w:keepNext/>
        <w:keepLines/>
        <w:spacing w:after="0"/>
        <w:outlineLvl w:val="1"/>
        <w:rPr>
          <w:rFonts w:ascii="Arial" w:eastAsiaTheme="majorEastAsia" w:hAnsi="Arial" w:cs="Arial"/>
          <w:b/>
          <w:sz w:val="26"/>
          <w:szCs w:val="26"/>
        </w:rPr>
      </w:pPr>
    </w:p>
    <w:p w14:paraId="4DAEBE6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next generation of satellite communication systems requires a paradigm shift in the field of antenna technologies. Whereas current solutions are mainly based on relatively small reflector antennas with fixed beam patterns, future applications will necessitate the use of larger and/or more flexible antennas able to support higher frequency bands (from Ka-band up to optical bands). These innovative technologies will especially enable the generation of narrower beams for a more efficient use of power and spectral resources. The steerability of the beams will also play a key role to cope with the dynamicity of the traffic demands and avoid interference between different systems (GEO/NGSO, satellite/terrestrial). Advances in antenna design will thus be of paramount importance to make satellite systems ready for very high throughput requirements and fulfil the challenges of multi-orbit and mobility scenarios. </w:t>
      </w:r>
    </w:p>
    <w:p w14:paraId="43CB3D0D"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Active antenna arrays </w:t>
      </w:r>
    </w:p>
    <w:p w14:paraId="66F1E81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Active phased arrays and metasurface antennas offer the flexibility required for future systems.  Whereas phased arrays rely on many low gain active elements (including especially power amplifiers and phase shifters), metasurface antennas exploit artificial materials whose properties can be modified to produce a desired radiation pattern. An advantage of metasurfaces over typical phased arrays is their lower power consumption and cost. It should however be mentioned that advanced approaches for the design of phased arrays (e.g. sparse arrays) have been proposed to improve the power efficiency and reduce their cost. Low-profile electronically steerable antennas are advantageous for the ground segment design since they can be integrated in the structure of mobile platforms (cars, planes, etc...) contrary to complex mechanically steerable reflectors. This will enable to efficiently establish connectivity with different satellite systems operating in various orbits. Active antenna technologies will also impact fully flexible GEO and NGSO satellite payloads with the ability to create a given beam response and support null-steering in any direction and at any time. Full use of the Ka-band along with tight tracking beam footprints, spectrum reuse and adaptive resource control will support the growth of the satellite industry in the coming years. For an optimal compromise between the flexibility and the power/mass requirements of the payloads, hybrid analog/digital beamforming architectures will play here a central role.      </w:t>
      </w:r>
    </w:p>
    <w:p w14:paraId="6960FE43"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Large apertures </w:t>
      </w:r>
    </w:p>
    <w:p w14:paraId="4907369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Some use cases in next-generation systems will also require the generation of very narrow beams (e.g. to form extremely small main beam footprints with a high power density from a GEO very high throughput satellite). Here, large deployable reflector antennas (</w:t>
      </w:r>
      <w:r w:rsidRPr="0035517D">
        <w:rPr>
          <w:rFonts w:ascii="Cambria Math" w:hAnsi="Cambria Math" w:cs="Cambria Math"/>
          <w:lang w:val="en-US"/>
        </w:rPr>
        <w:t>∼</w:t>
      </w:r>
      <w:r w:rsidRPr="0035517D">
        <w:rPr>
          <w:rFonts w:ascii="Arial" w:hAnsi="Arial" w:cs="Arial"/>
          <w:lang w:val="en-US"/>
        </w:rPr>
        <w:t xml:space="preserve">5-30m diameter) represent an appropriate solution. Moreover, the structure of such large antennas will allow a reconfiguration of their shape to adapt the coverage during the operational lifetime of the satellite. Since the maximum diameter of large deployable antennas will be limited by size and weight constraints, solutions such as sparse arrays will be useful. A different approach to obtain footprints of only a few kilometers is to form a larger effective aperture through a distributed and cooperative approach. They consist in the deployment of a large number (&gt;100) of small spacecrafts flying in formation, and possibly interconnected through intra-segment links, to obtain a coherent antenna array of up to several kilometers in diameter. CubeSat swarms are in this case a promising and cost-wise viable approach. A distributed array is also advantageous in terms of maintainability, scalability, resilience and flexibility as elements can be independently added or removed without significantly affecting the system operation. The principle of distributed coherent arrays will also be of interest on ground to build feeder link gateway stations with small aperture antennas instead of using an expensive single </w:t>
      </w:r>
      <w:r w:rsidRPr="0035517D">
        <w:rPr>
          <w:rFonts w:ascii="Arial" w:hAnsi="Arial" w:cs="Arial"/>
          <w:lang w:val="en-US"/>
        </w:rPr>
        <w:lastRenderedPageBreak/>
        <w:t xml:space="preserve">large aperture. Meanwhile, due to the challenges still encountered in the design of large-scale distributed arrays (e.g. time and phase synchronization), technological maturity will only be reached within the next decade.   </w:t>
      </w:r>
    </w:p>
    <w:p w14:paraId="34C722E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Multiple antenna technology </w:t>
      </w:r>
    </w:p>
    <w:p w14:paraId="56934AD7" w14:textId="77777777" w:rsidR="0035517D" w:rsidRPr="0035517D" w:rsidRDefault="0035517D" w:rsidP="0035517D">
      <w:pPr>
        <w:spacing w:after="60" w:line="240" w:lineRule="auto"/>
        <w:jc w:val="both"/>
        <w:rPr>
          <w:rFonts w:ascii="Arial" w:hAnsi="Arial" w:cs="Arial"/>
          <w:color w:val="FF0000"/>
          <w:lang w:val="en-US"/>
        </w:rPr>
      </w:pPr>
      <w:r w:rsidRPr="0035517D">
        <w:rPr>
          <w:rFonts w:ascii="Arial" w:hAnsi="Arial" w:cs="Arial"/>
          <w:lang w:val="en-US"/>
        </w:rPr>
        <w:t>Since future systems will mainly use spatially separated antenna elements on Earth (gateway stations, users in a multibeam coverage) and in space (antennas on one or several payloads), advanced spatial multiplexing approaches will be used to improve spectral efficiency. The approach which is known as the multiple-input-multiple-output (MIMO) scheme enables to transmit independent signals in the same time and frequency resources and is already widely used in terrestrial networks. The use of multiple antennas can moreover provide additional gains and features for transmission and communications security on the physical layer.</w:t>
      </w:r>
    </w:p>
    <w:p w14:paraId="6BAB0028"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29" w:name="_Toc37132044"/>
      <w:bookmarkStart w:id="330" w:name="_Toc42177329"/>
      <w:r w:rsidRPr="0035517D">
        <w:rPr>
          <w:rFonts w:ascii="Arial" w:eastAsiaTheme="majorEastAsia" w:hAnsi="Arial" w:cs="Arial"/>
          <w:color w:val="1F3763" w:themeColor="accent1" w:themeShade="7F"/>
          <w:sz w:val="24"/>
          <w:szCs w:val="24"/>
        </w:rPr>
        <w:t>Expected Impact</w:t>
      </w:r>
      <w:bookmarkEnd w:id="329"/>
      <w:bookmarkEnd w:id="330"/>
    </w:p>
    <w:p w14:paraId="1A31E78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development of new antenna designs will be a key enabler for the seamless integration of satellites in existing and future wireless networks. In a digital world where connectivity anytime, anywhere will be required, flexible beam steering will allow the operators to effectively respond to the traffic demands whereas end users will be able to benefit from high speed and lower latency connections with NGSO satellite constellations. Innovative design methods and mass production are expected to significantly reduce the costs of adaptive antennas. On the other hand, on-going activities in the domain of large deployable reflector antennas have also brought advances which will impact in the coming years the design of GEO ultra-high throughput satellite systems for which high power density and/or very small beams will be required. To further increase the effective aperture size, cubesat swarms also appear as another promising solution. Their technical maturity will however only be attained on a longer-term perspective. </w:t>
      </w:r>
    </w:p>
    <w:p w14:paraId="078B2C23" w14:textId="587A7A89"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31" w:name="_Toc37132045"/>
      <w:bookmarkStart w:id="332" w:name="_Toc42177330"/>
      <w:r w:rsidRPr="0035517D">
        <w:rPr>
          <w:rFonts w:ascii="Arial" w:eastAsiaTheme="majorEastAsia" w:hAnsi="Arial" w:cs="Arial"/>
          <w:b/>
          <w:sz w:val="26"/>
          <w:szCs w:val="26"/>
        </w:rPr>
        <w:t>Spectrum usage</w:t>
      </w:r>
      <w:bookmarkEnd w:id="331"/>
      <w:bookmarkEnd w:id="332"/>
    </w:p>
    <w:p w14:paraId="6DBBBB19" w14:textId="77777777" w:rsidR="005F6376" w:rsidRPr="0035517D" w:rsidRDefault="005F6376" w:rsidP="005F6376">
      <w:pPr>
        <w:keepNext/>
        <w:keepLines/>
        <w:spacing w:after="0"/>
        <w:outlineLvl w:val="1"/>
        <w:rPr>
          <w:rFonts w:ascii="Arial" w:eastAsiaTheme="majorEastAsia" w:hAnsi="Arial" w:cs="Arial"/>
          <w:b/>
          <w:sz w:val="26"/>
          <w:szCs w:val="26"/>
        </w:rPr>
      </w:pPr>
    </w:p>
    <w:p w14:paraId="01290041" w14:textId="77777777" w:rsidR="0035517D" w:rsidRPr="0035517D" w:rsidRDefault="0035517D" w:rsidP="0035517D">
      <w:pPr>
        <w:spacing w:after="60" w:line="240" w:lineRule="auto"/>
        <w:jc w:val="both"/>
        <w:rPr>
          <w:rFonts w:ascii="Arial" w:hAnsi="Arial" w:cs="Arial"/>
          <w:lang w:val="en-AU"/>
        </w:rPr>
      </w:pPr>
      <w:r w:rsidRPr="0035517D">
        <w:rPr>
          <w:rFonts w:ascii="Arial" w:hAnsi="Arial" w:cs="Arial"/>
          <w:lang w:val="en-AU"/>
        </w:rPr>
        <w:t>The spectrum allocation discussions for satellite and terrestrial networks remains as a very timely topic due to coming 5G rollouts and New Space networks including NGSO constellations. Studies are on-going in re-allocating the used spectrum e.g. from satellites to 5G terrestrial networks also in higher frequency bands, supported by regulatory conclusions in World Radio Conferences. Conventionally each radio system has its own operational band and the world is shifting more and more to flexible spectrum sharing. Satellite industry has good arguments to defend the situation in order to provide ubiquitous critical services as well as being part of development of future spectrum decisions.</w:t>
      </w:r>
    </w:p>
    <w:p w14:paraId="1CFB604F" w14:textId="77777777" w:rsidR="0035517D" w:rsidRPr="0035517D" w:rsidRDefault="0035517D" w:rsidP="0035517D">
      <w:pPr>
        <w:spacing w:after="60" w:line="240" w:lineRule="auto"/>
        <w:jc w:val="both"/>
        <w:rPr>
          <w:rFonts w:ascii="Arial" w:hAnsi="Arial" w:cs="Arial"/>
        </w:rPr>
      </w:pPr>
      <w:r w:rsidRPr="0035517D">
        <w:rPr>
          <w:rFonts w:ascii="Arial" w:hAnsi="Arial" w:cs="Arial"/>
          <w:lang w:val="en-AU"/>
        </w:rPr>
        <w:t xml:space="preserve">In the three-dimensional multi-layered NTN architecture multiple links coexist, i.e., feeder and user links, as well as inter-segment and intra-segment links. Most of these links are implemented with RF technologies, thus requiring RF spectrum. Simultaneously there is a </w:t>
      </w:r>
      <w:r w:rsidRPr="0035517D">
        <w:rPr>
          <w:rFonts w:ascii="Arial" w:hAnsi="Arial" w:cs="Arial"/>
        </w:rPr>
        <w:t>trend to go to higher frequencies both in terrestrial and satellite systems, mainly driven by increased capacity and bandwidth needs that cannot be fulfilled with currently used frequencies. Very high throughput satellite systems aiming to achieve terabits per second connectivity need to use large bandwidths that are only available in Q/V band (30-50 GHz) and higher. It is therefore evident that there is a need to study both how new frequency bands could be used to provide services to end users as well as studying how the existing and new bands could be most efficiently exploited and shared. The overall challenge is to develop new technologies for dynamic and flexible spectrum use and practical licensing models, while being able to protect satellite usage.</w:t>
      </w:r>
    </w:p>
    <w:p w14:paraId="72AA6DFF"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The </w:t>
      </w:r>
      <w:r w:rsidRPr="0035517D">
        <w:rPr>
          <w:rFonts w:ascii="Arial" w:hAnsi="Arial" w:cs="Arial"/>
          <w:lang w:val="en-AU"/>
        </w:rPr>
        <w:t>three-dimensional multi-layered NTN</w:t>
      </w:r>
      <w:r w:rsidRPr="0035517D" w:rsidDel="009375B8">
        <w:rPr>
          <w:rFonts w:ascii="Arial" w:hAnsi="Arial" w:cs="Arial"/>
        </w:rPr>
        <w:t xml:space="preserve"> </w:t>
      </w:r>
      <w:r w:rsidRPr="0035517D">
        <w:rPr>
          <w:rFonts w:ascii="Arial" w:hAnsi="Arial" w:cs="Arial"/>
        </w:rPr>
        <w:t xml:space="preserve">system could either be integrated into a single system controlled by the same core network or not so tightly integrated system where e.g. systems in different layers may coexist in the same area, possibly using same frequencies. Thus, the spectrum use research regarding the multi-layered architecture can be in high level </w:t>
      </w:r>
      <w:r w:rsidRPr="0035517D">
        <w:rPr>
          <w:rFonts w:ascii="Arial" w:hAnsi="Arial" w:cs="Arial"/>
        </w:rPr>
        <w:lastRenderedPageBreak/>
        <w:t>divided into two topics: 1) Going to higher frequencies and 2) Spectrum sharing. Both are enablers for meeting the increasing capacity requirements.</w:t>
      </w:r>
    </w:p>
    <w:p w14:paraId="0F4AB6EE"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Spectrum sharing</w:t>
      </w:r>
    </w:p>
    <w:p w14:paraId="405877E4"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Dynamic spectrum sharing techniques are essential in the envisioned multi-layered architectures to increase bandwidth and enable more services to the users. While previous research has looked at many possible </w:t>
      </w:r>
      <w:r w:rsidRPr="0035517D">
        <w:rPr>
          <w:rFonts w:ascii="Arial" w:hAnsi="Arial" w:cs="Arial"/>
          <w:lang w:val="en-US"/>
        </w:rPr>
        <w:t>technologies</w:t>
      </w:r>
      <w:r w:rsidRPr="0035517D">
        <w:rPr>
          <w:rFonts w:ascii="Arial" w:hAnsi="Arial" w:cs="Arial"/>
        </w:rPr>
        <w:t>, new challenges arise regarding the new frequency bands and new sharing scenarios. This can consider 1) Sharing between satellite systems, 2) Sharing between satellite and terrestrial systems and 3) Applying AI techniques to enable sharing and predictive routing in a mobile 3D networks considering movement patterns of different aerial and space platforms.</w:t>
      </w:r>
    </w:p>
    <w:p w14:paraId="1CFC3ED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Coordinated ways to share spectrum with guaranteed QoS such as licensed spectrum access (LSA) can be used to provide predictable access to spectrum to sharing parties (such as secondary operators). Predictable quality of service is essential for the operators in order to be able to invest in the infrastructure and the development of services. Many techniques such as power control, beamforming, and carrier aggregation can be used in conjunction with the licensed sharing. Particularly interesting are techniques allowing seamless integration of networks, e.g. NFV/SDN based negotiation and handling of spectrum resources, will make use at convenience of advanced ground-based and space-based radio access and management techniques to ensure systems coexistence.</w:t>
      </w:r>
    </w:p>
    <w:p w14:paraId="1403B63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Alongside spectrum sharing techniques, new technologies are needed to accurately assess spectrum use and avoid harmful interference situations according to the increased complexity of the upcoming spectrum picture, characterized by a significantly higher number of actors and inter-dependencies among them. The proposed spectrum sharing techniques need to be regulatory compatible, economically attractive and viable, and technically efficient.</w:t>
      </w:r>
    </w:p>
    <w:p w14:paraId="6D723C56"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Higher frequencies and channel modelling</w:t>
      </w:r>
    </w:p>
    <w:p w14:paraId="52819FB5" w14:textId="2E466CC3" w:rsid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In order to support ever-increasing need of capacity, spectrum sharing can provide some help. However, one needs to look new, higher frequency bands such as W band for new services. In this case, channel characterization and measurements from different orbits and altitudes are required to provide accurate model to be used in the system design and management. Also, spectrum sharing studies with Q and W bands will be needed. Antenna developments for space and ground segments are expected as described in earlier sections.</w:t>
      </w:r>
    </w:p>
    <w:p w14:paraId="5EC752CC" w14:textId="77777777" w:rsidR="005F6376" w:rsidRPr="0035517D" w:rsidRDefault="005F6376" w:rsidP="0035517D">
      <w:pPr>
        <w:spacing w:after="60" w:line="240" w:lineRule="auto"/>
        <w:jc w:val="both"/>
        <w:rPr>
          <w:rFonts w:ascii="Arial" w:eastAsiaTheme="minorEastAsia" w:hAnsi="Arial" w:cs="Arial"/>
        </w:rPr>
      </w:pPr>
    </w:p>
    <w:p w14:paraId="51D8D552"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33" w:name="_Toc37132048"/>
      <w:bookmarkStart w:id="334" w:name="_Toc42177331"/>
      <w:r w:rsidRPr="0035517D">
        <w:rPr>
          <w:rFonts w:ascii="Arial" w:eastAsiaTheme="majorEastAsia" w:hAnsi="Arial" w:cs="Arial"/>
          <w:color w:val="1F3763" w:themeColor="accent1" w:themeShade="7F"/>
          <w:sz w:val="24"/>
          <w:szCs w:val="24"/>
        </w:rPr>
        <w:t>Expected Impact</w:t>
      </w:r>
      <w:bookmarkEnd w:id="333"/>
      <w:bookmarkEnd w:id="334"/>
    </w:p>
    <w:p w14:paraId="067C7A38"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 xml:space="preserve">The expected outcome of the spectrum related activities will benefit the whole wireless community by enabling more users to access limited spectrum resources and exploit higher frequency band for new services. Particularly this will lead securing proper spectrum resources for satellite communication missions. A flexible spectrum allocation approach, especially coordinated spectrum sharing for non-tightly integrated systems in the multi-layered architecture and sharing fostered by international and national administrations is foreseen. </w:t>
      </w:r>
    </w:p>
    <w:p w14:paraId="70695822"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Operators can use spectrum sharing to decrease costs and increase efficiency of the resource use. On the other hand, spectrum sharing will enable innovation and can be used in providing complementary services in the same spectrum. Licensed spectrum sharing system allows only licensed secondary users to use the spectrum. The model is a promising concept for both terrestrial and satellite bands aiming to ensure predictable QoS for all the holders of the spectrum use rights. It is foreseen that coordinated spectrum sharing approaches will enable new business models and promote collaboration between satellite and terrestrial players.</w:t>
      </w:r>
    </w:p>
    <w:p w14:paraId="14670D7C" w14:textId="77777777" w:rsidR="0035517D" w:rsidRPr="0035517D" w:rsidRDefault="0035517D" w:rsidP="0035517D">
      <w:pPr>
        <w:spacing w:after="60" w:line="240" w:lineRule="auto"/>
        <w:jc w:val="both"/>
        <w:rPr>
          <w:rFonts w:ascii="Arial" w:eastAsiaTheme="minorEastAsia" w:hAnsi="Arial" w:cs="Arial"/>
        </w:rPr>
      </w:pPr>
      <w:r w:rsidRPr="0035517D">
        <w:rPr>
          <w:rFonts w:ascii="Arial" w:eastAsiaTheme="minorEastAsia" w:hAnsi="Arial" w:cs="Arial"/>
        </w:rPr>
        <w:t>The new class of spectrum management procedures is expected to take into use latest advancements in radio access and management techniques of satellite and terrestrial domains. This will enable successful deployment of these techniques in practical systems to come.</w:t>
      </w:r>
    </w:p>
    <w:p w14:paraId="507D0EB6" w14:textId="0CC69F3D"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35" w:name="_Toc37132049"/>
      <w:bookmarkStart w:id="336" w:name="_Toc42177332"/>
      <w:r w:rsidRPr="0035517D">
        <w:rPr>
          <w:rFonts w:ascii="Arial" w:eastAsiaTheme="majorEastAsia" w:hAnsi="Arial" w:cs="Arial"/>
          <w:b/>
          <w:sz w:val="26"/>
          <w:szCs w:val="26"/>
        </w:rPr>
        <w:lastRenderedPageBreak/>
        <w:t>Artificial Intelligence for SatCom</w:t>
      </w:r>
      <w:bookmarkEnd w:id="335"/>
      <w:bookmarkEnd w:id="336"/>
    </w:p>
    <w:p w14:paraId="3AD78CED" w14:textId="77777777" w:rsidR="005F6376" w:rsidRPr="0035517D" w:rsidRDefault="005F6376" w:rsidP="005F6376">
      <w:pPr>
        <w:keepNext/>
        <w:keepLines/>
        <w:spacing w:after="0"/>
        <w:outlineLvl w:val="1"/>
        <w:rPr>
          <w:rFonts w:ascii="Arial" w:eastAsiaTheme="majorEastAsia" w:hAnsi="Arial" w:cs="Arial"/>
          <w:b/>
          <w:sz w:val="26"/>
          <w:szCs w:val="26"/>
        </w:rPr>
      </w:pPr>
    </w:p>
    <w:p w14:paraId="68AA2C97" w14:textId="15995A31"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NewSpace economy is primarily dominated by the necessity of substantially reducing the operational costs of satellite systems. This fact involves rethinking the entire set of space operations from both ground and space segment. Similarly, to other industries (e.g. automotive), satellite communication stakeholders are targeting a digitalization and automation of many functionalities currently managed by engineering experts. For instance, managing unintentional interferences constitutes one of the major time consuming and; thus, expensive roles of the satellite control centre </w:t>
      </w:r>
      <w:r>
        <w:rPr>
          <w:rFonts w:ascii="Arial" w:hAnsi="Arial" w:cs="Arial"/>
          <w:lang w:val="en-US"/>
        </w:rPr>
        <w:t>[C9-</w:t>
      </w:r>
      <w:r w:rsidRPr="0035517D">
        <w:rPr>
          <w:rFonts w:ascii="Arial" w:hAnsi="Arial" w:cs="Arial"/>
          <w:lang w:val="en-US"/>
        </w:rPr>
        <w:t xml:space="preserve">5]. Reducing the time-to-react of interference events by automating its detection and classification represents a relevant cost reduction and quality-of-service increase to the satellite customers. </w:t>
      </w:r>
    </w:p>
    <w:p w14:paraId="637D79D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New satellite technologies will also require their proper automation with the aim of being competitive in the global internet access. In particular, the deployment and management of mega-constellations presents a challenging multiagent problem. These systems do not only present issues on the possible collision of different space elements, but also its radiofrequency emissions which may cause interference to other GEO or NGSO systems. In this context, automating system level decisions is a must since human intervention might be very difficult. Artificial intelligence allows fast decision-making even in millisecond timescales in order to meet full potential of integrated systems consisting of space-borne, air-borne and terrestrial components. This could include predictive spectrum allocations, predictive routing, and even autonomous replanning at the satellite without the delays introduced by the decision-making loops on ground. </w:t>
      </w:r>
    </w:p>
    <w:p w14:paraId="5FB816E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 integration of satellite and terrestrial networks obviously calls for adequate resource allocation schemes, considering traffic variations across the entire network as well as the characteristics of the various links over which data delivery should be carried out. Given the high heterogeneity of networks in play, an efficient resource allocation concept must be implemented at the different layers of the protocol stack. In a 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to properly met QoS guarantees across the entire network. To this end, efficient joint resource allocation schemes will have to be developed, depending on the different traffic flavor and network condition variations over time. Therefore, the use of AI/ML concepts will play an important role, especially in the short-term prediction of operative network conditions, as it will be instrumental to efficient network selection and therefore the consequent resource allocation.</w:t>
      </w:r>
    </w:p>
    <w:p w14:paraId="3453880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Considering the above discussion, we think that satellite communication industry is dealing with a short-term automation process of already launched systems and a medium/long term technology development of forthcoming systems based on GEO and NGSO satellites. Although some of the functionalities of the mentioned systems could be tackled by rule-based tools (e.g. if A then do B else do C), other mechanisms would require the use of machine learning techniques. In the following, we provide some examples of potential usages of machine learning in SatCom.</w:t>
      </w:r>
    </w:p>
    <w:p w14:paraId="0396C599" w14:textId="374AAC01"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While spectrum sensing signal processing approaches have been studied and deployed during decades, certain interference detection aspects that appear in satellite operations would require additional approaches. For instance, in band interference or intra-system interference which consists of having the same signal duplicated in the same frequency bin. For these spectrum monitoring scenarios, the use of deep learning could potentially allow the detection of a variety of spectrum events </w:t>
      </w:r>
      <w:r>
        <w:rPr>
          <w:rFonts w:ascii="Arial" w:hAnsi="Arial" w:cs="Arial"/>
          <w:lang w:val="en-US"/>
        </w:rPr>
        <w:t>[C9-</w:t>
      </w:r>
      <w:r w:rsidRPr="0035517D">
        <w:rPr>
          <w:rFonts w:ascii="Arial" w:hAnsi="Arial" w:cs="Arial"/>
          <w:lang w:val="en-US"/>
        </w:rPr>
        <w:t xml:space="preserve">6]. Once the interference is detected, satellites being launched this year will have the capability of reacting to this situation in order to meet the customer service level agreements. This involves to judiciously change the frequency allocation, transmit power and beamforming of the satellite payload. Although an operator </w:t>
      </w:r>
      <w:r w:rsidRPr="0035517D">
        <w:rPr>
          <w:rFonts w:ascii="Arial" w:hAnsi="Arial" w:cs="Arial"/>
          <w:lang w:val="en-US"/>
        </w:rPr>
        <w:lastRenderedPageBreak/>
        <w:t xml:space="preserve">could try to provide a new configuration based on the location of the undesired interference and the affected bands, an automated system able to configure the payload will reduce the time-to-react. This configuration update can be based on genetic algorithms </w:t>
      </w:r>
      <w:r>
        <w:rPr>
          <w:rFonts w:ascii="Arial" w:hAnsi="Arial" w:cs="Arial"/>
          <w:lang w:val="en-US"/>
        </w:rPr>
        <w:t>[C9-</w:t>
      </w:r>
      <w:r w:rsidRPr="0035517D">
        <w:rPr>
          <w:rFonts w:ascii="Arial" w:hAnsi="Arial" w:cs="Arial"/>
          <w:lang w:val="en-US"/>
        </w:rPr>
        <w:t xml:space="preserve">7], </w:t>
      </w:r>
      <w:r>
        <w:rPr>
          <w:rFonts w:ascii="Arial" w:hAnsi="Arial" w:cs="Arial"/>
          <w:lang w:val="en-US"/>
        </w:rPr>
        <w:t>[C9-</w:t>
      </w:r>
      <w:r w:rsidRPr="0035517D">
        <w:rPr>
          <w:rFonts w:ascii="Arial" w:hAnsi="Arial" w:cs="Arial"/>
          <w:lang w:val="en-US"/>
        </w:rPr>
        <w:t xml:space="preserve">8] with a potential support of deep learning regression techniques </w:t>
      </w:r>
      <w:r>
        <w:rPr>
          <w:rFonts w:ascii="Arial" w:hAnsi="Arial" w:cs="Arial"/>
          <w:lang w:val="en-US"/>
        </w:rPr>
        <w:t>[C9-</w:t>
      </w:r>
      <w:r w:rsidRPr="0035517D">
        <w:rPr>
          <w:rFonts w:ascii="Arial" w:hAnsi="Arial" w:cs="Arial"/>
          <w:lang w:val="en-US"/>
        </w:rPr>
        <w:t>9].</w:t>
      </w:r>
    </w:p>
    <w:p w14:paraId="4A272984" w14:textId="566121AF"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Other promising applications of AI/ML in the SatCom field are those related to Physical Layer aspects where traditional signal processing algorithms can be enhanced, such as channel estimation in non-linear systems </w:t>
      </w:r>
      <w:r>
        <w:rPr>
          <w:rFonts w:ascii="Arial" w:hAnsi="Arial" w:cs="Arial"/>
          <w:lang w:val="en-US"/>
        </w:rPr>
        <w:t>[C9-</w:t>
      </w:r>
      <w:r w:rsidRPr="0035517D">
        <w:rPr>
          <w:rFonts w:ascii="Arial" w:hAnsi="Arial" w:cs="Arial"/>
          <w:lang w:val="en-US"/>
        </w:rPr>
        <w:t xml:space="preserve">10] or signal classification </w:t>
      </w:r>
      <w:r>
        <w:rPr>
          <w:rFonts w:ascii="Arial" w:hAnsi="Arial" w:cs="Arial"/>
          <w:lang w:val="en-US"/>
        </w:rPr>
        <w:t>[C9-</w:t>
      </w:r>
      <w:r w:rsidRPr="0035517D">
        <w:rPr>
          <w:rFonts w:ascii="Arial" w:hAnsi="Arial" w:cs="Arial"/>
          <w:lang w:val="en-US"/>
        </w:rPr>
        <w:t>11].</w:t>
      </w:r>
    </w:p>
    <w:p w14:paraId="5B7089D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Finally, mega-constellation systems offering capacity to mobile users such as vessels and airplanes must tackle a two-level dynamic environment: the satellite and the user terminals. This varying system must be able to deal with potential hotspots beams (i.e. a coverage area which a high demand) that change over time and satellite. Although a classical data fusion between satellite and user terminals trajectories may help in detecting these hotspots, demands and motion present a stochastic nature which could be tackled via data-driven algorithms. In other words, the past detection of hotspots may support the inference of future ones.</w:t>
      </w:r>
    </w:p>
    <w:p w14:paraId="0765C61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Future satellites serving multiple, very different user applications may want to support AI/ML directly within the satellite and offer these AI as a service for end user applications. Recent advances in embedded AI accelerators promise significant performance and lower energy consumption so the integration into a flying edge cloud is possible. This can enable a multitude of new applications, i.e. pre-processing image data or meeting intelligent control decisions.</w:t>
      </w:r>
    </w:p>
    <w:p w14:paraId="666E36C7"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37" w:name="_Toc37132052"/>
      <w:bookmarkStart w:id="338" w:name="_Toc42177333"/>
      <w:r w:rsidRPr="0035517D">
        <w:rPr>
          <w:rFonts w:ascii="Arial" w:eastAsiaTheme="majorEastAsia" w:hAnsi="Arial" w:cs="Arial"/>
          <w:color w:val="1F3763" w:themeColor="accent1" w:themeShade="7F"/>
          <w:sz w:val="24"/>
          <w:szCs w:val="24"/>
        </w:rPr>
        <w:t>Expected Impact</w:t>
      </w:r>
      <w:bookmarkEnd w:id="337"/>
      <w:bookmarkEnd w:id="338"/>
    </w:p>
    <w:p w14:paraId="2D384DE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As a general statement, the adoption of machine learning mechanisms by the SatCom industry aims to increase the efficiency of current systems by reducing the operational costs and the processing time of certain operations. At the same time, in the future systems it is envisioned that some functions, due to its complexity, will not rely on classical operations but on data-driven techniques. The digital transformation of the satellite industry will allow to discover new potential opportunities. Having an easy access to data sources will promote the creation of innovative SMEs and innovation departments in big companies able to provide data-based solutions to unexplored SatCom aspects.</w:t>
      </w:r>
    </w:p>
    <w:p w14:paraId="6410858E" w14:textId="6D1FC4CD"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39" w:name="_Toc37132053"/>
      <w:bookmarkStart w:id="340" w:name="_Toc42177334"/>
      <w:r w:rsidRPr="0035517D">
        <w:rPr>
          <w:rFonts w:ascii="Arial" w:eastAsiaTheme="majorEastAsia" w:hAnsi="Arial" w:cs="Arial"/>
          <w:b/>
          <w:sz w:val="26"/>
          <w:szCs w:val="26"/>
        </w:rPr>
        <w:t>Security</w:t>
      </w:r>
      <w:bookmarkEnd w:id="339"/>
      <w:bookmarkEnd w:id="340"/>
    </w:p>
    <w:p w14:paraId="76CDE16F" w14:textId="77777777" w:rsidR="005F6376" w:rsidRPr="0035517D" w:rsidRDefault="005F6376" w:rsidP="005F6376">
      <w:pPr>
        <w:keepNext/>
        <w:keepLines/>
        <w:spacing w:after="0"/>
        <w:outlineLvl w:val="1"/>
        <w:rPr>
          <w:rFonts w:ascii="Arial" w:eastAsiaTheme="majorEastAsia" w:hAnsi="Arial" w:cs="Arial"/>
          <w:b/>
          <w:sz w:val="26"/>
          <w:szCs w:val="26"/>
        </w:rPr>
      </w:pPr>
    </w:p>
    <w:p w14:paraId="68E08A1A"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There is a potential for running large number of applications and services over a hybrid satellite and mobile networks. Therefore, it is not enough to just provide end-to-end security at the application layer (such as encrypted video stream at the application layer). In 3GPP 5G standards, new network security schemes are incorporated and as we look more towards integrated systems with satellite being used to roll out 5G security systems must operate over mixed delivery systems. There is a challenge here to involve the special characteristics of satellite systems. There is need to address security problems for the future hybrid satellite and mobile networks and the new services applications. In addition, more emphasis is being placed on interplanetary systems as we focus on lunar and then mars missions where again security in these environments needs to be visited.</w:t>
      </w:r>
    </w:p>
    <w:p w14:paraId="091EE86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There is a potential for new security topic in future satellite Communication such as:</w:t>
      </w:r>
    </w:p>
    <w:p w14:paraId="01C692E9"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Satellite and future mobile networks security integration:</w:t>
      </w:r>
    </w:p>
    <w:p w14:paraId="39FE9FCE" w14:textId="77777777" w:rsidR="0035517D" w:rsidRPr="0035517D" w:rsidRDefault="0035517D" w:rsidP="0035517D">
      <w:pPr>
        <w:spacing w:after="60" w:line="240" w:lineRule="auto"/>
        <w:jc w:val="both"/>
        <w:rPr>
          <w:rFonts w:ascii="Arial" w:hAnsi="Arial" w:cs="Arial"/>
        </w:rPr>
      </w:pPr>
      <w:r w:rsidRPr="0035517D">
        <w:rPr>
          <w:rFonts w:ascii="Arial" w:hAnsi="Arial" w:cs="Arial"/>
        </w:rPr>
        <w:t xml:space="preserve">An example of future mobile networks is the 3GPP 5G system. </w:t>
      </w:r>
      <w:r w:rsidRPr="0035517D">
        <w:rPr>
          <w:rFonts w:ascii="Arial" w:hAnsi="Arial" w:cs="Arial"/>
          <w:lang w:val="en-US"/>
        </w:rPr>
        <w:t xml:space="preserve">There is a need to address the security interworking between the two systems (satellite and future mobile networks). </w:t>
      </w:r>
      <w:r w:rsidRPr="0035517D">
        <w:rPr>
          <w:rFonts w:ascii="Arial" w:hAnsi="Arial" w:cs="Arial"/>
        </w:rPr>
        <w:t>3GPP defines two interfaces for native 5G and non 5G access networks:</w:t>
      </w:r>
    </w:p>
    <w:p w14:paraId="78456D4A" w14:textId="77777777" w:rsidR="0035517D" w:rsidRPr="00225D53" w:rsidRDefault="0035517D" w:rsidP="00225D53">
      <w:pPr>
        <w:pStyle w:val="ListParagraph"/>
        <w:numPr>
          <w:ilvl w:val="0"/>
          <w:numId w:val="87"/>
        </w:numPr>
        <w:tabs>
          <w:tab w:val="num" w:pos="360"/>
        </w:tabs>
        <w:spacing w:line="240" w:lineRule="auto"/>
        <w:rPr>
          <w:rFonts w:ascii="Arial" w:hAnsi="Arial" w:cs="Arial"/>
          <w:lang w:val="en-US"/>
        </w:rPr>
      </w:pPr>
      <w:r w:rsidRPr="00225D53">
        <w:rPr>
          <w:rFonts w:ascii="Arial" w:hAnsi="Arial" w:cs="Arial"/>
          <w:lang w:val="en-US"/>
        </w:rPr>
        <w:t>5G native interface with 5G-AKA (Authentication and Key Agreement) procedures: This means tighter satellite integration into the 5G security system.</w:t>
      </w:r>
    </w:p>
    <w:p w14:paraId="1A7E9D5B" w14:textId="77777777" w:rsidR="0035517D" w:rsidRPr="00225D53" w:rsidRDefault="0035517D" w:rsidP="00225D53">
      <w:pPr>
        <w:pStyle w:val="ListParagraph"/>
        <w:numPr>
          <w:ilvl w:val="0"/>
          <w:numId w:val="87"/>
        </w:numPr>
        <w:tabs>
          <w:tab w:val="num" w:pos="360"/>
        </w:tabs>
        <w:spacing w:line="240" w:lineRule="auto"/>
        <w:rPr>
          <w:rFonts w:ascii="Arial" w:hAnsi="Arial" w:cs="Arial"/>
          <w:lang w:val="en-US"/>
        </w:rPr>
      </w:pPr>
      <w:r w:rsidRPr="00225D53">
        <w:rPr>
          <w:rFonts w:ascii="Arial" w:hAnsi="Arial" w:cs="Arial"/>
          <w:lang w:val="en-US"/>
        </w:rPr>
        <w:t>Non-3GPP Interworking Unit (N3IWF): Satellite will use a recently defined EAP-AKA procedures. This implies looser security integration than 5G-AKA.</w:t>
      </w:r>
    </w:p>
    <w:p w14:paraId="06676E13"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lastRenderedPageBreak/>
        <w:t xml:space="preserve">There is a need for detailed security analysis of the two scenarios above, supported by simulation/emulation or real-life demonstrators. </w:t>
      </w:r>
    </w:p>
    <w:p w14:paraId="48F6835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Blockchain Technology (BCT) for secure SatComs</w:t>
      </w:r>
    </w:p>
    <w:p w14:paraId="3419F33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Most of the previous security studies focused on key management authentications and routing protocols. BCT is a decentralized and distributed database invented by Satoshi Nakamoto in 2008 and used widely in digital currency. The main property of BCT is, it provides and authenticated record of history of changes such as configuration and re-configuration history of the satellite and space information network. Therefore, there is need to explore the advantages BCT in future satellite networks such as resilience to DoS, DDoS and insider attacks. Also BCT challenges should be examined as well, such as public and private BCT, the BCT database storage and distribution for all satellite nodes in the network.</w:t>
      </w:r>
    </w:p>
    <w:p w14:paraId="6294E89C"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Quantum Key Distribution (QKD) and key management over satellite</w:t>
      </w:r>
    </w:p>
    <w:p w14:paraId="05ACA22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QKD is now a mature quantum communication protocol which allows the verifiably secure sharing of encryption keys between two communicating parties. There has been a series of proof-of-principle demonstrations of satellite-based quantum key distribution in 2017. There is a need now to expand the QKD key-management aspects such as access control, primary and secondary communication security key derivations and key lifecycle management.</w:t>
      </w:r>
    </w:p>
    <w:p w14:paraId="4AD4B6B0"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Secure multicasting over satellite:</w:t>
      </w:r>
    </w:p>
    <w:p w14:paraId="5D714A9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Multicasting is an important use case in satellite and future mobile networks such as using Multi-access Edge Computing (MEC) platform for Content Delivery Network (CDN) integration with efficient edge content delivery. Assuming that the current multicasting technical challenges in mobile networks are resolved such as MBMS, then secure multicasting should also be analyzed in detail, such as group key management and access control. Therefore, the secure group communications should be re-examined in the context of multicast key management architecture and security interworking in hybrid satellite and future mobile networks environment.</w:t>
      </w:r>
    </w:p>
    <w:p w14:paraId="5E4755B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New mechanisms of security at RF level:</w:t>
      </w:r>
    </w:p>
    <w:p w14:paraId="71B0965C"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With the expected emergence of new SatCom architectures, supporting GSO and NGSO satellites combined with other aerial networks such as HAPS and UAVs, the need to protect and secure communications from threats such as unintentional interferences, intentional jamming attacks or signal spoofing will significantly increase. To countermeasure these threats, new mechanisms of security at radio level should be examined, such as the combination of advanced SIGINT (Signal Intelligence), AI (Artificial Intelligence) techniques and location of interference or attack sources.</w:t>
      </w:r>
    </w:p>
    <w:p w14:paraId="1E8546CD"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Secure multiple access</w:t>
      </w:r>
    </w:p>
    <w:p w14:paraId="79F9F837"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Multiple access techniques are becoming more and more sophisticated in order to achieve higher spectral efficiencies. However, cyber security threats to multiple access systems can still be very effective regardless of the access technique, including jamming, interruption or endangering of the overall satellite communication system. Hence, security enhancements or protocols are needed at the lower layers of return channels.</w:t>
      </w:r>
    </w:p>
    <w:p w14:paraId="05B45CB5"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41" w:name="_Toc30449048"/>
      <w:bookmarkStart w:id="342" w:name="_Toc37132056"/>
      <w:bookmarkStart w:id="343" w:name="_Toc42177335"/>
      <w:r w:rsidRPr="0035517D">
        <w:rPr>
          <w:rFonts w:ascii="Arial" w:eastAsiaTheme="majorEastAsia" w:hAnsi="Arial" w:cs="Arial"/>
          <w:color w:val="1F3763" w:themeColor="accent1" w:themeShade="7F"/>
          <w:sz w:val="24"/>
          <w:szCs w:val="24"/>
        </w:rPr>
        <w:t>Expected Impact</w:t>
      </w:r>
      <w:bookmarkEnd w:id="341"/>
      <w:bookmarkEnd w:id="342"/>
      <w:bookmarkEnd w:id="343"/>
    </w:p>
    <w:p w14:paraId="73552FA4" w14:textId="31392384" w:rsidR="0035517D" w:rsidRDefault="0035517D" w:rsidP="0035517D">
      <w:pPr>
        <w:spacing w:after="60" w:line="240" w:lineRule="auto"/>
        <w:jc w:val="both"/>
        <w:rPr>
          <w:rFonts w:ascii="Arial" w:hAnsi="Arial" w:cs="Arial"/>
          <w:lang w:val="en-US"/>
        </w:rPr>
      </w:pPr>
      <w:r w:rsidRPr="0035517D">
        <w:rPr>
          <w:rFonts w:ascii="Arial" w:hAnsi="Arial" w:cs="Arial"/>
          <w:lang w:val="en-US"/>
        </w:rPr>
        <w:t>Good security solutions will be essential and a strong enabler for the integration of satellites for the new 5G applications such as smart cities Intelligent Transport Systems, eHealth, smart content distribution and Industry 4.0 (including Industrial IoT, IIoT) as well as extensions of space networks to the planets.</w:t>
      </w:r>
    </w:p>
    <w:p w14:paraId="781442FC" w14:textId="4F81832E" w:rsidR="005F6376" w:rsidRDefault="005F6376" w:rsidP="0035517D">
      <w:pPr>
        <w:spacing w:after="60" w:line="240" w:lineRule="auto"/>
        <w:jc w:val="both"/>
        <w:rPr>
          <w:rFonts w:ascii="Arial" w:hAnsi="Arial" w:cs="Arial"/>
          <w:lang w:val="en-US"/>
        </w:rPr>
      </w:pPr>
    </w:p>
    <w:p w14:paraId="36924B10" w14:textId="77777777" w:rsidR="005F6376" w:rsidRPr="0035517D" w:rsidRDefault="005F6376" w:rsidP="0035517D">
      <w:pPr>
        <w:spacing w:after="60" w:line="240" w:lineRule="auto"/>
        <w:jc w:val="both"/>
        <w:rPr>
          <w:rFonts w:ascii="Arial" w:hAnsi="Arial" w:cs="Arial"/>
          <w:lang w:val="en-US"/>
        </w:rPr>
      </w:pPr>
    </w:p>
    <w:p w14:paraId="2611A702" w14:textId="7BEB12BD"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44" w:name="_Toc42177336"/>
      <w:r w:rsidRPr="0035517D">
        <w:rPr>
          <w:rFonts w:ascii="Arial" w:eastAsiaTheme="majorEastAsia" w:hAnsi="Arial" w:cs="Arial"/>
          <w:b/>
          <w:sz w:val="26"/>
          <w:szCs w:val="26"/>
        </w:rPr>
        <w:lastRenderedPageBreak/>
        <w:t>Communication, Computation and Storage</w:t>
      </w:r>
      <w:bookmarkEnd w:id="344"/>
    </w:p>
    <w:p w14:paraId="043AD2C0" w14:textId="77777777" w:rsidR="005F6376" w:rsidRPr="0035517D" w:rsidRDefault="005F6376" w:rsidP="005F6376">
      <w:pPr>
        <w:keepNext/>
        <w:keepLines/>
        <w:spacing w:after="0"/>
        <w:outlineLvl w:val="1"/>
        <w:rPr>
          <w:rFonts w:ascii="Arial" w:eastAsiaTheme="majorEastAsia" w:hAnsi="Arial" w:cs="Arial"/>
          <w:b/>
          <w:sz w:val="26"/>
          <w:szCs w:val="26"/>
        </w:rPr>
      </w:pPr>
    </w:p>
    <w:p w14:paraId="0E40B818"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In the future NTN architecture, the flying nodes can be given different functions/roles facilitating control and operability and opening new business models.</w:t>
      </w:r>
    </w:p>
    <w:p w14:paraId="63E32551"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 fundamental functional distinction in upcoming applications and services is communication and computation (e.g. as required for AI and/or in-orbit cloud services), both requiring storage at different levels. With this distinction of communication, computation and storage, it is possible to foresee different orbital planes/layers of nodes providing services to other planes/layers of nodes. As an example, while data gathering is clearly more efficiently performed by LEOs, the large amount of required data storage can be serviced by a GEO layer, which can both perform computational services on the data and/or download to Earth also more efficiently.</w:t>
      </w:r>
    </w:p>
    <w:p w14:paraId="1C1B81E6"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 structured dense space network enabling efficient services among different orbital planes/layers of nodes requires innovation and novel research topics.</w:t>
      </w:r>
    </w:p>
    <w:p w14:paraId="6653167D"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An important consequence of different orbital planes/layers of nodes providing services to other planes/layers of nodes is that links need to be tailored to the functional roles. For example, links for data transfer when approaching the storage and/or computation nodes should be adaptive with performance targets different to those for communication.</w:t>
      </w:r>
    </w:p>
    <w:p w14:paraId="1C92B39F"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Coding for dynamic multi-source transmission </w:t>
      </w:r>
    </w:p>
    <w:p w14:paraId="4301980E"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It is clear that the large amount of data that will need to be handled will require not only optimized adaptive links but also novel concepts of transmission and coding. Specifically, energy-efficiency will be essential for achievability of competitive costs per bit/channel use. Hence, simultaneous transmission from different satellites to another one needs to be optimized for example using coding across sources taking advantage of geometrical properties.</w:t>
      </w:r>
    </w:p>
    <w:p w14:paraId="2F331AE4" w14:textId="77777777" w:rsidR="0035517D" w:rsidRPr="0035517D" w:rsidRDefault="0035517D" w:rsidP="0035517D">
      <w:pPr>
        <w:keepNext/>
        <w:spacing w:after="0"/>
        <w:outlineLvl w:val="3"/>
        <w:rPr>
          <w:rFonts w:ascii="Arial" w:hAnsi="Arial" w:cs="Arial"/>
          <w:u w:val="single"/>
        </w:rPr>
      </w:pPr>
      <w:r w:rsidRPr="0035517D">
        <w:rPr>
          <w:rFonts w:ascii="Arial" w:eastAsia="Times New Roman" w:hAnsi="Arial" w:cs="Arial"/>
          <w:sz w:val="14"/>
          <w:szCs w:val="14"/>
          <w:u w:val="single"/>
        </w:rPr>
        <w:t xml:space="preserve"> </w:t>
      </w:r>
      <w:r w:rsidRPr="0035517D">
        <w:rPr>
          <w:rFonts w:ascii="Arial" w:hAnsi="Arial" w:cs="Arial"/>
          <w:u w:val="single"/>
        </w:rPr>
        <w:t>Coding for secure distributed storage dynamic systems</w:t>
      </w:r>
    </w:p>
    <w:p w14:paraId="569B737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While several fundamental results already exist for secure distributed storage in terrestrial systems, these are not directly applicable to non-terrestrial systems due to the orbital dynamics and diversity of the satellite hardware limitations. However, (efficient) secure distributed storage is essential in space due to energy, hardware limitations and proximity of satellites in a dense space network.</w:t>
      </w:r>
    </w:p>
    <w:p w14:paraId="24A8B55B"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Peer-to-peer protocols for data access</w:t>
      </w:r>
    </w:p>
    <w:p w14:paraId="77422ED5"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Data storage and/or computing may take place at different orbital layer, hence, access protocols to stored data at any time need to be developed.</w:t>
      </w:r>
    </w:p>
    <w:p w14:paraId="410BAC39"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Orbital topologies and reprogrammable satellites for computation and storage </w:t>
      </w:r>
    </w:p>
    <w:p w14:paraId="77DAD082"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Current orbit and constellation topologies are predominantly optimized for communication with satellites with communication payload for typical channels ground-to-satellite, satellite-to-ground or inter-satellite. However, new orbital geometries and re-programable satellites will facilitate secure and efficient in-orbit cloud services for storage and/or computation. </w:t>
      </w:r>
    </w:p>
    <w:p w14:paraId="207E0836"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45" w:name="_Toc42177337"/>
      <w:r w:rsidRPr="0035517D">
        <w:rPr>
          <w:rFonts w:ascii="Arial" w:eastAsiaTheme="majorEastAsia" w:hAnsi="Arial" w:cs="Arial"/>
          <w:color w:val="1F3763" w:themeColor="accent1" w:themeShade="7F"/>
          <w:sz w:val="24"/>
          <w:szCs w:val="24"/>
        </w:rPr>
        <w:t>Expected Impact</w:t>
      </w:r>
      <w:bookmarkEnd w:id="345"/>
    </w:p>
    <w:p w14:paraId="1E0DB232" w14:textId="77777777" w:rsidR="0035517D" w:rsidRPr="00225D53" w:rsidRDefault="0035517D" w:rsidP="00225D53">
      <w:pPr>
        <w:pStyle w:val="ListParagraph"/>
        <w:numPr>
          <w:ilvl w:val="0"/>
          <w:numId w:val="88"/>
        </w:numPr>
        <w:tabs>
          <w:tab w:val="num" w:pos="360"/>
        </w:tabs>
        <w:rPr>
          <w:rFonts w:ascii="Arial" w:hAnsi="Arial" w:cs="Arial"/>
          <w:lang w:val="en-US"/>
        </w:rPr>
      </w:pPr>
      <w:r w:rsidRPr="00225D53">
        <w:rPr>
          <w:rFonts w:ascii="Arial" w:hAnsi="Arial" w:cs="Arial"/>
          <w:lang w:val="en-US"/>
        </w:rPr>
        <w:t>Substantial reduction of cost per bit/channel use due to the correct distinction between in-orbit resources and roles for communication, computation and storage.</w:t>
      </w:r>
    </w:p>
    <w:p w14:paraId="0E79F2F2" w14:textId="77777777" w:rsidR="0035517D" w:rsidRPr="00225D53" w:rsidRDefault="0035517D" w:rsidP="00225D53">
      <w:pPr>
        <w:pStyle w:val="ListParagraph"/>
        <w:numPr>
          <w:ilvl w:val="0"/>
          <w:numId w:val="88"/>
        </w:numPr>
        <w:tabs>
          <w:tab w:val="num" w:pos="360"/>
        </w:tabs>
        <w:rPr>
          <w:rFonts w:ascii="Arial" w:hAnsi="Arial" w:cs="Arial"/>
          <w:lang w:val="en-US"/>
        </w:rPr>
      </w:pPr>
      <w:r w:rsidRPr="00225D53">
        <w:rPr>
          <w:rFonts w:ascii="Arial" w:hAnsi="Arial" w:cs="Arial"/>
          <w:lang w:val="en-US"/>
        </w:rPr>
        <w:t xml:space="preserve">Further structure in the non-terrestrial network, which allows better control and more agile design of new services. </w:t>
      </w:r>
    </w:p>
    <w:p w14:paraId="7769EC07" w14:textId="77777777" w:rsidR="0035517D" w:rsidRPr="00225D53" w:rsidRDefault="0035517D" w:rsidP="00225D53">
      <w:pPr>
        <w:pStyle w:val="ListParagraph"/>
        <w:numPr>
          <w:ilvl w:val="0"/>
          <w:numId w:val="88"/>
        </w:numPr>
        <w:tabs>
          <w:tab w:val="num" w:pos="360"/>
        </w:tabs>
        <w:rPr>
          <w:rFonts w:ascii="Arial" w:hAnsi="Arial" w:cs="Arial"/>
          <w:lang w:val="en-US"/>
        </w:rPr>
      </w:pPr>
      <w:r w:rsidRPr="00225D53">
        <w:rPr>
          <w:rFonts w:ascii="Arial" w:hAnsi="Arial" w:cs="Arial"/>
          <w:lang w:val="en-US"/>
        </w:rPr>
        <w:t>Facilitates the functional-based re-programmable design of space nodes considering the communication, computation or storage services that the node can obtain from other nodes.</w:t>
      </w:r>
    </w:p>
    <w:p w14:paraId="3590B8A3" w14:textId="77777777" w:rsidR="0035517D" w:rsidRPr="00225D53" w:rsidRDefault="0035517D" w:rsidP="00225D53">
      <w:pPr>
        <w:pStyle w:val="ListParagraph"/>
        <w:numPr>
          <w:ilvl w:val="0"/>
          <w:numId w:val="88"/>
        </w:numPr>
        <w:tabs>
          <w:tab w:val="num" w:pos="360"/>
        </w:tabs>
        <w:rPr>
          <w:rFonts w:ascii="Arial" w:hAnsi="Arial" w:cs="Arial"/>
          <w:lang w:val="en-US"/>
        </w:rPr>
      </w:pPr>
      <w:r w:rsidRPr="00225D53">
        <w:rPr>
          <w:rFonts w:ascii="Arial" w:hAnsi="Arial" w:cs="Arial"/>
          <w:lang w:val="en-US"/>
        </w:rPr>
        <w:t>Facilitates new business models where in-orbit nodes (e.g. data gathering or security) are serviced by other in-orbit nodes (e.g. storage nodes collect the data gathered or offer Blockchain Technology (BCT) nodes).</w:t>
      </w:r>
    </w:p>
    <w:p w14:paraId="0C0814DE" w14:textId="1BDBAD9A" w:rsidR="0035517D" w:rsidRDefault="0035517D" w:rsidP="00124439">
      <w:pPr>
        <w:keepNext/>
        <w:keepLines/>
        <w:numPr>
          <w:ilvl w:val="1"/>
          <w:numId w:val="9"/>
        </w:numPr>
        <w:spacing w:before="480" w:after="0"/>
        <w:ind w:left="578" w:hanging="578"/>
        <w:outlineLvl w:val="1"/>
        <w:rPr>
          <w:rFonts w:ascii="Arial" w:eastAsiaTheme="majorEastAsia" w:hAnsi="Arial" w:cs="Arial"/>
          <w:b/>
          <w:sz w:val="26"/>
          <w:szCs w:val="26"/>
        </w:rPr>
      </w:pPr>
      <w:bookmarkStart w:id="346" w:name="_Toc42177338"/>
      <w:r w:rsidRPr="0035517D">
        <w:rPr>
          <w:rFonts w:ascii="Arial" w:eastAsiaTheme="majorEastAsia" w:hAnsi="Arial" w:cs="Arial"/>
          <w:b/>
          <w:sz w:val="26"/>
          <w:szCs w:val="26"/>
        </w:rPr>
        <w:lastRenderedPageBreak/>
        <w:t>Plug and Play Integrated Satellite and Terrestrial Networks</w:t>
      </w:r>
      <w:bookmarkEnd w:id="346"/>
    </w:p>
    <w:p w14:paraId="559FA61D" w14:textId="77777777" w:rsidR="005F6376" w:rsidRPr="0035517D" w:rsidRDefault="005F6376" w:rsidP="005F6376">
      <w:pPr>
        <w:keepNext/>
        <w:keepLines/>
        <w:spacing w:after="0"/>
        <w:outlineLvl w:val="1"/>
        <w:rPr>
          <w:rFonts w:ascii="Arial" w:eastAsiaTheme="majorEastAsia" w:hAnsi="Arial" w:cs="Arial"/>
          <w:b/>
          <w:sz w:val="26"/>
          <w:szCs w:val="26"/>
        </w:rPr>
      </w:pPr>
    </w:p>
    <w:p w14:paraId="2D153F5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role of NTN systems in future networks will be drastically changed with respect to the 5G and IoT sectors and plug and play satellite integration into 5G and beyond is the core of this fundamental change. It is therefore crucial to foster the development of an attractive plug-and-play satellite solution for 5G and beyond. That enables terrestrial operators and network vendors to accelerate 5G deployment and creates new and growing market opportunities for the satellite industry. Thus, significant efforts are required to: </w:t>
      </w:r>
    </w:p>
    <w:p w14:paraId="232C03BD" w14:textId="77777777" w:rsidR="0035517D" w:rsidRPr="00225D53" w:rsidRDefault="0035517D" w:rsidP="00225D53">
      <w:pPr>
        <w:pStyle w:val="ListParagraph"/>
        <w:numPr>
          <w:ilvl w:val="0"/>
          <w:numId w:val="89"/>
        </w:numPr>
        <w:tabs>
          <w:tab w:val="num" w:pos="360"/>
        </w:tabs>
        <w:rPr>
          <w:rFonts w:ascii="Arial" w:hAnsi="Arial" w:cs="Arial"/>
          <w:lang w:val="en-US"/>
        </w:rPr>
      </w:pPr>
      <w:r w:rsidRPr="00225D53">
        <w:rPr>
          <w:rFonts w:ascii="Arial" w:hAnsi="Arial" w:cs="Arial"/>
          <w:lang w:val="en-US"/>
        </w:rPr>
        <w:t>Design SatCom solutions, targeting integrated satellite / terrestrial 5G architectures adopting and integrating 5G key features;</w:t>
      </w:r>
    </w:p>
    <w:p w14:paraId="6A982B4C" w14:textId="77777777" w:rsidR="0035517D" w:rsidRPr="00225D53" w:rsidRDefault="0035517D" w:rsidP="00225D53">
      <w:pPr>
        <w:pStyle w:val="ListParagraph"/>
        <w:numPr>
          <w:ilvl w:val="0"/>
          <w:numId w:val="89"/>
        </w:numPr>
        <w:tabs>
          <w:tab w:val="num" w:pos="360"/>
        </w:tabs>
        <w:rPr>
          <w:rFonts w:ascii="Arial" w:hAnsi="Arial" w:cs="Arial"/>
          <w:lang w:val="en-US"/>
        </w:rPr>
      </w:pPr>
      <w:r w:rsidRPr="00225D53">
        <w:rPr>
          <w:rFonts w:ascii="Arial" w:hAnsi="Arial" w:cs="Arial"/>
          <w:lang w:val="en-US"/>
        </w:rPr>
        <w:t>Exploit SatCom capabilities (e.g. broadcast, ubiquity and reliability) while mitigating its inherent constraints (e.g. propagation latency) in standalone or multi-link network topology;</w:t>
      </w:r>
    </w:p>
    <w:p w14:paraId="6AC1E0F1" w14:textId="77777777" w:rsidR="0035517D" w:rsidRPr="00225D53" w:rsidRDefault="0035517D" w:rsidP="00225D53">
      <w:pPr>
        <w:pStyle w:val="ListParagraph"/>
        <w:numPr>
          <w:ilvl w:val="0"/>
          <w:numId w:val="89"/>
        </w:numPr>
        <w:tabs>
          <w:tab w:val="num" w:pos="360"/>
        </w:tabs>
        <w:rPr>
          <w:rFonts w:ascii="Arial" w:hAnsi="Arial" w:cs="Arial"/>
          <w:lang w:val="en-US"/>
        </w:rPr>
      </w:pPr>
      <w:r w:rsidRPr="00225D53">
        <w:rPr>
          <w:rFonts w:ascii="Arial" w:hAnsi="Arial" w:cs="Arial"/>
          <w:lang w:val="en-US"/>
        </w:rPr>
        <w:t>Ensure seamless integration of SatCom at orchestration and core levels;</w:t>
      </w:r>
    </w:p>
    <w:p w14:paraId="2ADF71B1" w14:textId="77777777" w:rsidR="0035517D" w:rsidRPr="00225D53" w:rsidRDefault="0035517D" w:rsidP="00225D53">
      <w:pPr>
        <w:pStyle w:val="ListParagraph"/>
        <w:numPr>
          <w:ilvl w:val="0"/>
          <w:numId w:val="89"/>
        </w:numPr>
        <w:tabs>
          <w:tab w:val="num" w:pos="360"/>
        </w:tabs>
        <w:rPr>
          <w:rFonts w:ascii="Arial" w:hAnsi="Arial" w:cs="Arial"/>
          <w:lang w:val="en-US"/>
        </w:rPr>
      </w:pPr>
      <w:r w:rsidRPr="00225D53">
        <w:rPr>
          <w:rFonts w:ascii="Arial" w:hAnsi="Arial" w:cs="Arial"/>
          <w:lang w:val="en-US"/>
        </w:rPr>
        <w:t>Foster satellite inclusion in the 5G ecosystem as a key access network technology, to fulfil 5G implementation in the society.</w:t>
      </w:r>
    </w:p>
    <w:p w14:paraId="59195B9B"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Innovation of technologies for communication systems, specifically in satellite domain, cloud technologies and 5G terrestrial systems is reaching a point of convergence, which promises a new communication paradigm. It enables a new range of features such as agile service provisioning, multi- tenancy, software controlled and dynamic management, on- demand service-oriented resource allocation, universal multi- access, and ubiquitous connectivity. Standardization bodies as 3GPP and ETSI recognize and promote terrestrial and satellite interworking. The complete integration can be achieved with the combination of radio networks, including core and access, and the satellite systems, with computational resources expanded from the core to the network’s edge. On this way several challenges have to be addresses, such as: </w:t>
      </w:r>
    </w:p>
    <w:p w14:paraId="3CDC2E03"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5G Core Enhancement</w:t>
      </w:r>
    </w:p>
    <w:p w14:paraId="65DE07B9"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The 5G core and edge networking enhancements to support satellite and terrestrial access via the multi-layered terrestrial and non-terrestrial architecture. In particular, capability of discontinuous operation of the satellite RAN and the 5G core network over satellite systems. This includes the definition of new splits between the RAN and core network functions installed in the satellite payload and in the ground segment and the design of delay tolerant transport protocols that enable discontinuous connectivity of the feeder link. It enables the provisioning of NB-IoT services on LEO constellations using regenerative satellite architectures. The main challenge to address is the capability of completing 3GPP procedures even when a LEO satellite does not have simultaneous coverage with the sensor and the ground station.  </w:t>
      </w:r>
    </w:p>
    <w:p w14:paraId="11DB2DDC"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Satellite Resource Management and Service level APIs </w:t>
      </w:r>
    </w:p>
    <w:p w14:paraId="207B08B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To support the new dynamic satellite use cases, driven by 5G and other verticals, the satellite ground segment should push more for the resource softwarization and introduces efficient satellite resource and service manager elements. It will help to make the ground segment more dynamically configurable by external third-party resource and service orchestration systems. It promotes features like unified management and control with vendor-neutral interfaces; CAPEX and OPEX reduction; multi-tenancy; reduction of time-to-market for new appliances and protocols; promotion of market openness; as well as radical enhancement of the telco service portfolio with novel network services based on virtual appliances.  </w:t>
      </w:r>
    </w:p>
    <w:p w14:paraId="2B0B473A" w14:textId="77777777" w:rsidR="0035517D" w:rsidRPr="0035517D" w:rsidRDefault="0035517D" w:rsidP="0035517D">
      <w:pPr>
        <w:keepNext/>
        <w:spacing w:after="0"/>
        <w:outlineLvl w:val="3"/>
        <w:rPr>
          <w:rFonts w:ascii="Arial" w:hAnsi="Arial" w:cs="Arial"/>
          <w:u w:val="single"/>
        </w:rPr>
      </w:pPr>
      <w:r w:rsidRPr="0035517D">
        <w:rPr>
          <w:rFonts w:ascii="Arial" w:hAnsi="Arial" w:cs="Arial"/>
          <w:u w:val="single"/>
        </w:rPr>
        <w:t xml:space="preserve">Cross-domain Coordination Layer   </w:t>
      </w:r>
    </w:p>
    <w:p w14:paraId="6AB84C9E" w14:textId="2DB51B5E" w:rsid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As a key technical enabler for the realization of the smart networking using the next generation integrated satellite and terrestrial systems is Cross-domain Coordination layer. Such solution provides end-to-end service federation by orchestrating in a coherent fashion the satellite domain and third-party domains such as terrestrial 5G networks or Edge/Cloud domains. This solution should enable agile service provisioning (in order of few minutes) as well as the </w:t>
      </w:r>
      <w:r w:rsidRPr="0035517D">
        <w:rPr>
          <w:rFonts w:ascii="Arial" w:hAnsi="Arial" w:cs="Arial"/>
          <w:lang w:val="en-US"/>
        </w:rPr>
        <w:lastRenderedPageBreak/>
        <w:t>optimization of network capabilities, performance and behavior to support in the best way the dynamic nature of the applications and services that are required at any given time by the users. This technology should also allow the network to serve more users and more applications given specific infrastructure and thus provide more revenues for the service providers.</w:t>
      </w:r>
    </w:p>
    <w:p w14:paraId="17E7A9DC" w14:textId="77777777" w:rsidR="005F6376" w:rsidRPr="0035517D" w:rsidRDefault="005F6376" w:rsidP="0035517D">
      <w:pPr>
        <w:spacing w:after="60" w:line="240" w:lineRule="auto"/>
        <w:jc w:val="both"/>
        <w:rPr>
          <w:rFonts w:ascii="Arial" w:hAnsi="Arial" w:cs="Arial"/>
          <w:lang w:val="en-US"/>
        </w:rPr>
      </w:pPr>
    </w:p>
    <w:p w14:paraId="3B602D5A" w14:textId="77777777" w:rsidR="0035517D" w:rsidRPr="0035517D" w:rsidRDefault="0035517D" w:rsidP="00124439">
      <w:pPr>
        <w:keepNext/>
        <w:keepLines/>
        <w:numPr>
          <w:ilvl w:val="2"/>
          <w:numId w:val="9"/>
        </w:numPr>
        <w:spacing w:before="40" w:after="0"/>
        <w:outlineLvl w:val="2"/>
        <w:rPr>
          <w:rFonts w:ascii="Arial" w:eastAsiaTheme="majorEastAsia" w:hAnsi="Arial" w:cs="Arial"/>
          <w:color w:val="1F3763" w:themeColor="accent1" w:themeShade="7F"/>
          <w:sz w:val="24"/>
          <w:szCs w:val="24"/>
        </w:rPr>
      </w:pPr>
      <w:bookmarkStart w:id="347" w:name="_Toc42177339"/>
      <w:r w:rsidRPr="0035517D">
        <w:rPr>
          <w:rFonts w:ascii="Arial" w:eastAsiaTheme="majorEastAsia" w:hAnsi="Arial" w:cs="Arial"/>
          <w:color w:val="1F3763" w:themeColor="accent1" w:themeShade="7F"/>
          <w:sz w:val="24"/>
          <w:szCs w:val="24"/>
        </w:rPr>
        <w:t>Expected Impact</w:t>
      </w:r>
      <w:bookmarkEnd w:id="347"/>
    </w:p>
    <w:p w14:paraId="73B8BB5F" w14:textId="77777777" w:rsidR="0035517D" w:rsidRPr="0035517D" w:rsidRDefault="0035517D" w:rsidP="0035517D">
      <w:pPr>
        <w:spacing w:after="60" w:line="240" w:lineRule="auto"/>
        <w:jc w:val="both"/>
        <w:rPr>
          <w:rFonts w:ascii="Arial" w:hAnsi="Arial" w:cs="Arial"/>
          <w:lang w:val="en-US"/>
        </w:rPr>
      </w:pPr>
      <w:r w:rsidRPr="0035517D">
        <w:rPr>
          <w:rFonts w:ascii="Arial" w:hAnsi="Arial" w:cs="Arial"/>
          <w:lang w:val="en-US"/>
        </w:rPr>
        <w:t xml:space="preserve">Novel business models and economically viable operational collaborations that integrate the satellite and terrestrial stakeholders in a win-win situation can be only possible if effective technical solution for Plug and Play integrated satellite and terrestrial networks become a reality. The impact of this step forward for the European space industry is the provisioning of a globally competitive and ubiquitous 5G network in matter of minutes, offering the end user at least 50 Mbps 5G broadband and optimizing satellite communications within the 5G network infrastructure to provide services in the following applications: media and entertainment, transportation, health, logistics and agriculture. </w:t>
      </w:r>
    </w:p>
    <w:p w14:paraId="592B8C9D" w14:textId="071BA254" w:rsidR="00165731" w:rsidRPr="00A06FBC" w:rsidRDefault="0035517D">
      <w:pPr>
        <w:rPr>
          <w:rFonts w:ascii="Arial" w:hAnsi="Arial" w:cs="Arial"/>
        </w:rPr>
      </w:pPr>
      <w:r w:rsidRPr="0035517D">
        <w:rPr>
          <w:rFonts w:ascii="Arial" w:hAnsi="Arial" w:cs="Arial"/>
        </w:rPr>
        <w:t>Development of a cost-effective and efficient satellite-enabled eMBB solution for 5G and beyond to allow telecom and network operators to accelerate the deployment of 5G across all geographies while creating new and growing market opportunities to position Europe as a key player in the global competitive market of satellite and 5G. It is one of the main goals of the New Space environment, where can be also expected to NB-IoT services defined within 3GPP.</w:t>
      </w:r>
      <w:r w:rsidRPr="0035517D">
        <w:t xml:space="preserve"> </w:t>
      </w:r>
      <w:r w:rsidR="00FA6D77" w:rsidRPr="00DD50E9">
        <w:rPr>
          <w:rFonts w:ascii="Arial" w:hAnsi="Arial" w:cs="Arial"/>
        </w:rPr>
        <w:br w:type="page"/>
      </w:r>
      <w:bookmarkStart w:id="348" w:name="_Toc511140389"/>
      <w:bookmarkEnd w:id="300"/>
      <w:bookmarkEnd w:id="348"/>
    </w:p>
    <w:p w14:paraId="218FB896" w14:textId="1712BE99" w:rsidR="003A2F8E" w:rsidRDefault="003A2F8E" w:rsidP="00124439">
      <w:pPr>
        <w:pStyle w:val="Heading1"/>
        <w:numPr>
          <w:ilvl w:val="0"/>
          <w:numId w:val="9"/>
        </w:numPr>
      </w:pPr>
      <w:bookmarkStart w:id="349" w:name="_Toc506643668"/>
      <w:bookmarkStart w:id="350" w:name="_Toc42177340"/>
      <w:r w:rsidRPr="003A2F8E">
        <w:lastRenderedPageBreak/>
        <w:t>Opportunities for Devices and Components</w:t>
      </w:r>
      <w:bookmarkEnd w:id="349"/>
      <w:bookmarkEnd w:id="350"/>
    </w:p>
    <w:p w14:paraId="4526A423" w14:textId="77777777" w:rsidR="005F6376" w:rsidRPr="005F6376" w:rsidRDefault="005F6376" w:rsidP="005F6376"/>
    <w:p w14:paraId="394DE9C1" w14:textId="6323025A" w:rsidR="005F6376" w:rsidRPr="003A2F8E" w:rsidRDefault="003A2F8E" w:rsidP="003A2F8E">
      <w:pPr>
        <w:jc w:val="both"/>
        <w:rPr>
          <w:rFonts w:ascii="Arial" w:hAnsi="Arial" w:cs="Arial"/>
        </w:rPr>
      </w:pPr>
      <w:r w:rsidRPr="003A2F8E">
        <w:rPr>
          <w:rFonts w:ascii="Arial" w:hAnsi="Arial" w:cs="Arial"/>
        </w:rPr>
        <w:t>Progresses in all aspects of the wireless network are highly dependent on electronic technologies, components and devices that are used for implementation. This chapter gives an overview of the expectations towards the component and device researchers, designers and manufacturers to support the requirements of wireless networks up to the end of this decade. This includes the whole range of components such as processors, memories, analog, RF, converters, antennas, packaging and optical components.</w:t>
      </w:r>
    </w:p>
    <w:p w14:paraId="70A0DB5C" w14:textId="75988170" w:rsidR="003A2F8E" w:rsidRDefault="003A2F8E" w:rsidP="000E7551">
      <w:pPr>
        <w:pStyle w:val="Heading2"/>
        <w:rPr>
          <w:lang w:val="nl-BE"/>
        </w:rPr>
      </w:pPr>
      <w:bookmarkStart w:id="351" w:name="_Toc39842934"/>
      <w:bookmarkStart w:id="352" w:name="_Toc40773188"/>
      <w:bookmarkStart w:id="353" w:name="_Toc40777708"/>
      <w:bookmarkStart w:id="354" w:name="_Toc40784142"/>
      <w:bookmarkStart w:id="355" w:name="_Toc40792979"/>
      <w:bookmarkStart w:id="356" w:name="_Toc41304083"/>
      <w:bookmarkStart w:id="357" w:name="_Toc41304568"/>
      <w:bookmarkStart w:id="358" w:name="_Toc41304757"/>
      <w:bookmarkStart w:id="359" w:name="_Toc41304946"/>
      <w:bookmarkStart w:id="360" w:name="_Toc42177341"/>
      <w:bookmarkEnd w:id="351"/>
      <w:bookmarkEnd w:id="352"/>
      <w:bookmarkEnd w:id="353"/>
      <w:bookmarkEnd w:id="354"/>
      <w:bookmarkEnd w:id="355"/>
      <w:bookmarkEnd w:id="356"/>
      <w:bookmarkEnd w:id="357"/>
      <w:bookmarkEnd w:id="358"/>
      <w:bookmarkEnd w:id="359"/>
      <w:r w:rsidRPr="003A2F8E">
        <w:rPr>
          <w:lang w:val="nl-BE"/>
        </w:rPr>
        <w:t>Sub-10GHz RF</w:t>
      </w:r>
      <w:bookmarkEnd w:id="360"/>
    </w:p>
    <w:p w14:paraId="76AA9853" w14:textId="77777777" w:rsidR="005F6376" w:rsidRPr="005F6376" w:rsidRDefault="005F6376" w:rsidP="005F6376">
      <w:pPr>
        <w:rPr>
          <w:lang w:val="nl-BE"/>
        </w:rPr>
      </w:pPr>
    </w:p>
    <w:p w14:paraId="660C56D3" w14:textId="77777777" w:rsidR="003A2F8E" w:rsidRPr="003A2F8E" w:rsidRDefault="003A2F8E" w:rsidP="003A2F8E">
      <w:pPr>
        <w:jc w:val="both"/>
        <w:rPr>
          <w:rFonts w:ascii="Arial" w:hAnsi="Arial" w:cs="Arial"/>
        </w:rPr>
      </w:pPr>
      <w:r w:rsidRPr="003A2F8E">
        <w:rPr>
          <w:rFonts w:ascii="Arial" w:hAnsi="Arial" w:cs="Arial"/>
        </w:rPr>
        <w:t xml:space="preserve">The market of sub-10GHz has been dominated by cellular networks based on 3GPP standardized radio access and Wi-Fi local area access of 802.11 family. Mobile connectivity has utilized even larger portions of the spectrum at frequencies up to 6GHz. LTE (4G) and advanced Wi-Fi features will be complemented by ISM band applications from Bluetooth to home automation, NFC and IoT with narrowed spectrum allocations as well as satellite-based positioning systems. </w:t>
      </w:r>
    </w:p>
    <w:p w14:paraId="026BC6FB" w14:textId="77777777" w:rsidR="003A2F8E" w:rsidRPr="003A2F8E" w:rsidRDefault="003A2F8E" w:rsidP="003A2F8E">
      <w:pPr>
        <w:jc w:val="both"/>
        <w:rPr>
          <w:rFonts w:ascii="Arial" w:hAnsi="Arial" w:cs="Arial"/>
        </w:rPr>
      </w:pPr>
      <w:r w:rsidRPr="003A2F8E">
        <w:rPr>
          <w:rFonts w:ascii="Arial" w:hAnsi="Arial" w:cs="Arial"/>
        </w:rPr>
        <w:t xml:space="preserve">The trend has been and will be for a more efficient use of spectrum at the range that is the most suitable for compact and highly integrated electronics, i.e. RFICs with efficient DSP in terms of form factor, cost and power consumption in battery operated devices. Although technologies for RFICs and other components may sound mature and speed of any transistor is not a bottleneck, complexity of the designs has become enormous and on the other hand new data intensive applications require enhanced broadband operation. In addition, limited and scattered spectrum availability will lead to increasing parallelism of signal paths from antennas through RF to DSP. Both carrier aggregation to enhance data rate over several bands and massive MIMO to use spectrum more efficiently at those bands multiply the parallel active RF signal paths. </w:t>
      </w:r>
    </w:p>
    <w:p w14:paraId="7BBD34FE" w14:textId="77777777" w:rsidR="003A2F8E" w:rsidRPr="003A2F8E" w:rsidRDefault="003A2F8E" w:rsidP="003A2F8E">
      <w:pPr>
        <w:jc w:val="both"/>
        <w:rPr>
          <w:rFonts w:ascii="Arial" w:hAnsi="Arial" w:cs="Arial"/>
        </w:rPr>
      </w:pPr>
      <w:r w:rsidRPr="003A2F8E">
        <w:rPr>
          <w:rFonts w:ascii="Arial" w:hAnsi="Arial" w:cs="Arial"/>
        </w:rPr>
        <w:t xml:space="preserve">The challenges are obvious but hard to tackle including increased power consumption and interference between simultaneously operating radio paths (co-existence). For those, the solutions cannot be overcome solely by bulky filter banks at the front-ends but require increasing signal purity at transmitters and improving linearity and internal filtering capability in the receivers. This cannot be simply solved by increasing digital content due to bottlenecks in digital conversion. Even if higher resolution ADCs and DACs can shift part of the processing to digital that is in many ways highly beneficial, the new requirements mandate similar or even faster development of RF circuitry including antennas, external filters and switches as well as RFICs to achieve the goals. </w:t>
      </w:r>
    </w:p>
    <w:p w14:paraId="24A6DBC1" w14:textId="77777777" w:rsidR="003A2F8E" w:rsidRPr="003A2F8E" w:rsidRDefault="003A2F8E" w:rsidP="003A2F8E">
      <w:pPr>
        <w:jc w:val="both"/>
        <w:rPr>
          <w:rFonts w:ascii="Arial" w:hAnsi="Arial" w:cs="Arial"/>
        </w:rPr>
      </w:pPr>
      <w:r w:rsidRPr="003A2F8E">
        <w:rPr>
          <w:rFonts w:ascii="Arial" w:hAnsi="Arial" w:cs="Arial"/>
        </w:rPr>
        <w:t>Densifying networks is a must also at lower frequencies and not only starting from mmW region due to better range and frequency utilization including coming cell-free MIMO approaches. Co-optimization from antennas to digital over different technologies and techniques is a core competence in this field in addition to squeeze out the best possible performance from the technology. As RF integration is always balancing between speed of the transistor for digital and optimal performance of RF for power amplifiers, highly linear receivers and the best possible RF filtering contradictory requirements determine case-by-case the system partitioning of the functionality to components and IC’s. Large SoC’s and multi-chip RFIC and modem combos have their specific purposes also in the future.</w:t>
      </w:r>
    </w:p>
    <w:p w14:paraId="30493FAD" w14:textId="77777777" w:rsidR="003A2F8E" w:rsidRPr="003A2F8E" w:rsidRDefault="003A2F8E" w:rsidP="003A2F8E">
      <w:pPr>
        <w:jc w:val="both"/>
        <w:rPr>
          <w:rFonts w:ascii="Arial" w:hAnsi="Arial" w:cs="Arial"/>
        </w:rPr>
      </w:pPr>
      <w:r w:rsidRPr="003A2F8E">
        <w:rPr>
          <w:rFonts w:ascii="Arial" w:hAnsi="Arial" w:cs="Arial"/>
        </w:rPr>
        <w:t xml:space="preserve">To name the key opportunities in components, programmability and flexibility even beyond well-established topologies is a must. That is not anymore only cleverly placing digital switches </w:t>
      </w:r>
      <w:r w:rsidRPr="003A2F8E">
        <w:rPr>
          <w:rFonts w:ascii="Arial" w:hAnsi="Arial" w:cs="Arial"/>
        </w:rPr>
        <w:lastRenderedPageBreak/>
        <w:t>inside RFICs, but also techniques that can better jointly optimize antenna-filter-RFIC combination in terms of performance and flexible spectrum use. Holistic view on the system performance gives still many opportunities to boost system performance and minimize cost. Digital content approaches are also needed in classical RF signal processing blocks including digital PLL’s, transmitters and to certain extend also receivers with minimal RF content keeping in mind that dynamic range is the key to solve any near-far problem especially in cellular transceivers and co-existence scenarios between systems. In addition, solutions for simultaneous transmission and reception in the same channel i.e. in-band full duplex are still lacking proper commercialization even for a single band. Multi-band and MIMO pose huge challenges to in-band full duplex. Similar challenges apply both for RF transceivers in mobile solutions as well as in infrastructure with different trade-off in required performance vs battery lifetime.</w:t>
      </w:r>
    </w:p>
    <w:p w14:paraId="051C8B0C" w14:textId="5B2B9816" w:rsidR="003A2F8E" w:rsidRDefault="003A2F8E" w:rsidP="003A2F8E">
      <w:pPr>
        <w:jc w:val="both"/>
        <w:rPr>
          <w:rFonts w:ascii="Arial" w:hAnsi="Arial" w:cs="Arial"/>
        </w:rPr>
      </w:pPr>
      <w:r w:rsidRPr="003A2F8E">
        <w:rPr>
          <w:rFonts w:ascii="Arial" w:hAnsi="Arial" w:cs="Arial"/>
        </w:rPr>
        <w:t>Finally, opportunities below 10GHz are not only limited to more efficient use of spectrum but serving different kind of applications from narrow-band IoT to radar. These two are among examples that set very specific requirements for the circuits. In some cases, they can be seen as individual problems for specific devices like temperature sensors or hart beat monitoring of elderly people. However, the opportunity to utilize the same, extremely programmable circuitry to achieve multiple goals could enable a new set of new devices. The search for optimal combinations or to design more optimal circuits to serve different combinations is an emerging challenge and opportunity for various wireless systems effectively utilizing spectrum and hardware at frequencies below 10GHz.</w:t>
      </w:r>
    </w:p>
    <w:p w14:paraId="327670DD" w14:textId="77777777" w:rsidR="005F6376" w:rsidRPr="003A2F8E" w:rsidRDefault="005F6376" w:rsidP="003A2F8E">
      <w:pPr>
        <w:jc w:val="both"/>
        <w:rPr>
          <w:rFonts w:ascii="Arial" w:hAnsi="Arial" w:cs="Arial"/>
        </w:rPr>
      </w:pPr>
    </w:p>
    <w:p w14:paraId="330EEB81" w14:textId="113CBCB9" w:rsidR="003A2F8E" w:rsidRDefault="003A2F8E" w:rsidP="003A2F8E">
      <w:pPr>
        <w:pStyle w:val="Heading2"/>
        <w:rPr>
          <w:rFonts w:cs="Arial"/>
        </w:rPr>
      </w:pPr>
      <w:bookmarkStart w:id="361" w:name="_Toc42177342"/>
      <w:r w:rsidRPr="003A2F8E">
        <w:rPr>
          <w:rFonts w:cs="Arial"/>
        </w:rPr>
        <w:t>Millimeter-wave and TeraHertz</w:t>
      </w:r>
      <w:bookmarkEnd w:id="361"/>
    </w:p>
    <w:p w14:paraId="6220CB30" w14:textId="77777777" w:rsidR="003A2F8E" w:rsidRPr="003A2F8E" w:rsidRDefault="003A2F8E" w:rsidP="003A2F8E"/>
    <w:p w14:paraId="5E6D8AC7" w14:textId="77777777" w:rsidR="003A2F8E" w:rsidRPr="003A2F8E" w:rsidRDefault="003A2F8E" w:rsidP="00DA6395">
      <w:pPr>
        <w:pStyle w:val="Heading3"/>
      </w:pPr>
      <w:bookmarkStart w:id="362" w:name="_Toc42177343"/>
      <w:r w:rsidRPr="003A2F8E">
        <w:t>THz Communications:</w:t>
      </w:r>
      <w:bookmarkEnd w:id="362"/>
      <w:r w:rsidRPr="003A2F8E">
        <w:t xml:space="preserve"> </w:t>
      </w:r>
    </w:p>
    <w:p w14:paraId="2B71E91C" w14:textId="13016B12" w:rsidR="003A2F8E" w:rsidRPr="003A2F8E" w:rsidRDefault="003A2F8E" w:rsidP="003A2F8E">
      <w:pPr>
        <w:jc w:val="both"/>
        <w:rPr>
          <w:rFonts w:ascii="Arial" w:hAnsi="Arial" w:cs="Arial"/>
        </w:rPr>
      </w:pPr>
      <w:r w:rsidRPr="003A2F8E">
        <w:rPr>
          <w:rFonts w:ascii="Arial" w:hAnsi="Arial" w:cs="Arial"/>
        </w:rPr>
        <w:t xml:space="preserve">With an important amount of unused spectrum, the sub-TeraHertz (sub-THz) frequencies between 90 and 300 GHz are potential candidates to achieve high-data rate wireless communications and hence to fulfil the requirements of the next-generation of wireless networks </w:t>
      </w:r>
      <w:r w:rsidR="008059BC">
        <w:rPr>
          <w:rFonts w:ascii="Arial" w:hAnsi="Arial" w:cs="Arial"/>
        </w:rPr>
        <w:t>[C10-</w:t>
      </w:r>
      <w:r w:rsidRPr="003A2F8E">
        <w:rPr>
          <w:rFonts w:ascii="Arial" w:hAnsi="Arial" w:cs="Arial"/>
        </w:rPr>
        <w:t xml:space="preserve">1], </w:t>
      </w:r>
      <w:r w:rsidR="008059BC">
        <w:rPr>
          <w:rFonts w:ascii="Arial" w:hAnsi="Arial" w:cs="Arial"/>
        </w:rPr>
        <w:t>[C10-</w:t>
      </w:r>
      <w:r w:rsidRPr="003A2F8E">
        <w:rPr>
          <w:rFonts w:ascii="Arial" w:hAnsi="Arial" w:cs="Arial"/>
        </w:rPr>
        <w:t xml:space="preserve">2]. </w:t>
      </w:r>
    </w:p>
    <w:p w14:paraId="4C089177" w14:textId="5FB1ECDC" w:rsidR="003A2F8E" w:rsidRDefault="003A2F8E" w:rsidP="003A2F8E">
      <w:pPr>
        <w:jc w:val="both"/>
        <w:rPr>
          <w:rFonts w:ascii="Arial" w:hAnsi="Arial" w:cs="Arial"/>
        </w:rPr>
      </w:pPr>
      <w:r w:rsidRPr="003A2F8E">
        <w:rPr>
          <w:rFonts w:ascii="Arial" w:hAnsi="Arial" w:cs="Arial"/>
        </w:rPr>
        <w:t xml:space="preserve">However, before making the deployment of system in the sub-THz band, many challenges need to be addressed. First, the free-space propagation losses increase with the square of the frequency. These losses have to be compensated by using high-gain antennas, which entails severe constraints on antenna directivity and alignment. The design of electronically controlled steerable beam remains today an open issue. In addition, sub-THz systems could suffer from strong phase impairments due to the poor performance of high-frequency oscillators </w:t>
      </w:r>
      <w:r w:rsidR="008059BC">
        <w:rPr>
          <w:rFonts w:ascii="Arial" w:hAnsi="Arial" w:cs="Arial"/>
        </w:rPr>
        <w:t>[C10-</w:t>
      </w:r>
      <w:r w:rsidRPr="003A2F8E">
        <w:rPr>
          <w:rFonts w:ascii="Arial" w:hAnsi="Arial" w:cs="Arial"/>
        </w:rPr>
        <w:t xml:space="preserve">3]. Therefore, the study of new digital transmission schemes optimized to mitigate the impact of RF impairments such as phase noise (PN) is essential to guarantee good performance </w:t>
      </w:r>
      <w:r w:rsidR="008059BC">
        <w:rPr>
          <w:rFonts w:ascii="Arial" w:hAnsi="Arial" w:cs="Arial"/>
        </w:rPr>
        <w:t>[C10-</w:t>
      </w:r>
      <w:r w:rsidRPr="003A2F8E">
        <w:rPr>
          <w:rFonts w:ascii="Arial" w:hAnsi="Arial" w:cs="Arial"/>
        </w:rPr>
        <w:t>4].</w:t>
      </w:r>
    </w:p>
    <w:p w14:paraId="47D8A54A" w14:textId="77777777" w:rsidR="005F6376" w:rsidRPr="003A2F8E" w:rsidRDefault="005F6376" w:rsidP="003A2F8E">
      <w:pPr>
        <w:jc w:val="both"/>
        <w:rPr>
          <w:rFonts w:ascii="Arial" w:hAnsi="Arial" w:cs="Arial"/>
        </w:rPr>
      </w:pPr>
    </w:p>
    <w:p w14:paraId="7FC16834" w14:textId="77777777" w:rsidR="003A2F8E" w:rsidRPr="003A2F8E" w:rsidRDefault="003A2F8E" w:rsidP="00DA6395">
      <w:pPr>
        <w:pStyle w:val="Heading3"/>
      </w:pPr>
      <w:bookmarkStart w:id="363" w:name="_Toc42177344"/>
      <w:r w:rsidRPr="003A2F8E">
        <w:t>Solid-state technologies for THz applications:</w:t>
      </w:r>
      <w:bookmarkEnd w:id="363"/>
    </w:p>
    <w:p w14:paraId="39C79B43" w14:textId="58994A22" w:rsidR="003A2F8E" w:rsidRPr="003A2F8E" w:rsidRDefault="003A2F8E" w:rsidP="003A2F8E">
      <w:pPr>
        <w:jc w:val="both"/>
        <w:rPr>
          <w:rFonts w:ascii="Arial" w:hAnsi="Arial" w:cs="Arial"/>
        </w:rPr>
      </w:pPr>
      <w:r w:rsidRPr="003A2F8E">
        <w:rPr>
          <w:rFonts w:ascii="Arial" w:hAnsi="Arial" w:cs="Arial"/>
        </w:rPr>
        <w:t xml:space="preserve">Nowadays, silicon-based technologies offer low-cost solutions for RF and millimetre-wave applications combined with a high complexity in the digital domain. CMOS, however, has its limits in speed and power generation, which become apparent at operation above 100 GHz. This is evidenced in the on-line survey of power amplifiers, maintained by the Georgia Tech University </w:t>
      </w:r>
      <w:r w:rsidR="008059BC">
        <w:rPr>
          <w:rFonts w:ascii="Arial" w:hAnsi="Arial" w:cs="Arial"/>
        </w:rPr>
        <w:t>[C10-</w:t>
      </w:r>
      <w:r w:rsidRPr="003A2F8E">
        <w:rPr>
          <w:rFonts w:ascii="Arial" w:hAnsi="Arial" w:cs="Arial"/>
        </w:rPr>
        <w:t xml:space="preserve">9]. Hence, the very high-speed part of a THz communication transceiver will need a different technology. Application of this “non-CMOS technology” will be limited to the </w:t>
      </w:r>
      <w:r w:rsidRPr="003A2F8E">
        <w:rPr>
          <w:rFonts w:ascii="Arial" w:hAnsi="Arial" w:cs="Arial"/>
        </w:rPr>
        <w:lastRenderedPageBreak/>
        <w:t xml:space="preserve">transceiver functions that cannot be implemented in CMOS: transceiver architectures will be designed such that most functionality can be done in CMOS, keeping the non-CMOS part as limited as possible. </w:t>
      </w:r>
    </w:p>
    <w:p w14:paraId="399C234B" w14:textId="792C6577" w:rsidR="003A2F8E" w:rsidRPr="003A2F8E" w:rsidRDefault="003A2F8E" w:rsidP="003A2F8E">
      <w:pPr>
        <w:jc w:val="both"/>
        <w:rPr>
          <w:rFonts w:ascii="Arial" w:hAnsi="Arial" w:cs="Arial"/>
        </w:rPr>
      </w:pPr>
      <w:r w:rsidRPr="003A2F8E">
        <w:rPr>
          <w:rFonts w:ascii="Arial" w:hAnsi="Arial" w:cs="Arial"/>
        </w:rPr>
        <w:t xml:space="preserve">In the H2020 NEREID CSA project </w:t>
      </w:r>
      <w:r w:rsidR="008059BC">
        <w:rPr>
          <w:rFonts w:ascii="Arial" w:hAnsi="Arial" w:cs="Arial"/>
        </w:rPr>
        <w:t>[C10-</w:t>
      </w:r>
      <w:r w:rsidRPr="003A2F8E">
        <w:rPr>
          <w:rFonts w:ascii="Arial" w:hAnsi="Arial" w:cs="Arial"/>
        </w:rPr>
        <w:t>7], IC technologies are compared based on wireless transceivers and their most critical/representative RF building blocks:  a power amplifier (PA),  a low noise amplifier (LNA), and a voltage-controlled oscillator (VCO).  Based on the performance of these circuits a spider diagram can be constructed (see figure below), which uses eight criteria:</w:t>
      </w:r>
    </w:p>
    <w:p w14:paraId="3602D8CD" w14:textId="77777777" w:rsidR="003A2F8E" w:rsidRPr="003A2F8E" w:rsidRDefault="003A2F8E" w:rsidP="003A2F8E">
      <w:pPr>
        <w:jc w:val="both"/>
        <w:rPr>
          <w:rFonts w:ascii="Arial" w:hAnsi="Arial" w:cs="Arial"/>
        </w:rPr>
      </w:pPr>
      <w:r w:rsidRPr="003A2F8E">
        <w:rPr>
          <w:rFonts w:ascii="Arial" w:hAnsi="Arial" w:cs="Arial"/>
          <w:noProof/>
          <w:lang w:eastAsia="en-GB"/>
        </w:rPr>
        <w:drawing>
          <wp:anchor distT="0" distB="0" distL="114300" distR="114300" simplePos="0" relativeHeight="251670528" behindDoc="0" locked="0" layoutInCell="1" allowOverlap="1" wp14:anchorId="518682BA" wp14:editId="3051FA87">
            <wp:simplePos x="0" y="0"/>
            <wp:positionH relativeFrom="column">
              <wp:posOffset>9525</wp:posOffset>
            </wp:positionH>
            <wp:positionV relativeFrom="paragraph">
              <wp:posOffset>15875</wp:posOffset>
            </wp:positionV>
            <wp:extent cx="2871470" cy="1901825"/>
            <wp:effectExtent l="0" t="0" r="0" b="0"/>
            <wp:wrapSquare wrapText="bothSides"/>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1470" cy="1901825"/>
                    </a:xfrm>
                    <a:prstGeom prst="rect">
                      <a:avLst/>
                    </a:prstGeom>
                    <a:noFill/>
                  </pic:spPr>
                </pic:pic>
              </a:graphicData>
            </a:graphic>
          </wp:anchor>
        </w:drawing>
      </w:r>
      <w:r w:rsidRPr="003A2F8E">
        <w:rPr>
          <w:rFonts w:ascii="Arial" w:hAnsi="Arial" w:cs="Arial"/>
        </w:rPr>
        <w:t xml:space="preserve">The </w:t>
      </w:r>
      <w:r w:rsidRPr="003A2F8E">
        <w:rPr>
          <w:rFonts w:ascii="Arial" w:hAnsi="Arial" w:cs="Arial"/>
          <w:b/>
        </w:rPr>
        <w:t>Power</w:t>
      </w:r>
      <w:r w:rsidRPr="003A2F8E">
        <w:rPr>
          <w:rFonts w:ascii="Arial" w:hAnsi="Arial" w:cs="Arial"/>
        </w:rPr>
        <w:t xml:space="preserve"> capability depends on the maximum bias voltages that can be applied over a transistor  and the maximum current capability. The </w:t>
      </w:r>
      <w:r w:rsidRPr="003A2F8E">
        <w:rPr>
          <w:rFonts w:ascii="Arial" w:hAnsi="Arial" w:cs="Arial"/>
          <w:b/>
        </w:rPr>
        <w:t>High-Speed Digital</w:t>
      </w:r>
      <w:r w:rsidRPr="003A2F8E">
        <w:rPr>
          <w:rFonts w:ascii="Arial" w:hAnsi="Arial" w:cs="Arial"/>
        </w:rPr>
        <w:t xml:space="preserve"> </w:t>
      </w:r>
      <w:r w:rsidRPr="003A2F8E">
        <w:rPr>
          <w:rFonts w:ascii="Arial" w:hAnsi="Arial" w:cs="Arial"/>
          <w:b/>
          <w:bCs/>
        </w:rPr>
        <w:t>Integration</w:t>
      </w:r>
      <w:r w:rsidRPr="003A2F8E">
        <w:rPr>
          <w:rFonts w:ascii="Arial" w:hAnsi="Arial" w:cs="Arial"/>
        </w:rPr>
        <w:t xml:space="preserve"> capability is a function of inverter size and efficiency (transit time / current). Here, again, a disclaimer needs to be made that digital functionality will be adapted to enable CMOS integration, even if other technologies could offer better digital circuit performance. Next, </w:t>
      </w:r>
      <w:r w:rsidRPr="003A2F8E">
        <w:rPr>
          <w:rFonts w:ascii="Arial" w:hAnsi="Arial" w:cs="Arial"/>
          <w:bCs/>
        </w:rPr>
        <w:t>the</w:t>
      </w:r>
      <w:r w:rsidRPr="003A2F8E">
        <w:rPr>
          <w:rFonts w:ascii="Arial" w:hAnsi="Arial" w:cs="Arial"/>
          <w:b/>
        </w:rPr>
        <w:t xml:space="preserve"> selectability</w:t>
      </w:r>
      <w:r w:rsidRPr="003A2F8E">
        <w:rPr>
          <w:rFonts w:ascii="Arial" w:hAnsi="Arial" w:cs="Arial"/>
        </w:rPr>
        <w:t xml:space="preserve"> is the ability to switch RF signals with high isolation (low loss, high isolation). </w:t>
      </w:r>
      <w:r w:rsidRPr="003A2F8E">
        <w:rPr>
          <w:rFonts w:ascii="Arial" w:hAnsi="Arial" w:cs="Arial"/>
          <w:b/>
        </w:rPr>
        <w:t>The linearity</w:t>
      </w:r>
      <w:r w:rsidRPr="003A2F8E">
        <w:rPr>
          <w:rFonts w:ascii="Arial" w:hAnsi="Arial" w:cs="Arial"/>
        </w:rPr>
        <w:t xml:space="preserve"> of transistors is given by their input-output relationship (e.g. x</w:t>
      </w:r>
      <w:r w:rsidRPr="003A2F8E">
        <w:rPr>
          <w:rFonts w:ascii="Arial" w:hAnsi="Arial" w:cs="Arial"/>
          <w:vertAlign w:val="superscript"/>
        </w:rPr>
        <w:t>2</w:t>
      </w:r>
      <w:r w:rsidRPr="003A2F8E">
        <w:rPr>
          <w:rFonts w:ascii="Arial" w:hAnsi="Arial" w:cs="Arial"/>
        </w:rPr>
        <w:t xml:space="preserve"> for a quadratic device  or e</w:t>
      </w:r>
      <w:r w:rsidRPr="003A2F8E">
        <w:rPr>
          <w:rFonts w:ascii="Arial" w:hAnsi="Arial" w:cs="Arial"/>
          <w:vertAlign w:val="superscript"/>
        </w:rPr>
        <w:t>x</w:t>
      </w:r>
      <w:r w:rsidRPr="003A2F8E">
        <w:rPr>
          <w:rFonts w:ascii="Arial" w:hAnsi="Arial" w:cs="Arial"/>
        </w:rPr>
        <w:t xml:space="preserve"> for a bipolar transistor). Further, </w:t>
      </w:r>
      <w:r w:rsidRPr="003A2F8E">
        <w:rPr>
          <w:rFonts w:ascii="Arial" w:hAnsi="Arial" w:cs="Arial"/>
          <w:b/>
        </w:rPr>
        <w:t>matching</w:t>
      </w:r>
      <w:r w:rsidRPr="003A2F8E">
        <w:rPr>
          <w:rFonts w:ascii="Arial" w:hAnsi="Arial" w:cs="Arial"/>
        </w:rPr>
        <w:t xml:space="preserve"> between 2 minimum-size transistors is an important criterion in differential circuits which are widely used, from low frequencies up to mm-wave frequencies.</w:t>
      </w:r>
    </w:p>
    <w:p w14:paraId="2644012C" w14:textId="77777777" w:rsidR="003A2F8E" w:rsidRPr="003A2F8E" w:rsidRDefault="003A2F8E" w:rsidP="003A2F8E">
      <w:pPr>
        <w:jc w:val="both"/>
        <w:rPr>
          <w:rFonts w:ascii="Arial" w:hAnsi="Arial" w:cs="Arial"/>
        </w:rPr>
      </w:pPr>
      <w:r w:rsidRPr="003A2F8E">
        <w:rPr>
          <w:rFonts w:ascii="Arial" w:hAnsi="Arial" w:cs="Arial"/>
          <w:b/>
        </w:rPr>
        <w:t>Isolation and HQ Passives</w:t>
      </w:r>
      <w:r w:rsidRPr="003A2F8E">
        <w:rPr>
          <w:rFonts w:ascii="Arial" w:hAnsi="Arial" w:cs="Arial"/>
        </w:rPr>
        <w:t xml:space="preserve"> depend on the substrate resistivity and on the availability of a thick metal.  This gives the ability to limit the effect of pulling of a VCO by a PA, and to have high-Q passives in dielectric conditions. The couple </w:t>
      </w:r>
      <w:r w:rsidRPr="003A2F8E">
        <w:rPr>
          <w:rFonts w:ascii="Arial" w:hAnsi="Arial" w:cs="Arial"/>
          <w:b/>
        </w:rPr>
        <w:t>f</w:t>
      </w:r>
      <w:r w:rsidRPr="003A2F8E">
        <w:rPr>
          <w:rFonts w:ascii="Arial" w:hAnsi="Arial" w:cs="Arial"/>
          <w:b/>
          <w:vertAlign w:val="subscript"/>
        </w:rPr>
        <w:t>T</w:t>
      </w:r>
      <w:r w:rsidRPr="003A2F8E">
        <w:rPr>
          <w:rFonts w:ascii="Arial" w:hAnsi="Arial" w:cs="Arial"/>
          <w:b/>
        </w:rPr>
        <w:t>/NF</w:t>
      </w:r>
      <w:r w:rsidRPr="003A2F8E">
        <w:rPr>
          <w:rFonts w:ascii="Arial" w:hAnsi="Arial" w:cs="Arial"/>
        </w:rPr>
        <w:t xml:space="preserve"> is the property given by the cutoff frequency f</w:t>
      </w:r>
      <w:r w:rsidRPr="003A2F8E">
        <w:rPr>
          <w:rFonts w:ascii="Arial" w:hAnsi="Arial" w:cs="Arial"/>
          <w:vertAlign w:val="subscript"/>
        </w:rPr>
        <w:t>T</w:t>
      </w:r>
      <w:r w:rsidRPr="003A2F8E">
        <w:rPr>
          <w:rFonts w:ascii="Arial" w:hAnsi="Arial" w:cs="Arial"/>
        </w:rPr>
        <w:t xml:space="preserve"> and the minimum noise figure NF</w:t>
      </w:r>
      <w:r w:rsidRPr="003A2F8E">
        <w:rPr>
          <w:rFonts w:ascii="Arial" w:hAnsi="Arial" w:cs="Arial"/>
          <w:vertAlign w:val="subscript"/>
        </w:rPr>
        <w:t>min</w:t>
      </w:r>
      <w:r w:rsidRPr="003A2F8E">
        <w:rPr>
          <w:rFonts w:ascii="Arial" w:hAnsi="Arial" w:cs="Arial"/>
        </w:rPr>
        <w:t xml:space="preserve"> of the technology. The cutoff frequency indicates the potential for high-speed digital applications and NF</w:t>
      </w:r>
      <w:r w:rsidRPr="003A2F8E">
        <w:rPr>
          <w:rFonts w:ascii="Arial" w:hAnsi="Arial" w:cs="Arial"/>
          <w:vertAlign w:val="subscript"/>
        </w:rPr>
        <w:t>min</w:t>
      </w:r>
      <w:r w:rsidRPr="003A2F8E">
        <w:rPr>
          <w:rFonts w:ascii="Arial" w:hAnsi="Arial" w:cs="Arial"/>
        </w:rPr>
        <w:t xml:space="preserve"> for the lowest achievable receiver noise. Further, </w:t>
      </w:r>
      <w:r w:rsidRPr="003A2F8E">
        <w:rPr>
          <w:rFonts w:ascii="Arial" w:hAnsi="Arial" w:cs="Arial"/>
          <w:b/>
          <w:bCs/>
        </w:rPr>
        <w:t>f</w:t>
      </w:r>
      <w:r w:rsidRPr="003A2F8E">
        <w:rPr>
          <w:rFonts w:ascii="Arial" w:hAnsi="Arial" w:cs="Arial"/>
          <w:b/>
          <w:vertAlign w:val="subscript"/>
        </w:rPr>
        <w:t>max</w:t>
      </w:r>
      <w:r w:rsidRPr="003A2F8E">
        <w:rPr>
          <w:rFonts w:ascii="Arial" w:hAnsi="Arial" w:cs="Arial"/>
        </w:rPr>
        <w:t xml:space="preserve"> is the frequency where power gain has dropped to 0 dB. Typically, the maximum frequency of operation for RF amplifiers (which need to able to make a minimum amount of power gain) is limited to about f</w:t>
      </w:r>
      <w:r w:rsidRPr="003A2F8E">
        <w:rPr>
          <w:rFonts w:ascii="Arial" w:hAnsi="Arial" w:cs="Arial"/>
          <w:vertAlign w:val="subscript"/>
        </w:rPr>
        <w:t>max</w:t>
      </w:r>
      <w:r w:rsidRPr="003A2F8E">
        <w:rPr>
          <w:rFonts w:ascii="Arial" w:hAnsi="Arial" w:cs="Arial"/>
        </w:rPr>
        <w:t>/3.</w:t>
      </w:r>
    </w:p>
    <w:p w14:paraId="19EDC084" w14:textId="0B1F2073" w:rsidR="003A2F8E" w:rsidRPr="003A2F8E" w:rsidRDefault="003A2F8E" w:rsidP="003A2F8E">
      <w:pPr>
        <w:jc w:val="both"/>
        <w:rPr>
          <w:rFonts w:ascii="Arial" w:hAnsi="Arial" w:cs="Arial"/>
        </w:rPr>
      </w:pPr>
      <w:r w:rsidRPr="003A2F8E">
        <w:rPr>
          <w:rFonts w:ascii="Arial" w:hAnsi="Arial" w:cs="Arial"/>
          <w:noProof/>
          <w:lang w:eastAsia="en-GB"/>
        </w:rPr>
        <w:drawing>
          <wp:anchor distT="0" distB="0" distL="114300" distR="114300" simplePos="0" relativeHeight="251671552" behindDoc="0" locked="0" layoutInCell="1" allowOverlap="1" wp14:anchorId="5404E888" wp14:editId="5B597AED">
            <wp:simplePos x="0" y="0"/>
            <wp:positionH relativeFrom="margin">
              <wp:posOffset>47570</wp:posOffset>
            </wp:positionH>
            <wp:positionV relativeFrom="paragraph">
              <wp:posOffset>3021</wp:posOffset>
            </wp:positionV>
            <wp:extent cx="3930015" cy="1412875"/>
            <wp:effectExtent l="0" t="0" r="0" b="0"/>
            <wp:wrapSquare wrapText="bothSides"/>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0015" cy="1412875"/>
                    </a:xfrm>
                    <a:prstGeom prst="rect">
                      <a:avLst/>
                    </a:prstGeom>
                    <a:noFill/>
                  </pic:spPr>
                </pic:pic>
              </a:graphicData>
            </a:graphic>
            <wp14:sizeRelH relativeFrom="margin">
              <wp14:pctWidth>0</wp14:pctWidth>
            </wp14:sizeRelH>
            <wp14:sizeRelV relativeFrom="margin">
              <wp14:pctHeight>0</wp14:pctHeight>
            </wp14:sizeRelV>
          </wp:anchor>
        </w:drawing>
      </w:r>
      <w:r w:rsidRPr="003A2F8E">
        <w:rPr>
          <w:rFonts w:ascii="Arial" w:hAnsi="Arial" w:cs="Arial"/>
          <w:noProof/>
          <w:lang w:eastAsia="en-GB"/>
        </w:rPr>
        <w:drawing>
          <wp:anchor distT="0" distB="0" distL="114300" distR="114300" simplePos="0" relativeHeight="251672576" behindDoc="0" locked="0" layoutInCell="1" allowOverlap="1" wp14:anchorId="12CDC7EB" wp14:editId="7B7B3279">
            <wp:simplePos x="0" y="0"/>
            <wp:positionH relativeFrom="margin">
              <wp:posOffset>-635</wp:posOffset>
            </wp:positionH>
            <wp:positionV relativeFrom="paragraph">
              <wp:posOffset>1538891</wp:posOffset>
            </wp:positionV>
            <wp:extent cx="3863340" cy="2599690"/>
            <wp:effectExtent l="0" t="0" r="381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3340" cy="2599690"/>
                    </a:xfrm>
                    <a:prstGeom prst="rect">
                      <a:avLst/>
                    </a:prstGeom>
                    <a:noFill/>
                  </pic:spPr>
                </pic:pic>
              </a:graphicData>
            </a:graphic>
            <wp14:sizeRelH relativeFrom="margin">
              <wp14:pctWidth>0</wp14:pctWidth>
            </wp14:sizeRelH>
            <wp14:sizeRelV relativeFrom="margin">
              <wp14:pctHeight>0</wp14:pctHeight>
            </wp14:sizeRelV>
          </wp:anchor>
        </w:drawing>
      </w:r>
      <w:r w:rsidRPr="003A2F8E">
        <w:rPr>
          <w:rFonts w:ascii="Arial" w:hAnsi="Arial" w:cs="Arial"/>
        </w:rPr>
        <w:t xml:space="preserve">A connectivity roadmap has been defined in </w:t>
      </w:r>
      <w:r w:rsidR="008059BC">
        <w:rPr>
          <w:rFonts w:ascii="Arial" w:hAnsi="Arial" w:cs="Arial"/>
        </w:rPr>
        <w:t>[C10-</w:t>
      </w:r>
      <w:r w:rsidRPr="003A2F8E">
        <w:rPr>
          <w:rFonts w:ascii="Arial" w:hAnsi="Arial" w:cs="Arial"/>
        </w:rPr>
        <w:t xml:space="preserve">7] for three main application domains, namely D2D (device to device communication), indoor and outdoor applications. An outlook is given for the medium term (5 years outlook) and for the long term (10 years). Based on this analysis, the connectivity requirements for each process technology can be extracted. This is illustrated in the next figure. </w:t>
      </w:r>
      <w:r w:rsidRPr="003A2F8E">
        <w:rPr>
          <w:rFonts w:ascii="Arial" w:hAnsi="Arial" w:cs="Arial"/>
        </w:rPr>
        <w:lastRenderedPageBreak/>
        <w:t>The main difference between the technologies is the output power. At low mm-wave frequencies, GaN is the champion here. However, in outdoor applications and also in most indoor ones, beamforming will be used. Then the required transmit power per PA is drastically lowered compared to one single antenna path, making many technologies suitable for the entire front-end including the transmit part.   Further,  for some D2D applications the linearity constraint can be relaxed. Whatever the application, increasing the operating frequency will impose strong specifications on f</w:t>
      </w:r>
      <w:r w:rsidRPr="003A2F8E">
        <w:rPr>
          <w:rFonts w:ascii="Arial" w:hAnsi="Arial" w:cs="Arial"/>
          <w:vertAlign w:val="subscript"/>
        </w:rPr>
        <w:t>max</w:t>
      </w:r>
      <w:r w:rsidRPr="003A2F8E">
        <w:rPr>
          <w:rFonts w:ascii="Arial" w:hAnsi="Arial" w:cs="Arial"/>
        </w:rPr>
        <w:t xml:space="preserve"> and NF</w:t>
      </w:r>
      <w:r w:rsidRPr="003A2F8E">
        <w:rPr>
          <w:rFonts w:ascii="Arial" w:hAnsi="Arial" w:cs="Arial"/>
          <w:vertAlign w:val="subscript"/>
        </w:rPr>
        <w:t>min</w:t>
      </w:r>
      <w:r w:rsidRPr="003A2F8E">
        <w:rPr>
          <w:rFonts w:ascii="Arial" w:hAnsi="Arial" w:cs="Arial"/>
        </w:rPr>
        <w:t>, while increasing the data rate will require a higher f</w:t>
      </w:r>
      <w:r w:rsidRPr="003A2F8E">
        <w:rPr>
          <w:rFonts w:ascii="Arial" w:hAnsi="Arial" w:cs="Arial"/>
          <w:vertAlign w:val="subscript"/>
        </w:rPr>
        <w:t>T</w:t>
      </w:r>
      <w:r w:rsidRPr="003A2F8E">
        <w:rPr>
          <w:rFonts w:ascii="Arial" w:hAnsi="Arial" w:cs="Arial"/>
        </w:rPr>
        <w:t>. NEREID’s forecast for these 3 device parameters is 1THz for both f</w:t>
      </w:r>
      <w:r w:rsidRPr="003A2F8E">
        <w:rPr>
          <w:rFonts w:ascii="Arial" w:hAnsi="Arial" w:cs="Arial"/>
          <w:vertAlign w:val="subscript"/>
        </w:rPr>
        <w:t>max</w:t>
      </w:r>
      <w:r w:rsidRPr="003A2F8E">
        <w:rPr>
          <w:rFonts w:ascii="Arial" w:hAnsi="Arial" w:cs="Arial"/>
        </w:rPr>
        <w:t xml:space="preserve"> and f</w:t>
      </w:r>
      <w:r w:rsidRPr="003A2F8E">
        <w:rPr>
          <w:rFonts w:ascii="Arial" w:hAnsi="Arial" w:cs="Arial"/>
          <w:vertAlign w:val="subscript"/>
        </w:rPr>
        <w:t>T</w:t>
      </w:r>
      <w:r w:rsidRPr="003A2F8E">
        <w:rPr>
          <w:rFonts w:ascii="Arial" w:hAnsi="Arial" w:cs="Arial"/>
        </w:rPr>
        <w:t xml:space="preserve"> and 0.5dB for NF</w:t>
      </w:r>
      <w:r w:rsidRPr="003A2F8E">
        <w:rPr>
          <w:rFonts w:ascii="Arial" w:hAnsi="Arial" w:cs="Arial"/>
          <w:vertAlign w:val="subscript"/>
        </w:rPr>
        <w:t>min</w:t>
      </w:r>
      <w:r w:rsidRPr="003A2F8E">
        <w:rPr>
          <w:rFonts w:ascii="Arial" w:hAnsi="Arial" w:cs="Arial"/>
        </w:rPr>
        <w:t>.</w:t>
      </w:r>
    </w:p>
    <w:p w14:paraId="50FF3F06" w14:textId="537F39BB" w:rsidR="003A2F8E" w:rsidRPr="003A2F8E" w:rsidRDefault="003A2F8E" w:rsidP="003A2F8E">
      <w:pPr>
        <w:jc w:val="both"/>
        <w:rPr>
          <w:rFonts w:ascii="Arial" w:hAnsi="Arial" w:cs="Arial"/>
        </w:rPr>
      </w:pPr>
      <w:r w:rsidRPr="003A2F8E">
        <w:rPr>
          <w:rFonts w:ascii="Arial" w:hAnsi="Arial" w:cs="Arial"/>
        </w:rPr>
        <w:t xml:space="preserve">In the spider diagrams we consider different (non-CMOS) technologies that are available at this time of writing:  silicon-based ones (RF-SOI, FD-SOI, SiGe BiCMOS ,) III-V on silicon substrates (GaAs/Si, GaN/Si) and III-V on native substrates (InP). The benefit of BiCMOS and FD-SOI is the ability to combine mm-wave circuits with complex digital circuits, although to a lesser extent than ultra-downscaled CMOS beyond the 10nm generation.   RF-SOI and new GaN/Si bring RF power and selectability. For generation of power in the D-band and in higher frequency bands, the survey of </w:t>
      </w:r>
      <w:r w:rsidR="008059BC">
        <w:rPr>
          <w:rFonts w:ascii="Arial" w:hAnsi="Arial" w:cs="Arial"/>
        </w:rPr>
        <w:t>[C10-</w:t>
      </w:r>
      <w:r w:rsidRPr="003A2F8E">
        <w:rPr>
          <w:rFonts w:ascii="Arial" w:hAnsi="Arial" w:cs="Arial"/>
        </w:rPr>
        <w:t xml:space="preserve">10] indicates that the best performance is obtained nowadays with InP. A deployment of InP on a very large scale is hindered today by the small number of metal levels that are typically available in commercial foundries and by the small wafer sizes. Integration of high-mobility III-V devices on 300mm silicon wafers as in </w:t>
      </w:r>
      <w:r w:rsidR="008059BC">
        <w:rPr>
          <w:rFonts w:ascii="Arial" w:hAnsi="Arial" w:cs="Arial"/>
        </w:rPr>
        <w:t>[C10-</w:t>
      </w:r>
      <w:r w:rsidRPr="003A2F8E">
        <w:rPr>
          <w:rFonts w:ascii="Arial" w:hAnsi="Arial" w:cs="Arial"/>
        </w:rPr>
        <w:t xml:space="preserve">13] and going further to co-integration with CMOS is currently investigated. Another route is a further evolution of silicon bipolar transistors, for which cutoff frequencies above 1 THz are predicted </w:t>
      </w:r>
      <w:r w:rsidR="008059BC">
        <w:rPr>
          <w:rFonts w:ascii="Arial" w:hAnsi="Arial" w:cs="Arial"/>
        </w:rPr>
        <w:t>[C10-</w:t>
      </w:r>
      <w:r w:rsidRPr="003A2F8E">
        <w:rPr>
          <w:rFonts w:ascii="Arial" w:hAnsi="Arial" w:cs="Arial"/>
        </w:rPr>
        <w:t xml:space="preserve">14]. BiCMOS has the advantage of being a silicon technology, with a larger ecosystem than e.g. InP but still, the product of mobility and breakdown voltage of III-V devices is higher. Finally, GaN HEMT devices are also subject to downscaling and might become a strong candidate for D-band operation when gate lengths well below 100 nm can be realized. Operation at 100 GHz with 100nm GaN on SiC devices with gold metallization has already been demonstrated but still with moderate efficiencies for a PA </w:t>
      </w:r>
      <w:r w:rsidR="008059BC">
        <w:rPr>
          <w:rFonts w:ascii="Arial" w:hAnsi="Arial" w:cs="Arial"/>
        </w:rPr>
        <w:t>[C10-</w:t>
      </w:r>
      <w:r w:rsidRPr="003A2F8E">
        <w:rPr>
          <w:rFonts w:ascii="Arial" w:hAnsi="Arial" w:cs="Arial"/>
        </w:rPr>
        <w:t xml:space="preserve">15]. Also here, a wide deployment of GaN devices might benefit from integration on 300 mm wafers and with many Cu metal levels as in </w:t>
      </w:r>
      <w:r w:rsidR="008059BC">
        <w:rPr>
          <w:rFonts w:ascii="Arial" w:hAnsi="Arial" w:cs="Arial"/>
        </w:rPr>
        <w:t>[C10-</w:t>
      </w:r>
      <w:r w:rsidRPr="003A2F8E">
        <w:rPr>
          <w:rFonts w:ascii="Arial" w:hAnsi="Arial" w:cs="Arial"/>
        </w:rPr>
        <w:t>15].</w:t>
      </w:r>
    </w:p>
    <w:p w14:paraId="6B21B66C" w14:textId="22A7C844" w:rsidR="003A2F8E" w:rsidRDefault="003A2F8E" w:rsidP="003A2F8E">
      <w:pPr>
        <w:jc w:val="both"/>
        <w:rPr>
          <w:rFonts w:ascii="Arial" w:hAnsi="Arial" w:cs="Arial"/>
        </w:rPr>
      </w:pPr>
      <w:r w:rsidRPr="003A2F8E">
        <w:rPr>
          <w:rFonts w:ascii="Arial" w:hAnsi="Arial" w:cs="Arial"/>
        </w:rPr>
        <w:t xml:space="preserve">Finally, THz communication will use very wide bandwidths to accommodate high data rates. As a result, the bandwidth that needs to be handled by baseband (both analog and digital) circuitry is huge, compared to the early days of wireless communication. This is a challenge for the design of analog-to-digital converters. There will be a need for ADCs with clock rates beyond 10 GHz. The ADC typically resides on the same chip as the digital functionality of a transceiver, which, for mass-market applications, is expected to further follow the CMOS downscaling trend. It still remains an open question how the performance of extremely high-speed ADCs will evolve when logic devices will transition from a finFET device architecture to a gate-all-around structure or even forksheet devices </w:t>
      </w:r>
      <w:r w:rsidR="008059BC">
        <w:rPr>
          <w:rFonts w:ascii="Arial" w:hAnsi="Arial" w:cs="Arial"/>
        </w:rPr>
        <w:t>[C10-</w:t>
      </w:r>
      <w:r w:rsidRPr="003A2F8E">
        <w:rPr>
          <w:rFonts w:ascii="Arial" w:hAnsi="Arial" w:cs="Arial"/>
        </w:rPr>
        <w:t>16].</w:t>
      </w:r>
    </w:p>
    <w:p w14:paraId="19BAA6C8" w14:textId="77777777" w:rsidR="005F6376" w:rsidRPr="003A2F8E" w:rsidRDefault="005F6376" w:rsidP="003A2F8E">
      <w:pPr>
        <w:jc w:val="both"/>
        <w:rPr>
          <w:rFonts w:ascii="Arial" w:hAnsi="Arial" w:cs="Arial"/>
        </w:rPr>
      </w:pPr>
    </w:p>
    <w:p w14:paraId="076046FF" w14:textId="77777777" w:rsidR="003A2F8E" w:rsidRPr="003A2F8E" w:rsidRDefault="003A2F8E" w:rsidP="00DA6395">
      <w:pPr>
        <w:pStyle w:val="Heading3"/>
      </w:pPr>
      <w:bookmarkStart w:id="364" w:name="_Toc42177345"/>
      <w:r w:rsidRPr="003A2F8E">
        <w:t>Passive THz Imaging:</w:t>
      </w:r>
      <w:bookmarkEnd w:id="364"/>
    </w:p>
    <w:p w14:paraId="13905E8F" w14:textId="77777777" w:rsidR="003A2F8E" w:rsidRPr="003A2F8E" w:rsidRDefault="003A2F8E" w:rsidP="003A2F8E">
      <w:pPr>
        <w:jc w:val="both"/>
        <w:rPr>
          <w:rFonts w:ascii="Arial" w:hAnsi="Arial" w:cs="Arial"/>
        </w:rPr>
      </w:pPr>
      <w:r w:rsidRPr="003A2F8E">
        <w:rPr>
          <w:rFonts w:ascii="Arial" w:hAnsi="Arial" w:cs="Arial"/>
        </w:rPr>
        <w:t>THZ Imaging state of the art (SoA) reports two main competing categories of 2D-array image sensors:</w:t>
      </w:r>
    </w:p>
    <w:p w14:paraId="24885716" w14:textId="0AC4FB3B" w:rsidR="003A2F8E" w:rsidRPr="003A2F8E" w:rsidRDefault="003A2F8E" w:rsidP="00124439">
      <w:pPr>
        <w:pStyle w:val="ListParagraph"/>
        <w:numPr>
          <w:ilvl w:val="0"/>
          <w:numId w:val="18"/>
        </w:numPr>
        <w:jc w:val="both"/>
        <w:rPr>
          <w:rFonts w:ascii="Arial" w:hAnsi="Arial" w:cs="Arial"/>
        </w:rPr>
      </w:pPr>
      <w:r w:rsidRPr="003A2F8E">
        <w:rPr>
          <w:rFonts w:ascii="Arial" w:hAnsi="Arial" w:cs="Arial"/>
        </w:rPr>
        <w:t xml:space="preserve">The above-IC bolometer-based THz image sensors based on a classical infrared (IR) sensor that offer a high sensitivity and currently a good maturity </w:t>
      </w:r>
      <w:r w:rsidR="008059BC">
        <w:rPr>
          <w:rFonts w:ascii="Arial" w:hAnsi="Arial" w:cs="Arial"/>
        </w:rPr>
        <w:t>[C10-</w:t>
      </w:r>
      <w:r w:rsidRPr="003A2F8E">
        <w:rPr>
          <w:rFonts w:ascii="Arial" w:hAnsi="Arial" w:cs="Arial"/>
        </w:rPr>
        <w:t xml:space="preserve">8].  but, using two different circuits, it is an expensive solution. </w:t>
      </w:r>
    </w:p>
    <w:p w14:paraId="1D81B73E" w14:textId="4DB2F794" w:rsidR="003A2F8E" w:rsidRPr="003A2F8E" w:rsidRDefault="003A2F8E" w:rsidP="00124439">
      <w:pPr>
        <w:pStyle w:val="ListParagraph"/>
        <w:numPr>
          <w:ilvl w:val="0"/>
          <w:numId w:val="18"/>
        </w:numPr>
        <w:jc w:val="both"/>
        <w:rPr>
          <w:rFonts w:ascii="Arial" w:hAnsi="Arial" w:cs="Arial"/>
        </w:rPr>
      </w:pPr>
      <w:r w:rsidRPr="003A2F8E">
        <w:rPr>
          <w:rFonts w:ascii="Arial" w:hAnsi="Arial" w:cs="Arial"/>
        </w:rPr>
        <w:t xml:space="preserve">The monolithic CMOS-based THz imagers have recently emerged as low-cost competitors </w:t>
      </w:r>
      <w:r w:rsidR="008059BC">
        <w:rPr>
          <w:rFonts w:ascii="Arial" w:hAnsi="Arial" w:cs="Arial"/>
        </w:rPr>
        <w:t>[C10-</w:t>
      </w:r>
      <w:r w:rsidRPr="003A2F8E">
        <w:rPr>
          <w:rFonts w:ascii="Arial" w:hAnsi="Arial" w:cs="Arial"/>
        </w:rPr>
        <w:t xml:space="preserve">9, 10]. Even with their current poor sensitivity (1000 times less than </w:t>
      </w:r>
      <w:r w:rsidRPr="003A2F8E">
        <w:rPr>
          <w:rFonts w:ascii="Arial" w:hAnsi="Arial" w:cs="Arial"/>
        </w:rPr>
        <w:lastRenderedPageBreak/>
        <w:t>bolometer-based sensor), these CMOS-based THz image sensors have proven to be a viable cost-effective alternative to bolometer-based imagers.</w:t>
      </w:r>
    </w:p>
    <w:p w14:paraId="145F8D9C" w14:textId="402D1078" w:rsidR="003A2F8E" w:rsidRDefault="003A2F8E" w:rsidP="003A2F8E">
      <w:pPr>
        <w:jc w:val="both"/>
        <w:rPr>
          <w:rFonts w:ascii="Arial" w:hAnsi="Arial" w:cs="Arial"/>
        </w:rPr>
      </w:pPr>
      <w:r w:rsidRPr="003A2F8E">
        <w:rPr>
          <w:rFonts w:ascii="Arial" w:hAnsi="Arial" w:cs="Arial"/>
        </w:rPr>
        <w:t xml:space="preserve">Passive THz Imaging has applications in digital health technologies, passive, continuous, home-based monitoring of biochemical markers in biofluids, such as sweat, tears, saliva, peripheral blood and interstitial fluid. </w:t>
      </w:r>
    </w:p>
    <w:p w14:paraId="1BDDAA28" w14:textId="77777777" w:rsidR="005F6376" w:rsidRPr="003A2F8E" w:rsidRDefault="005F6376" w:rsidP="003A2F8E">
      <w:pPr>
        <w:jc w:val="both"/>
        <w:rPr>
          <w:rFonts w:ascii="Arial" w:hAnsi="Arial" w:cs="Arial"/>
        </w:rPr>
      </w:pPr>
    </w:p>
    <w:p w14:paraId="30C8431C" w14:textId="77777777" w:rsidR="003A2F8E" w:rsidRPr="003A2F8E" w:rsidRDefault="003A2F8E" w:rsidP="00DA6395">
      <w:pPr>
        <w:pStyle w:val="Heading3"/>
      </w:pPr>
      <w:bookmarkStart w:id="365" w:name="_Toc42177346"/>
      <w:r w:rsidRPr="003A2F8E">
        <w:t>Active mm-wave and THz radar imaging:</w:t>
      </w:r>
      <w:bookmarkEnd w:id="365"/>
    </w:p>
    <w:p w14:paraId="0DC34DCF" w14:textId="53A66044" w:rsidR="003A2F8E" w:rsidRDefault="003A2F8E" w:rsidP="003A2F8E">
      <w:pPr>
        <w:jc w:val="both"/>
        <w:rPr>
          <w:rFonts w:ascii="Arial" w:hAnsi="Arial" w:cs="Arial"/>
        </w:rPr>
      </w:pPr>
      <w:r w:rsidRPr="003A2F8E">
        <w:rPr>
          <w:rFonts w:ascii="Arial" w:hAnsi="Arial" w:cs="Arial"/>
        </w:rPr>
        <w:t xml:space="preserve">Active radar imaging makes it possible to add the range and even Doppler dimensions to the image (3D or 4D imaging). On the lower edge of the spectrum, in the mm-wave and low THz bands, radar imaging is evolving fast to satisfy the requirements of ADAS and autonomous driving. The trend there is to resort to MIMO techniques whereby a virtual antenna array is created with a size equal to the product of the number of TX and RX antennas. 79GHz radar imaging with wide field-of-view, resolutions of 1 degree by 1 degree and cm-scale range resolution is experimentally feasible today and radars with wide field-of-view and LiDAR-like resolutions is an active field of applied research. Using higher carrier frequencies such as 140 or 300 GHz is a longer-term trend, resulting in smaller form factor or better angular resolution as well as better range resolution, thanks to the wider bandwidths. Some experimental radar chips show already the potential of CMOS in the low-THz regime (140 GHz) </w:t>
      </w:r>
      <w:r w:rsidR="008059BC">
        <w:rPr>
          <w:rFonts w:ascii="Arial" w:hAnsi="Arial" w:cs="Arial"/>
        </w:rPr>
        <w:t>[C10-</w:t>
      </w:r>
      <w:r w:rsidRPr="003A2F8E">
        <w:rPr>
          <w:rFonts w:ascii="Arial" w:hAnsi="Arial" w:cs="Arial"/>
        </w:rPr>
        <w:t>9]. These highly miniaturized radars will enable new applications, such as intruder detection, gesture and activity recognition, and heart rate and respiration rate monitoring, among many others.</w:t>
      </w:r>
    </w:p>
    <w:p w14:paraId="3B20E8EC" w14:textId="77777777" w:rsidR="005F6376" w:rsidRPr="003A2F8E" w:rsidRDefault="005F6376" w:rsidP="003A2F8E">
      <w:pPr>
        <w:jc w:val="both"/>
        <w:rPr>
          <w:rFonts w:ascii="Arial" w:hAnsi="Arial" w:cs="Arial"/>
        </w:rPr>
      </w:pPr>
    </w:p>
    <w:p w14:paraId="188CC05D" w14:textId="272A0CBF" w:rsidR="003A2F8E" w:rsidRDefault="003A2F8E" w:rsidP="003A2F8E">
      <w:pPr>
        <w:pStyle w:val="Heading2"/>
        <w:rPr>
          <w:rFonts w:cs="Arial"/>
        </w:rPr>
      </w:pPr>
      <w:bookmarkStart w:id="366" w:name="_Toc42177347"/>
      <w:r w:rsidRPr="003A2F8E">
        <w:rPr>
          <w:rFonts w:cs="Arial"/>
        </w:rPr>
        <w:t>Ultra-low Power Wireless</w:t>
      </w:r>
      <w:bookmarkEnd w:id="366"/>
    </w:p>
    <w:p w14:paraId="1337C6D8" w14:textId="77777777" w:rsidR="005F6376" w:rsidRPr="005F6376" w:rsidRDefault="005F6376" w:rsidP="005F6376"/>
    <w:p w14:paraId="6ABC722B" w14:textId="77777777" w:rsidR="003A2F8E" w:rsidRPr="003A2F8E" w:rsidRDefault="003A2F8E" w:rsidP="003A2F8E">
      <w:pPr>
        <w:jc w:val="both"/>
        <w:rPr>
          <w:rFonts w:ascii="Arial" w:hAnsi="Arial" w:cs="Arial"/>
        </w:rPr>
      </w:pPr>
      <w:r w:rsidRPr="003A2F8E">
        <w:rPr>
          <w:rFonts w:ascii="Arial" w:hAnsi="Arial" w:cs="Arial"/>
        </w:rPr>
        <w:t xml:space="preserve">It is expected the number of IoT nodes will continue to grow to 100 billion by 2030, and ultra-low power wireless connectivity will be the key enabler. However, the existing wireless connectivity has limitation to support such large number of nodes. For example, battery replacement of billions of sensor nodes will not be feasible. Additionally, the trend is to spatial awareness to the IoT end-nodes using the front-end already used for radio communication. Using the sensing capabilities, channel state information can be collected. This allows for new types of applications like presence detection or localization. These functions will pose additional requirements on the radio front-end and thus the design choices. To further scale up the number of IoT nodes, several important challenges need to be overcome. </w:t>
      </w:r>
    </w:p>
    <w:p w14:paraId="5A74D946" w14:textId="77777777" w:rsidR="003A2F8E" w:rsidRPr="003A2F8E" w:rsidRDefault="003A2F8E" w:rsidP="00DA6395">
      <w:pPr>
        <w:pStyle w:val="Heading3"/>
      </w:pPr>
      <w:bookmarkStart w:id="367" w:name="_Toc42177348"/>
      <w:r w:rsidRPr="003A2F8E">
        <w:t>Battery-free operation</w:t>
      </w:r>
      <w:bookmarkEnd w:id="367"/>
    </w:p>
    <w:p w14:paraId="4FC043B8" w14:textId="77777777" w:rsidR="003A2F8E" w:rsidRPr="003A2F8E" w:rsidRDefault="003A2F8E" w:rsidP="003A2F8E">
      <w:pPr>
        <w:jc w:val="both"/>
        <w:rPr>
          <w:rFonts w:ascii="Arial" w:hAnsi="Arial" w:cs="Arial"/>
        </w:rPr>
      </w:pPr>
      <w:r w:rsidRPr="003A2F8E">
        <w:rPr>
          <w:rFonts w:ascii="Arial" w:hAnsi="Arial" w:cs="Arial"/>
        </w:rPr>
        <w:t xml:space="preserve">Batteries will be the primary limitation of IoT nodes. Manually battery replacement of 100’s of billions IoT devices will be too expensive, and the disposed batteries will be a serious environmental issue. To support a sustainable growth of the IoT devices, battery-free operation will be a key solution. </w:t>
      </w:r>
    </w:p>
    <w:p w14:paraId="1DF2DC43" w14:textId="1D593019" w:rsidR="003A2F8E" w:rsidRPr="003A2F8E" w:rsidRDefault="003A2F8E" w:rsidP="003A2F8E">
      <w:pPr>
        <w:jc w:val="both"/>
        <w:rPr>
          <w:rFonts w:ascii="Arial" w:hAnsi="Arial" w:cs="Arial"/>
        </w:rPr>
      </w:pPr>
      <w:r w:rsidRPr="003A2F8E">
        <w:rPr>
          <w:rFonts w:ascii="Arial" w:hAnsi="Arial" w:cs="Arial"/>
        </w:rPr>
        <w:t xml:space="preserve">Most of the existing battery-free wireless communications adopt simple modulations (e.g., backscattering) and protocols. However, they will not be able to scale up to network with large number of nodes. One potential solution as demonstrated in </w:t>
      </w:r>
      <w:r w:rsidR="008059BC">
        <w:rPr>
          <w:rFonts w:ascii="Arial" w:hAnsi="Arial" w:cs="Arial"/>
        </w:rPr>
        <w:t>[C10-</w:t>
      </w:r>
      <w:r w:rsidRPr="003A2F8E">
        <w:rPr>
          <w:rFonts w:ascii="Arial" w:hAnsi="Arial" w:cs="Arial"/>
        </w:rPr>
        <w:t xml:space="preserve">17] is to adopt a “back-channel compatible” wake-up receiver which monitors the energy profile of the signals sending from the central hub. This wake-up receiver consumes very low power consumption, so it is compatible with battery-free operation. It only activates the main transceiver for sending sensor data only if certain energy profile is detected. </w:t>
      </w:r>
    </w:p>
    <w:p w14:paraId="08F8B7D5" w14:textId="77777777" w:rsidR="003A2F8E" w:rsidRPr="003A2F8E" w:rsidRDefault="003A2F8E" w:rsidP="00DA6395">
      <w:pPr>
        <w:pStyle w:val="Heading3"/>
      </w:pPr>
      <w:bookmarkStart w:id="368" w:name="_Toc42177349"/>
      <w:r w:rsidRPr="003A2F8E">
        <w:lastRenderedPageBreak/>
        <w:t>Spatial Awareness</w:t>
      </w:r>
      <w:bookmarkEnd w:id="368"/>
    </w:p>
    <w:p w14:paraId="48B1106A" w14:textId="13EEA017" w:rsidR="003A2F8E" w:rsidRPr="003A2F8E" w:rsidRDefault="003A2F8E" w:rsidP="003A2F8E">
      <w:pPr>
        <w:jc w:val="both"/>
        <w:rPr>
          <w:rFonts w:ascii="Arial" w:hAnsi="Arial" w:cs="Arial"/>
        </w:rPr>
      </w:pPr>
      <w:r w:rsidRPr="003A2F8E">
        <w:rPr>
          <w:rFonts w:ascii="Arial" w:hAnsi="Arial" w:cs="Arial"/>
        </w:rPr>
        <w:t xml:space="preserve">For spatial radios, we can differentiate between active and device-free localization. In active localization, two (or more) IoT nodes are ability to measure the distance between them, using channel state information. For device free localization, time variation of the channel state information is used to detect changes in the propagation environment, e.g. due to human movement </w:t>
      </w:r>
      <w:r w:rsidR="008059BC">
        <w:rPr>
          <w:rFonts w:ascii="Arial" w:hAnsi="Arial" w:cs="Arial"/>
        </w:rPr>
        <w:t>[C10-</w:t>
      </w:r>
      <w:r w:rsidRPr="003A2F8E">
        <w:rPr>
          <w:rFonts w:ascii="Arial" w:hAnsi="Arial" w:cs="Arial"/>
        </w:rPr>
        <w:t xml:space="preserve">18].  </w:t>
      </w:r>
    </w:p>
    <w:p w14:paraId="4BCF8886" w14:textId="77777777" w:rsidR="003A2F8E" w:rsidRPr="003A2F8E" w:rsidRDefault="003A2F8E" w:rsidP="003A2F8E">
      <w:pPr>
        <w:jc w:val="both"/>
        <w:rPr>
          <w:rFonts w:ascii="Arial" w:hAnsi="Arial" w:cs="Arial"/>
        </w:rPr>
      </w:pPr>
      <w:r w:rsidRPr="003A2F8E">
        <w:rPr>
          <w:rFonts w:ascii="Arial" w:hAnsi="Arial" w:cs="Arial"/>
        </w:rPr>
        <w:t xml:space="preserve">Currently, channel state information is often based on received signal strength (RSS), mostly because it is easy to implement. However, in multipath fading environments and increasing distance the accuracy is rather poor. To improve robustness against multipath fading, it is well-known that a large radio signal bandwidth is required. This will increase spatial resolution, beneficial to both active and device-free localization. </w:t>
      </w:r>
    </w:p>
    <w:p w14:paraId="73B56A99" w14:textId="4876192C" w:rsidR="003A2F8E" w:rsidRPr="003A2F8E" w:rsidRDefault="003A2F8E" w:rsidP="003A2F8E">
      <w:pPr>
        <w:jc w:val="both"/>
        <w:rPr>
          <w:rFonts w:ascii="Arial" w:hAnsi="Arial" w:cs="Arial"/>
        </w:rPr>
      </w:pPr>
      <w:r w:rsidRPr="003A2F8E">
        <w:rPr>
          <w:rFonts w:ascii="Arial" w:hAnsi="Arial" w:cs="Arial"/>
        </w:rPr>
        <w:t xml:space="preserve">Using the concept of phase-based ranging </w:t>
      </w:r>
      <w:r w:rsidR="008059BC">
        <w:rPr>
          <w:rFonts w:ascii="Arial" w:hAnsi="Arial" w:cs="Arial"/>
        </w:rPr>
        <w:t>[C10-</w:t>
      </w:r>
      <w:r w:rsidRPr="003A2F8E">
        <w:rPr>
          <w:rFonts w:ascii="Arial" w:hAnsi="Arial" w:cs="Arial"/>
        </w:rPr>
        <w:t>19], a wideband view on the radio channel can obtained. By sounding the radio channel in a sequential manner over individual narrowband channels using half-duplex bi-direction signals, a wideband measurement of the radio channel is realized. For each individual measurement, only narrowband signals are used, making it suitable for radio front-end used for e.g. Zigbee of Bluetooth </w:t>
      </w:r>
      <w:r w:rsidR="008059BC">
        <w:rPr>
          <w:rFonts w:ascii="Arial" w:hAnsi="Arial" w:cs="Arial"/>
        </w:rPr>
        <w:t>[C10-</w:t>
      </w:r>
      <w:r w:rsidRPr="003A2F8E">
        <w:rPr>
          <w:rFonts w:ascii="Arial" w:hAnsi="Arial" w:cs="Arial"/>
        </w:rPr>
        <w:t>20], but also Wi-Fi </w:t>
      </w:r>
      <w:r w:rsidR="008059BC">
        <w:rPr>
          <w:rFonts w:ascii="Arial" w:hAnsi="Arial" w:cs="Arial"/>
        </w:rPr>
        <w:t>[C10-</w:t>
      </w:r>
      <w:r w:rsidRPr="003A2F8E">
        <w:rPr>
          <w:rFonts w:ascii="Arial" w:hAnsi="Arial" w:cs="Arial"/>
        </w:rPr>
        <w:t xml:space="preserve">21]. </w:t>
      </w:r>
    </w:p>
    <w:p w14:paraId="11C75B55" w14:textId="0E11D6C5" w:rsidR="003A2F8E" w:rsidRDefault="003A2F8E" w:rsidP="003A2F8E">
      <w:pPr>
        <w:jc w:val="both"/>
        <w:rPr>
          <w:rFonts w:ascii="Arial" w:hAnsi="Arial" w:cs="Arial"/>
        </w:rPr>
      </w:pPr>
      <w:r w:rsidRPr="003A2F8E">
        <w:rPr>
          <w:rFonts w:ascii="Arial" w:hAnsi="Arial" w:cs="Arial"/>
        </w:rPr>
        <w:t xml:space="preserve">Aside a modification of the radio protocol to incorporate such measurements, also the frond-ends will be impacted, most considerably the Local Oscillator (LO) Generation/Phase Locked Loop. For accurate distance measurements, also the phase of the radio channel should be measured. This means that the generated LO should be continuously, when switching from TX to RX and vice-versa and from channel to channel. This leads to a whole new set of requirements and challenges for PLL design </w:t>
      </w:r>
      <w:r w:rsidR="008059BC">
        <w:rPr>
          <w:rFonts w:ascii="Arial" w:hAnsi="Arial" w:cs="Arial"/>
        </w:rPr>
        <w:t>[C10-</w:t>
      </w:r>
      <w:r w:rsidRPr="003A2F8E">
        <w:rPr>
          <w:rFonts w:ascii="Arial" w:hAnsi="Arial" w:cs="Arial"/>
        </w:rPr>
        <w:t xml:space="preserve">22]. </w:t>
      </w:r>
    </w:p>
    <w:p w14:paraId="51F1E5FA" w14:textId="77777777" w:rsidR="008F07A5" w:rsidRPr="003A2F8E" w:rsidRDefault="008F07A5" w:rsidP="003A2F8E">
      <w:pPr>
        <w:jc w:val="both"/>
        <w:rPr>
          <w:rFonts w:ascii="Arial" w:hAnsi="Arial" w:cs="Arial"/>
        </w:rPr>
      </w:pPr>
    </w:p>
    <w:p w14:paraId="28078726" w14:textId="47FF7C6F" w:rsidR="003A2F8E" w:rsidRDefault="003A2F8E" w:rsidP="003A2F8E">
      <w:pPr>
        <w:pStyle w:val="Heading2"/>
        <w:rPr>
          <w:rFonts w:cs="Arial"/>
          <w:lang w:val="it-IT"/>
        </w:rPr>
      </w:pPr>
      <w:bookmarkStart w:id="369" w:name="_Toc42177350"/>
      <w:r w:rsidRPr="003A2F8E">
        <w:rPr>
          <w:rFonts w:cs="Arial"/>
          <w:lang w:val="it-IT"/>
        </w:rPr>
        <w:t>Antenna and Packages</w:t>
      </w:r>
      <w:bookmarkEnd w:id="369"/>
    </w:p>
    <w:p w14:paraId="2F558219" w14:textId="77777777" w:rsidR="008F07A5" w:rsidRPr="008F07A5" w:rsidRDefault="008F07A5" w:rsidP="008F07A5">
      <w:pPr>
        <w:rPr>
          <w:lang w:val="it-IT"/>
        </w:rPr>
      </w:pPr>
    </w:p>
    <w:p w14:paraId="43D88A48" w14:textId="77777777" w:rsidR="003A2F8E" w:rsidRPr="003A2F8E" w:rsidRDefault="003A2F8E" w:rsidP="00DA6395">
      <w:pPr>
        <w:pStyle w:val="Heading3"/>
      </w:pPr>
      <w:bookmarkStart w:id="370" w:name="_Toc42177351"/>
      <w:r w:rsidRPr="003A2F8E">
        <w:t>On-chip antennas, lens-integrated antennas, antenna MIMO arrays</w:t>
      </w:r>
      <w:bookmarkEnd w:id="370"/>
    </w:p>
    <w:p w14:paraId="653DBEF3" w14:textId="77777777" w:rsidR="003A2F8E" w:rsidRPr="003A2F8E" w:rsidRDefault="003A2F8E" w:rsidP="003A2F8E">
      <w:pPr>
        <w:jc w:val="both"/>
        <w:rPr>
          <w:rFonts w:ascii="Arial" w:hAnsi="Arial" w:cs="Arial"/>
        </w:rPr>
      </w:pPr>
      <w:r w:rsidRPr="003A2F8E">
        <w:rPr>
          <w:rFonts w:ascii="Arial" w:hAnsi="Arial" w:cs="Arial"/>
        </w:rPr>
        <w:t xml:space="preserve">Packaging of mmWave/THz chips for low-cost consumer electronic applications requires low-cost packaging solutions. Conventional low-cost silicon packaging technologies, however, exhibit a typical 1nH/mm lead and wirebond inductances, which are prohibitively high at mmWave/THz frequencies and plastic packaging materials and encapsulants are quite lossy. In addition, even expensive high-performance coaxial cables and connectors have significant losses at mmWave/THz frequencies. As a result of this, future THz packaging technologies must avoid interconnects as much as possible and antennas need to be integrated into the chip package or even on chip. Fortunately, the radiator size scales down at higher frequency and this makes compact and integrated antenna solutions feasible. However, the free-space propagation loss at THz frequencies becomes very high (80 dB for 1 m at 240 GHz) and this loss needs to be compensated with an appropriately high directivity of the antenna system in order to provide sufficient link budget. Due to their large silicon area, however, high directivity antenna arrays are costly on chip. Future solutions, therefore, include alternative lens on-chip assemblies which exhibit a better cost performance ratio. </w:t>
      </w:r>
    </w:p>
    <w:p w14:paraId="0CD36578" w14:textId="20895F45" w:rsidR="003A2F8E" w:rsidRPr="003A2F8E" w:rsidRDefault="003A2F8E" w:rsidP="003A2F8E">
      <w:pPr>
        <w:jc w:val="both"/>
        <w:rPr>
          <w:rFonts w:ascii="Arial" w:hAnsi="Arial" w:cs="Arial"/>
        </w:rPr>
      </w:pPr>
      <w:r w:rsidRPr="003A2F8E">
        <w:rPr>
          <w:rFonts w:ascii="Arial" w:hAnsi="Arial" w:cs="Arial"/>
          <w:b/>
        </w:rPr>
        <w:t>On-chip antennas:</w:t>
      </w:r>
      <w:r w:rsidRPr="003A2F8E">
        <w:rPr>
          <w:rFonts w:ascii="Arial" w:hAnsi="Arial" w:cs="Arial"/>
        </w:rPr>
        <w:t xml:space="preserve"> For efficient and low-cost THz signal escape from the chip level, appropriate on-chip antenna systems need to be developed. On-chip antennas embedded in the BEOL stack of a lossy silicon chip </w:t>
      </w:r>
      <w:r w:rsidR="008059BC">
        <w:rPr>
          <w:rFonts w:ascii="Arial" w:hAnsi="Arial" w:cs="Arial"/>
        </w:rPr>
        <w:t>[C10-</w:t>
      </w:r>
      <w:r w:rsidRPr="003A2F8E">
        <w:rPr>
          <w:rFonts w:ascii="Arial" w:hAnsi="Arial" w:cs="Arial"/>
        </w:rPr>
        <w:t xml:space="preserve">23] are very challenging because of potential multi-mode propagation issues (e.g. surface waves) within the volume of an electrically large and thick silicon die leading to very inefficient radiation with very poor control of radiation patterns. </w:t>
      </w:r>
      <w:r w:rsidRPr="003A2F8E">
        <w:rPr>
          <w:rFonts w:ascii="Arial" w:hAnsi="Arial" w:cs="Arial"/>
        </w:rPr>
        <w:lastRenderedPageBreak/>
        <w:t>Because of very high carrier frequencies with large fractional RF bandwidth, standard design techniques relying on narrowband matching become less efficient and will result in limited circuit performance. Depending on the application, antennas should support very wide operation bandwidth with minimum group delay distortion for high-speed modulation and stable phase characteristics for precise location of the focal point position in an imaging system across the bandwidth of interest. Furthermore, for sufficiently high frequencies, classical buffering circuits become unfeasible and true antenna-circuit co-design at multiple harmonics simultaneously is necessary for high-fidelity system operation.</w:t>
      </w:r>
    </w:p>
    <w:p w14:paraId="24E8635E" w14:textId="77777777" w:rsidR="003A2F8E" w:rsidRPr="003A2F8E" w:rsidRDefault="003A2F8E" w:rsidP="003A2F8E">
      <w:pPr>
        <w:jc w:val="both"/>
        <w:rPr>
          <w:rFonts w:ascii="Arial" w:hAnsi="Arial" w:cs="Arial"/>
        </w:rPr>
      </w:pPr>
      <w:r w:rsidRPr="003A2F8E">
        <w:rPr>
          <w:rFonts w:ascii="Arial" w:hAnsi="Arial" w:cs="Arial"/>
          <w:b/>
        </w:rPr>
        <w:t>Lens-integrated antennas (chip-on-lens assembly):</w:t>
      </w:r>
      <w:r w:rsidRPr="003A2F8E">
        <w:rPr>
          <w:rFonts w:ascii="Arial" w:hAnsi="Arial" w:cs="Arial"/>
        </w:rPr>
        <w:t xml:space="preserve"> Further research is required on new ultra-wideband silicon lens-coupled antenna system allowing efficient coupling of THz radiation into the intrinsic device without classical matching structures. Antenna may further provide dual-polarization functionality with two transmitter/receiver paths connected to each orthogonal polarization. </w:t>
      </w:r>
    </w:p>
    <w:p w14:paraId="0238DE86" w14:textId="77777777" w:rsidR="003A2F8E" w:rsidRPr="003A2F8E" w:rsidRDefault="003A2F8E" w:rsidP="003A2F8E">
      <w:pPr>
        <w:jc w:val="both"/>
        <w:rPr>
          <w:rFonts w:ascii="Arial" w:hAnsi="Arial" w:cs="Arial"/>
          <w:szCs w:val="28"/>
          <w:lang w:val="en-US"/>
        </w:rPr>
      </w:pPr>
      <w:r w:rsidRPr="003A2F8E">
        <w:rPr>
          <w:rFonts w:ascii="Arial" w:hAnsi="Arial" w:cs="Arial"/>
          <w:b/>
        </w:rPr>
        <w:t>MIMO arrays:</w:t>
      </w:r>
      <w:r w:rsidRPr="003A2F8E">
        <w:rPr>
          <w:rFonts w:ascii="Arial" w:hAnsi="Arial" w:cs="Arial"/>
        </w:rPr>
        <w:t xml:space="preserve"> </w:t>
      </w:r>
      <w:r w:rsidRPr="003A2F8E">
        <w:rPr>
          <w:rFonts w:ascii="Arial" w:hAnsi="Arial" w:cs="Arial"/>
          <w:szCs w:val="28"/>
          <w:lang w:val="en-US"/>
        </w:rPr>
        <w:t>Highly directive terahertz antennas can minimize interference between adjacent channels, and frequencies can be reused more frequently, thereby improving spectral efficiency and signal quality. This enables higher channel isolation in a MIMO (Multiple Input Multiple Output) network topology. At THz future MIMO networks could reach data rates of up to one Tbit/s easily. Future MIMO arrays need to support not only faster links, but also real-time operation by rapid channel switching and/or beam-steering/tracking at a very low latency.</w:t>
      </w:r>
    </w:p>
    <w:p w14:paraId="5ABD7832" w14:textId="77777777" w:rsidR="003A2F8E" w:rsidRPr="003A2F8E" w:rsidRDefault="003A2F8E" w:rsidP="00DA6395">
      <w:pPr>
        <w:pStyle w:val="Heading3"/>
      </w:pPr>
      <w:bookmarkStart w:id="371" w:name="_Toc42177352"/>
      <w:r w:rsidRPr="003A2F8E">
        <w:t>Metamaterials and metasurfaces</w:t>
      </w:r>
      <w:bookmarkEnd w:id="371"/>
    </w:p>
    <w:p w14:paraId="31B8F4E1" w14:textId="77777777" w:rsidR="003A2F8E" w:rsidRPr="003A2F8E" w:rsidRDefault="003A2F8E" w:rsidP="008F07A5">
      <w:pPr>
        <w:spacing w:after="0"/>
        <w:jc w:val="both"/>
        <w:rPr>
          <w:rFonts w:ascii="Arial" w:hAnsi="Arial" w:cs="Arial"/>
        </w:rPr>
      </w:pPr>
      <w:r w:rsidRPr="003A2F8E">
        <w:rPr>
          <w:rFonts w:ascii="Arial" w:hAnsi="Arial" w:cs="Arial"/>
        </w:rPr>
        <w:t>The development of metamaterials (MM) is another promising technology for beyond-5G networks and services scenarios: one remarkable use case, for instance, is the exploitation smart radio environments (both indoor and outdoor) with ultra-massive MIMO and Artificial Intelligence (AI).</w:t>
      </w:r>
    </w:p>
    <w:p w14:paraId="1F9716A2" w14:textId="77777777" w:rsidR="003A2F8E" w:rsidRPr="003A2F8E" w:rsidRDefault="003A2F8E" w:rsidP="008F07A5">
      <w:pPr>
        <w:spacing w:after="0"/>
        <w:jc w:val="both"/>
        <w:rPr>
          <w:rFonts w:ascii="Arial" w:hAnsi="Arial" w:cs="Arial"/>
        </w:rPr>
      </w:pPr>
      <w:r w:rsidRPr="003A2F8E">
        <w:rPr>
          <w:rFonts w:ascii="Arial" w:hAnsi="Arial" w:cs="Arial"/>
        </w:rPr>
        <w:t>MM are materials which contain inclusions (e.g., metallic or dielectric of various shapes and dimensions) designed and engineered to manipulate electromagnetic (EM) waves. Examples of inclusions embedded into a host metamaterial include EM scattering element and nano-resonators. These properties, for instance, could be used for developing smart antenna and EM processing functions, including methods for AI.</w:t>
      </w:r>
    </w:p>
    <w:p w14:paraId="024C15DA" w14:textId="3B02A53B" w:rsidR="003A2F8E" w:rsidRPr="003A2F8E" w:rsidRDefault="003A2F8E" w:rsidP="008F07A5">
      <w:pPr>
        <w:spacing w:after="0"/>
        <w:jc w:val="both"/>
        <w:rPr>
          <w:rFonts w:ascii="Arial" w:hAnsi="Arial" w:cs="Arial"/>
        </w:rPr>
      </w:pPr>
      <w:r w:rsidRPr="003A2F8E">
        <w:rPr>
          <w:rFonts w:ascii="Arial" w:hAnsi="Arial" w:cs="Arial"/>
        </w:rPr>
        <w:t xml:space="preserve">Metasurfaces (MS) are 2D MM. Remarkably, it is possible to develop MS showing refractive indexes not present in Nature (e.g., zero or negative refraction) </w:t>
      </w:r>
      <w:r w:rsidR="008059BC">
        <w:rPr>
          <w:rFonts w:ascii="Arial" w:hAnsi="Arial" w:cs="Arial"/>
        </w:rPr>
        <w:t>[C10-</w:t>
      </w:r>
      <w:r w:rsidRPr="003A2F8E">
        <w:rPr>
          <w:rFonts w:ascii="Arial" w:hAnsi="Arial" w:cs="Arial"/>
        </w:rPr>
        <w:t>24], thus allowing a wide range of EM processing functions.</w:t>
      </w:r>
    </w:p>
    <w:p w14:paraId="3BEF0D3C" w14:textId="2B7828C6" w:rsidR="003A2F8E" w:rsidRPr="003A2F8E" w:rsidRDefault="003A2F8E" w:rsidP="003A2F8E">
      <w:pPr>
        <w:jc w:val="both"/>
        <w:rPr>
          <w:rFonts w:ascii="Arial" w:hAnsi="Arial" w:cs="Arial"/>
        </w:rPr>
      </w:pPr>
      <w:r w:rsidRPr="003A2F8E">
        <w:rPr>
          <w:rFonts w:ascii="Arial" w:hAnsi="Arial" w:cs="Arial"/>
        </w:rPr>
        <w:t xml:space="preserve">It is expected that MS will have several possible applications, such as: radio coverage in areas not well covered by installation of base stations, smart radio environments (indoor and outdoor), automotive applications, running quantum algorithms directly with EM waves or in optics (e.g., in transformation optics </w:t>
      </w:r>
      <w:r w:rsidR="008059BC">
        <w:rPr>
          <w:rFonts w:ascii="Arial" w:hAnsi="Arial" w:cs="Arial"/>
        </w:rPr>
        <w:t>[C10-</w:t>
      </w:r>
      <w:r w:rsidRPr="003A2F8E">
        <w:rPr>
          <w:rFonts w:ascii="Arial" w:hAnsi="Arial" w:cs="Arial"/>
        </w:rPr>
        <w:t xml:space="preserve">25], quantum radio-optics devices, ultra-fast switching devices, detecting and recognizing images, holographic applications, etc.) As mentioned, in fact, MS can be seen as arrays of nano-antennas: by shifting the resonant frequency, through the nanoantenna designs, it is possible to effectively control the amount of the phase shifted in the scattered signal. </w:t>
      </w:r>
      <w:r w:rsidR="008059BC">
        <w:rPr>
          <w:rFonts w:ascii="Arial" w:hAnsi="Arial" w:cs="Arial"/>
        </w:rPr>
        <w:t>[C10-</w:t>
      </w:r>
      <w:r w:rsidRPr="003A2F8E">
        <w:rPr>
          <w:rFonts w:ascii="Arial" w:hAnsi="Arial" w:cs="Arial"/>
        </w:rPr>
        <w:t xml:space="preserve">26] describes a prototype of an information metasurface controlled by a field-programmable gate array, which implements the harmonic beam steering via an optimized space-time coding sequence. </w:t>
      </w:r>
    </w:p>
    <w:p w14:paraId="5CDB83C0" w14:textId="54595258" w:rsidR="003A2F8E" w:rsidRDefault="003A2F8E" w:rsidP="003A2F8E">
      <w:pPr>
        <w:jc w:val="both"/>
        <w:rPr>
          <w:rFonts w:ascii="Arial" w:hAnsi="Arial" w:cs="Arial"/>
        </w:rPr>
      </w:pPr>
      <w:r w:rsidRPr="003A2F8E">
        <w:rPr>
          <w:rFonts w:ascii="Arial" w:hAnsi="Arial" w:cs="Arial"/>
        </w:rPr>
        <w:t>The possibility of coating surfaces in building or kiosks with intelligent (AI-based) MS will allow creating smart radio environments capable of radio waves propagations by introducing, in a software-controlled way, localized and location-dependent gradient phase shifts onto the signals impinging upon the MS.</w:t>
      </w:r>
    </w:p>
    <w:p w14:paraId="01B8E246" w14:textId="77777777" w:rsidR="008F07A5" w:rsidRPr="003A2F8E" w:rsidRDefault="008F07A5" w:rsidP="003A2F8E">
      <w:pPr>
        <w:jc w:val="both"/>
        <w:rPr>
          <w:rFonts w:ascii="Arial" w:hAnsi="Arial" w:cs="Arial"/>
        </w:rPr>
      </w:pPr>
    </w:p>
    <w:p w14:paraId="6C5A3C22" w14:textId="49F33310" w:rsidR="003A2F8E" w:rsidRDefault="003A2F8E" w:rsidP="003A2F8E">
      <w:pPr>
        <w:pStyle w:val="Heading2"/>
        <w:rPr>
          <w:rFonts w:cs="Arial"/>
        </w:rPr>
      </w:pPr>
      <w:bookmarkStart w:id="372" w:name="_Toc42177353"/>
      <w:r w:rsidRPr="003A2F8E">
        <w:rPr>
          <w:rFonts w:cs="Arial"/>
        </w:rPr>
        <w:lastRenderedPageBreak/>
        <w:t>High-speed Transceivers, Wireline and Optical</w:t>
      </w:r>
      <w:bookmarkEnd w:id="372"/>
    </w:p>
    <w:p w14:paraId="11FAD20B" w14:textId="77777777" w:rsidR="008F07A5" w:rsidRPr="008F07A5" w:rsidRDefault="008F07A5" w:rsidP="008F07A5"/>
    <w:p w14:paraId="5CC1C6F5" w14:textId="77777777" w:rsidR="003A2F8E" w:rsidRPr="003A2F8E" w:rsidRDefault="003A2F8E" w:rsidP="00DA6395">
      <w:pPr>
        <w:pStyle w:val="Heading3"/>
      </w:pPr>
      <w:bookmarkStart w:id="373" w:name="_Toc42177354"/>
      <w:r w:rsidRPr="003A2F8E">
        <w:t>Radio-over-fiber communication, sub-systems and components for B5G and 6G networks</w:t>
      </w:r>
      <w:bookmarkEnd w:id="373"/>
    </w:p>
    <w:p w14:paraId="10FA8058" w14:textId="77777777" w:rsidR="003A2F8E" w:rsidRPr="003A2F8E" w:rsidRDefault="003A2F8E" w:rsidP="003A2F8E">
      <w:pPr>
        <w:jc w:val="both"/>
        <w:rPr>
          <w:rFonts w:ascii="Arial" w:hAnsi="Arial" w:cs="Arial"/>
        </w:rPr>
      </w:pPr>
      <w:r w:rsidRPr="003A2F8E">
        <w:rPr>
          <w:rFonts w:ascii="Arial" w:hAnsi="Arial" w:cs="Arial"/>
        </w:rPr>
        <w:t>In the near future, we can expect significant overhaul of the mobile network, targeting the use of mmWave frequency bands to deliver much higher capacities over the air. Mobile networks will use advanced radio transmission concepts such as coordinated beamforming, coordinated multipoint and massive MIMO (multiple input, multiple out) as well as pico-, femto- and even attocells. It has been long recognized that it is better to centralize (C-RAN, centralized radio access network) the digital signal processing (DSP) required for modulation and demodulation of the RF carriers. Advanced signal processing is now centralized in the baseband units. It is expected that for future mmWave networks, this fronthauling (bringing the data from the antennas to the centralized or cloudified baseband units) will be done through optical fibre given the high capacity and/or frequency of the signals that need to be transported.</w:t>
      </w:r>
    </w:p>
    <w:p w14:paraId="751A738D" w14:textId="77777777" w:rsidR="003A2F8E" w:rsidRPr="003A2F8E" w:rsidRDefault="003A2F8E" w:rsidP="003A2F8E">
      <w:pPr>
        <w:jc w:val="both"/>
        <w:rPr>
          <w:rFonts w:ascii="Arial" w:hAnsi="Arial" w:cs="Arial"/>
        </w:rPr>
      </w:pPr>
      <w:r w:rsidRPr="003A2F8E">
        <w:rPr>
          <w:rFonts w:ascii="Arial" w:hAnsi="Arial" w:cs="Arial"/>
        </w:rPr>
        <w:t>While today this fronthauling is built upon standards such as CPRI (common public radio interface) or OBSAI (open base station architecture initiative) in which the digitized IQ samples themselves are transported, for future mobile networks the amount of traffic that will need to be transported will explode. For example, assuming 2GHz modulation bandwidth, 4 carriers, 3 sectors each with 32 antennas, digitization at 8bits, 8B/10B encoding and 10% overhead for control messages, then a total sustained throughput of 25Tb/s will be required in the fronthaul link. To overcome this problem alternative fronthauling techniques will be required:</w:t>
      </w:r>
    </w:p>
    <w:p w14:paraId="12CFE249" w14:textId="77777777" w:rsidR="003A2F8E" w:rsidRPr="003A2F8E" w:rsidRDefault="003A2F8E" w:rsidP="00124439">
      <w:pPr>
        <w:pStyle w:val="ListParagraph"/>
        <w:numPr>
          <w:ilvl w:val="0"/>
          <w:numId w:val="34"/>
        </w:numPr>
        <w:spacing w:line="256" w:lineRule="auto"/>
        <w:jc w:val="both"/>
        <w:rPr>
          <w:rFonts w:ascii="Arial" w:hAnsi="Arial" w:cs="Arial"/>
        </w:rPr>
      </w:pPr>
      <w:r w:rsidRPr="003A2F8E">
        <w:rPr>
          <w:rFonts w:ascii="Arial" w:hAnsi="Arial" w:cs="Arial"/>
        </w:rPr>
        <w:t>Analog radio-over-fiber, in which the RF signals are directly modulated onto optical carriers. This will require the development of highly linear optical modulators, which today form the biggest hurdle in the deployment of analog radio-over-fiber systems for mobile network applications.</w:t>
      </w:r>
    </w:p>
    <w:p w14:paraId="4C28B9F3" w14:textId="78904C5B" w:rsidR="003A2F8E" w:rsidRPr="003A2F8E" w:rsidRDefault="003A2F8E" w:rsidP="00124439">
      <w:pPr>
        <w:pStyle w:val="ListParagraph"/>
        <w:numPr>
          <w:ilvl w:val="0"/>
          <w:numId w:val="34"/>
        </w:numPr>
        <w:spacing w:line="256" w:lineRule="auto"/>
        <w:jc w:val="both"/>
        <w:rPr>
          <w:rFonts w:ascii="Arial" w:hAnsi="Arial" w:cs="Arial"/>
        </w:rPr>
      </w:pPr>
      <w:r w:rsidRPr="003A2F8E">
        <w:rPr>
          <w:rFonts w:ascii="Arial" w:hAnsi="Arial" w:cs="Arial"/>
        </w:rPr>
        <w:t xml:space="preserve">More efficient digitization of the RF signals as opposed to directly transporting IQ samples: one example is sigma-delta modulation in which the RF carrier is oversampled and the resulting digital signal is transported over the fiber using conventional low-cost optics (as opposed to likely more expensive analog radio-over-fiber) </w:t>
      </w:r>
      <w:r w:rsidR="008059BC">
        <w:rPr>
          <w:rFonts w:ascii="Arial" w:hAnsi="Arial" w:cs="Arial"/>
        </w:rPr>
        <w:t>[C10-</w:t>
      </w:r>
      <w:r w:rsidRPr="003A2F8E">
        <w:rPr>
          <w:rFonts w:ascii="Arial" w:hAnsi="Arial" w:cs="Arial"/>
        </w:rPr>
        <w:t>27].</w:t>
      </w:r>
    </w:p>
    <w:p w14:paraId="5172784B" w14:textId="77777777" w:rsidR="003A2F8E" w:rsidRPr="003A2F8E" w:rsidRDefault="003A2F8E" w:rsidP="00DA6395">
      <w:pPr>
        <w:pStyle w:val="Heading3"/>
      </w:pPr>
      <w:bookmarkStart w:id="374" w:name="_Toc42177355"/>
      <w:r w:rsidRPr="003A2F8E">
        <w:t>Terabaud capable opto-electronic transceivers</w:t>
      </w:r>
      <w:bookmarkEnd w:id="374"/>
    </w:p>
    <w:p w14:paraId="2F7DA6FF" w14:textId="77777777" w:rsidR="003A2F8E" w:rsidRPr="003A2F8E" w:rsidRDefault="003A2F8E" w:rsidP="003A2F8E">
      <w:pPr>
        <w:jc w:val="both"/>
        <w:rPr>
          <w:rFonts w:ascii="Arial" w:hAnsi="Arial" w:cs="Arial"/>
        </w:rPr>
      </w:pPr>
      <w:r w:rsidRPr="003A2F8E">
        <w:rPr>
          <w:rFonts w:ascii="Arial" w:hAnsi="Arial" w:cs="Arial"/>
        </w:rPr>
        <w:t xml:space="preserve">Over the past decade we have witnessed the rapid emergence of large-scale data centers which now underpin most cloud-based software applications. The adoption of AI and machine learning is even further accelerating the deployment of data center infrastructure. </w:t>
      </w:r>
      <w:r w:rsidRPr="003A2F8E">
        <w:rPr>
          <w:rFonts w:ascii="Arial" w:hAnsi="Arial" w:cs="Arial"/>
          <w:lang w:val="en-US"/>
        </w:rPr>
        <w:t>The rise of these huge data centers and growing capacity demands in telecommunications are driving the following trends in the industry:</w:t>
      </w:r>
    </w:p>
    <w:p w14:paraId="027C3EA3" w14:textId="77777777" w:rsidR="003A2F8E" w:rsidRPr="003A2F8E" w:rsidRDefault="003A2F8E" w:rsidP="00124439">
      <w:pPr>
        <w:pStyle w:val="ListParagraph"/>
        <w:numPr>
          <w:ilvl w:val="0"/>
          <w:numId w:val="35"/>
        </w:numPr>
        <w:spacing w:after="0" w:line="240" w:lineRule="auto"/>
        <w:jc w:val="both"/>
        <w:rPr>
          <w:rFonts w:ascii="Arial" w:hAnsi="Arial" w:cs="Arial"/>
        </w:rPr>
      </w:pPr>
      <w:r w:rsidRPr="003A2F8E">
        <w:rPr>
          <w:rFonts w:ascii="Arial" w:hAnsi="Arial" w:cs="Arial"/>
          <w:b/>
          <w:u w:val="single"/>
          <w:lang w:val="en-US"/>
        </w:rPr>
        <w:t>Need for new generations of optical transceivers with ever higher capacity</w:t>
      </w:r>
      <w:r w:rsidRPr="003A2F8E">
        <w:rPr>
          <w:rFonts w:ascii="Arial" w:hAnsi="Arial" w:cs="Arial"/>
          <w:lang w:val="en-US"/>
        </w:rPr>
        <w:t>, within approximately the same physical footprint and power envelope as the current 400G generation  (e.g., CFP8, 40x9.5x102mm, 24 Watts and 15 Watts for even smaller QSPD-DD and OSFP form factors). Industry is now seriously considering 800G and 1.6T capable transceivers. If this trend continues, even 3.2T or 6.4T generations may be required in the next decade.</w:t>
      </w:r>
    </w:p>
    <w:p w14:paraId="737B96F4" w14:textId="77777777" w:rsidR="003A2F8E" w:rsidRPr="003A2F8E" w:rsidRDefault="003A2F8E" w:rsidP="00124439">
      <w:pPr>
        <w:pStyle w:val="ListParagraph"/>
        <w:numPr>
          <w:ilvl w:val="0"/>
          <w:numId w:val="35"/>
        </w:numPr>
        <w:spacing w:after="0" w:line="240" w:lineRule="auto"/>
        <w:jc w:val="both"/>
        <w:rPr>
          <w:rFonts w:ascii="Arial" w:hAnsi="Arial" w:cs="Arial"/>
        </w:rPr>
      </w:pPr>
      <w:r w:rsidRPr="003A2F8E">
        <w:rPr>
          <w:rFonts w:ascii="Arial" w:hAnsi="Arial" w:cs="Arial"/>
          <w:b/>
          <w:u w:val="single"/>
          <w:lang w:val="en-US"/>
        </w:rPr>
        <w:t>Deployment of optical links at ever shorter distances:</w:t>
      </w:r>
      <w:r w:rsidRPr="003A2F8E">
        <w:rPr>
          <w:rFonts w:ascii="Arial" w:hAnsi="Arial" w:cs="Arial"/>
          <w:lang w:val="en-US"/>
        </w:rPr>
        <w:t xml:space="preserve"> in the past 5 years, we have witnessed how optical links have now displaced the copper-based interconnect at distances even as short as a few meters. This so-called intra data center optical interconnect (short-reach optical interconnect) covers distances of up to e.g. 100m (OM4 multimode fiber) and up to 2km (single-mode fiber).</w:t>
      </w:r>
    </w:p>
    <w:p w14:paraId="675B0122" w14:textId="77777777" w:rsidR="003A2F8E" w:rsidRPr="003A2F8E" w:rsidRDefault="003A2F8E" w:rsidP="00124439">
      <w:pPr>
        <w:pStyle w:val="ListParagraph"/>
        <w:numPr>
          <w:ilvl w:val="0"/>
          <w:numId w:val="35"/>
        </w:numPr>
        <w:spacing w:after="0" w:line="240" w:lineRule="auto"/>
        <w:jc w:val="both"/>
        <w:rPr>
          <w:rFonts w:ascii="Arial" w:hAnsi="Arial" w:cs="Arial"/>
        </w:rPr>
      </w:pPr>
      <w:r w:rsidRPr="003A2F8E">
        <w:rPr>
          <w:rFonts w:ascii="Arial" w:hAnsi="Arial" w:cs="Arial"/>
          <w:b/>
          <w:bCs/>
          <w:u w:val="single"/>
        </w:rPr>
        <w:t>More pervasive use of coherent transceiver technologies:</w:t>
      </w:r>
      <w:r w:rsidRPr="003A2F8E">
        <w:rPr>
          <w:rFonts w:ascii="Arial" w:hAnsi="Arial" w:cs="Arial"/>
        </w:rPr>
        <w:t xml:space="preserve"> Originally set out to increase capacity in long-haul and subsea networks, coherent transceiver technologies </w:t>
      </w:r>
      <w:r w:rsidRPr="003A2F8E">
        <w:rPr>
          <w:rFonts w:ascii="Arial" w:hAnsi="Arial" w:cs="Arial"/>
        </w:rPr>
        <w:lastRenderedPageBreak/>
        <w:t>are now becoming commonplace in the metro domain also. New developments will continue to increase data rates in these applications but will also focus on adaptations to make technologies fit metro-DCI, access and aggregation networks. Even for future use inside data centers, coherent transceiver technologies are being debated.</w:t>
      </w:r>
    </w:p>
    <w:p w14:paraId="294754E3" w14:textId="77777777" w:rsidR="003A2F8E" w:rsidRPr="003A2F8E" w:rsidRDefault="003A2F8E" w:rsidP="00124439">
      <w:pPr>
        <w:pStyle w:val="ListParagraph"/>
        <w:numPr>
          <w:ilvl w:val="0"/>
          <w:numId w:val="35"/>
        </w:numPr>
        <w:spacing w:after="0" w:line="240" w:lineRule="auto"/>
        <w:jc w:val="both"/>
        <w:rPr>
          <w:rFonts w:ascii="Arial" w:hAnsi="Arial" w:cs="Arial"/>
        </w:rPr>
      </w:pPr>
      <w:r w:rsidRPr="003A2F8E">
        <w:rPr>
          <w:rFonts w:ascii="Arial" w:hAnsi="Arial" w:cs="Arial"/>
          <w:b/>
          <w:bCs/>
          <w:u w:val="single"/>
        </w:rPr>
        <w:t>Advent of electro-photonic Systems-in-Package and co-packaged optics:</w:t>
      </w:r>
      <w:r w:rsidRPr="003A2F8E">
        <w:rPr>
          <w:rFonts w:ascii="Arial" w:hAnsi="Arial" w:cs="Arial"/>
        </w:rPr>
        <w:t xml:space="preserve"> High-capacity switch ICs double their capacities every 2-3 years and processors and FPGAs rapidly scale up in capacity as well. Optical transceiver chiplets are expected to replace electrical I/Os in these applications in the next 5-10 years and will need to be closely integrated with the CMOS data processing blocks inside the same package to minimize I/O power consumption and maximize throughput.</w:t>
      </w:r>
    </w:p>
    <w:p w14:paraId="309052A5" w14:textId="77777777" w:rsidR="003A2F8E" w:rsidRPr="003A2F8E" w:rsidRDefault="003A2F8E" w:rsidP="003A2F8E">
      <w:pPr>
        <w:jc w:val="both"/>
        <w:rPr>
          <w:rFonts w:ascii="Arial" w:hAnsi="Arial" w:cs="Arial"/>
          <w:lang w:val="en-US"/>
        </w:rPr>
      </w:pPr>
    </w:p>
    <w:p w14:paraId="2BBF570A" w14:textId="77777777" w:rsidR="003A2F8E" w:rsidRPr="003A2F8E" w:rsidRDefault="003A2F8E" w:rsidP="003A2F8E">
      <w:pPr>
        <w:jc w:val="both"/>
        <w:rPr>
          <w:rFonts w:ascii="Arial" w:hAnsi="Arial" w:cs="Arial"/>
        </w:rPr>
      </w:pPr>
      <w:r w:rsidRPr="003A2F8E">
        <w:rPr>
          <w:rFonts w:ascii="Arial" w:hAnsi="Arial" w:cs="Arial"/>
          <w:lang w:val="en-US"/>
        </w:rPr>
        <w:t>This need for optical transceivers with still exponential growing capacity is driving following trends:</w:t>
      </w:r>
    </w:p>
    <w:p w14:paraId="667ADEF7" w14:textId="77777777" w:rsidR="003A2F8E" w:rsidRPr="003A2F8E" w:rsidRDefault="003A2F8E" w:rsidP="00124439">
      <w:pPr>
        <w:pStyle w:val="ListParagraph"/>
        <w:numPr>
          <w:ilvl w:val="0"/>
          <w:numId w:val="36"/>
        </w:numPr>
        <w:spacing w:after="0" w:line="240" w:lineRule="auto"/>
        <w:jc w:val="both"/>
        <w:rPr>
          <w:rFonts w:ascii="Arial" w:hAnsi="Arial" w:cs="Arial"/>
        </w:rPr>
      </w:pPr>
      <w:r w:rsidRPr="003A2F8E">
        <w:rPr>
          <w:rFonts w:ascii="Arial" w:hAnsi="Arial" w:cs="Arial"/>
          <w:lang w:val="en-US"/>
        </w:rPr>
        <w:t xml:space="preserve">The most effective way to increase capacity is to </w:t>
      </w:r>
      <w:r w:rsidRPr="003A2F8E">
        <w:rPr>
          <w:rFonts w:ascii="Arial" w:hAnsi="Arial" w:cs="Arial"/>
          <w:b/>
          <w:lang w:val="en-US"/>
        </w:rPr>
        <w:t>increase the channel symbol rates</w:t>
      </w:r>
      <w:r w:rsidRPr="003A2F8E">
        <w:rPr>
          <w:rFonts w:ascii="Arial" w:hAnsi="Arial" w:cs="Arial"/>
          <w:lang w:val="en-US"/>
        </w:rPr>
        <w:t>. Today, for short-reach applications typical symbol rates are 53Gbaud, which are then combined into 4-channel modules to create a 400G optical transceiver (full duplex). It is anticipated that within the next 2 to 5 years there will be a need for &gt;100Gbaud symbol rates, to create 800G and 1.6T transceivers.</w:t>
      </w:r>
    </w:p>
    <w:p w14:paraId="12C89CC0" w14:textId="77777777" w:rsidR="003A2F8E" w:rsidRPr="003A2F8E" w:rsidRDefault="003A2F8E" w:rsidP="00124439">
      <w:pPr>
        <w:pStyle w:val="ListParagraph"/>
        <w:numPr>
          <w:ilvl w:val="0"/>
          <w:numId w:val="36"/>
        </w:numPr>
        <w:spacing w:after="0" w:line="240" w:lineRule="auto"/>
        <w:jc w:val="both"/>
        <w:rPr>
          <w:rFonts w:ascii="Arial" w:hAnsi="Arial" w:cs="Arial"/>
        </w:rPr>
      </w:pPr>
      <w:r w:rsidRPr="003A2F8E">
        <w:rPr>
          <w:rFonts w:ascii="Arial" w:hAnsi="Arial" w:cs="Arial"/>
          <w:lang w:val="en-US"/>
        </w:rPr>
        <w:t>The second way to increase capacity is to increase the number of parallel lanes within a cable. Lanes can be wavelengths or parallel fibers within a ribbon cable.</w:t>
      </w:r>
    </w:p>
    <w:p w14:paraId="35321E42" w14:textId="77777777" w:rsidR="003A2F8E" w:rsidRPr="003A2F8E" w:rsidRDefault="003A2F8E" w:rsidP="00124439">
      <w:pPr>
        <w:pStyle w:val="ListParagraph"/>
        <w:numPr>
          <w:ilvl w:val="0"/>
          <w:numId w:val="36"/>
        </w:numPr>
        <w:spacing w:after="0" w:line="240" w:lineRule="auto"/>
        <w:jc w:val="both"/>
        <w:rPr>
          <w:rFonts w:ascii="Arial" w:hAnsi="Arial" w:cs="Arial"/>
        </w:rPr>
      </w:pPr>
      <w:r w:rsidRPr="003A2F8E">
        <w:rPr>
          <w:rFonts w:ascii="Arial" w:hAnsi="Arial" w:cs="Arial"/>
          <w:lang w:val="en-US"/>
        </w:rPr>
        <w:t xml:space="preserve">To more effectively use the available analog bandwidth of optics and front-end electronics, </w:t>
      </w:r>
      <w:r w:rsidRPr="003A2F8E">
        <w:rPr>
          <w:rFonts w:ascii="Arial" w:hAnsi="Arial" w:cs="Arial"/>
          <w:b/>
          <w:lang w:val="en-US"/>
        </w:rPr>
        <w:t>modulation formats with higher spectral efficiency</w:t>
      </w:r>
      <w:r w:rsidRPr="003A2F8E">
        <w:rPr>
          <w:rFonts w:ascii="Arial" w:hAnsi="Arial" w:cs="Arial"/>
          <w:lang w:val="en-US"/>
        </w:rPr>
        <w:t xml:space="preserve"> are being used also for short-reach applications (where the use of 4-level pulse amplitude modulation is now widespread). It is expected that this trend to even more complex, i.e. coherent-based modulation formats (already widely used for longer reaches) will continue.</w:t>
      </w:r>
    </w:p>
    <w:p w14:paraId="5EBF9FC5" w14:textId="77777777" w:rsidR="003A2F8E" w:rsidRPr="003A2F8E" w:rsidRDefault="003A2F8E" w:rsidP="00124439">
      <w:pPr>
        <w:pStyle w:val="ListParagraph"/>
        <w:numPr>
          <w:ilvl w:val="0"/>
          <w:numId w:val="36"/>
        </w:numPr>
        <w:spacing w:line="256" w:lineRule="auto"/>
        <w:jc w:val="both"/>
        <w:rPr>
          <w:rFonts w:ascii="Arial" w:hAnsi="Arial" w:cs="Arial"/>
        </w:rPr>
      </w:pPr>
      <w:r w:rsidRPr="003A2F8E">
        <w:rPr>
          <w:rFonts w:ascii="Arial" w:hAnsi="Arial" w:cs="Arial"/>
          <w:lang w:val="en-US"/>
        </w:rPr>
        <w:t>Denser integration, through the use of e.g. 3D integration methods, to fit the transceivers into small form factor modules.</w:t>
      </w:r>
    </w:p>
    <w:p w14:paraId="78612194" w14:textId="77777777" w:rsidR="003A2F8E" w:rsidRPr="003A2F8E" w:rsidRDefault="003A2F8E" w:rsidP="00DA6395">
      <w:pPr>
        <w:pStyle w:val="Heading4"/>
      </w:pPr>
      <w:r w:rsidRPr="003A2F8E">
        <w:t xml:space="preserve">Broadband signal generation and detection beyond CMOS </w:t>
      </w:r>
    </w:p>
    <w:p w14:paraId="415222E0" w14:textId="4C04CE9B" w:rsidR="003A2F8E" w:rsidRPr="003A2F8E" w:rsidRDefault="003A2F8E" w:rsidP="003A2F8E">
      <w:pPr>
        <w:jc w:val="both"/>
        <w:rPr>
          <w:rFonts w:ascii="Arial" w:hAnsi="Arial" w:cs="Arial"/>
        </w:rPr>
      </w:pPr>
      <w:r w:rsidRPr="003A2F8E">
        <w:rPr>
          <w:rFonts w:ascii="Arial" w:hAnsi="Arial" w:cs="Arial"/>
        </w:rPr>
        <w:t xml:space="preserve">The need for optical transceivers at higher symbol rates will soon hit the limitations of the most advanced CMOS nodes. Indeed, the transition frequency fT (measure of speed of a CMOS process) has saturated around 300GHz for the last five years. Hence novel transceiver architectures will be required in which functionality is shifted from the CMOS ASIC to chips (or chiplets) realized in processes that have higher speed capabilities such as SiGe BiCMOS or InP. First such devices include &gt;100GBaud capable analog multiplexers and demultiplexers recently demonstrated by NTT, Nokia and imec </w:t>
      </w:r>
      <w:r w:rsidR="008059BC">
        <w:rPr>
          <w:rFonts w:ascii="Arial" w:hAnsi="Arial" w:cs="Arial"/>
        </w:rPr>
        <w:t>[C10-</w:t>
      </w:r>
      <w:r w:rsidRPr="003A2F8E">
        <w:rPr>
          <w:rFonts w:ascii="Arial" w:hAnsi="Arial" w:cs="Arial"/>
        </w:rPr>
        <w:t xml:space="preserve">28]. Such heterogeneous approaches can be expected to further gain importance as symbol rates scale well beyond the 100Gbaud region in the near future. </w:t>
      </w:r>
    </w:p>
    <w:p w14:paraId="0710CBD0" w14:textId="77777777" w:rsidR="003A2F8E" w:rsidRPr="003A2F8E" w:rsidRDefault="003A2F8E" w:rsidP="00DA6395">
      <w:pPr>
        <w:pStyle w:val="Heading4"/>
      </w:pPr>
      <w:r w:rsidRPr="003A2F8E">
        <w:t>Ultra broadband optical modulators and detectors</w:t>
      </w:r>
    </w:p>
    <w:p w14:paraId="2A679546" w14:textId="77777777" w:rsidR="003A2F8E" w:rsidRPr="003A2F8E" w:rsidRDefault="003A2F8E" w:rsidP="003A2F8E">
      <w:pPr>
        <w:jc w:val="both"/>
        <w:rPr>
          <w:rFonts w:ascii="Arial" w:hAnsi="Arial" w:cs="Arial"/>
        </w:rPr>
      </w:pPr>
      <w:r w:rsidRPr="003A2F8E">
        <w:rPr>
          <w:rFonts w:ascii="Arial" w:hAnsi="Arial" w:cs="Arial"/>
        </w:rPr>
        <w:t>Today, the dominant processes for densely integrated optics use InP and Silicon Photonic technologies. To scale well beyond 100Gbaud novel materials will be required. A range of such materials that can be envisioned are:</w:t>
      </w:r>
    </w:p>
    <w:p w14:paraId="62D6666F" w14:textId="405AA178"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Organic Hybrid, with the most promising approach using plasmonic organic hybrid materials, with modulation bandwidths as high as 500GHz demonstrated </w:t>
      </w:r>
      <w:r w:rsidR="008059BC">
        <w:rPr>
          <w:rFonts w:ascii="Arial" w:hAnsi="Arial" w:cs="Arial"/>
        </w:rPr>
        <w:t>[C10-</w:t>
      </w:r>
      <w:r w:rsidRPr="003A2F8E">
        <w:rPr>
          <w:rFonts w:ascii="Arial" w:hAnsi="Arial" w:cs="Arial"/>
        </w:rPr>
        <w:t>29],</w:t>
      </w:r>
    </w:p>
    <w:p w14:paraId="56249F84" w14:textId="16001480"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Ferroelectric materials such as BTO, which hold the promise of integration onto a Silicon Photonic platform of pure phase modulators with good modulation efficiency </w:t>
      </w:r>
      <w:r w:rsidR="008059BC">
        <w:rPr>
          <w:rFonts w:ascii="Arial" w:hAnsi="Arial" w:cs="Arial"/>
        </w:rPr>
        <w:t>[C10-</w:t>
      </w:r>
      <w:r w:rsidRPr="003A2F8E">
        <w:rPr>
          <w:rFonts w:ascii="Arial" w:hAnsi="Arial" w:cs="Arial"/>
        </w:rPr>
        <w:t>30],</w:t>
      </w:r>
    </w:p>
    <w:p w14:paraId="56087A12" w14:textId="75E90C7C"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Lithium Niobate (LNB) under the form of thin-film LiNbO3 integrated onto Silicon Photonic platforms, offering again a route to broadband (&gt;100GHz) modulators without residual amplitude modulation </w:t>
      </w:r>
      <w:r w:rsidR="008059BC">
        <w:rPr>
          <w:rFonts w:ascii="Arial" w:hAnsi="Arial" w:cs="Arial"/>
        </w:rPr>
        <w:t>[C10-</w:t>
      </w:r>
      <w:r w:rsidRPr="003A2F8E">
        <w:rPr>
          <w:rFonts w:ascii="Arial" w:hAnsi="Arial" w:cs="Arial"/>
        </w:rPr>
        <w:t>31].</w:t>
      </w:r>
    </w:p>
    <w:p w14:paraId="1E3FECB1" w14:textId="77777777" w:rsidR="003A2F8E" w:rsidRPr="003A2F8E" w:rsidRDefault="003A2F8E" w:rsidP="00DA6395">
      <w:pPr>
        <w:pStyle w:val="Heading4"/>
      </w:pPr>
      <w:r w:rsidRPr="003A2F8E">
        <w:lastRenderedPageBreak/>
        <w:t>Monolithically integrated optics and electronics</w:t>
      </w:r>
    </w:p>
    <w:p w14:paraId="15680836" w14:textId="77777777" w:rsidR="003A2F8E" w:rsidRPr="003A2F8E" w:rsidRDefault="003A2F8E" w:rsidP="003A2F8E">
      <w:pPr>
        <w:jc w:val="both"/>
        <w:rPr>
          <w:rFonts w:ascii="Arial" w:hAnsi="Arial" w:cs="Arial"/>
        </w:rPr>
      </w:pPr>
      <w:r w:rsidRPr="003A2F8E">
        <w:rPr>
          <w:rFonts w:ascii="Arial" w:hAnsi="Arial" w:cs="Arial"/>
        </w:rPr>
        <w:t>For future developments, monolithic integration of photonic and electronic components would be desirable as this significantly reduces parasitics and maximizes overall system efficiency. Such a monolithic integration can be achieved in several ways. Some examples demonstrated so far are:</w:t>
      </w:r>
    </w:p>
    <w:p w14:paraId="530FC526" w14:textId="393F501F"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Integration of plasmonic organic hybrid modulators on a metal layer on an electronics ASIC has been demonstrated </w:t>
      </w:r>
      <w:r w:rsidR="008059BC">
        <w:rPr>
          <w:rFonts w:ascii="Arial" w:hAnsi="Arial" w:cs="Arial"/>
        </w:rPr>
        <w:t>[C10-</w:t>
      </w:r>
      <w:r w:rsidRPr="003A2F8E">
        <w:rPr>
          <w:rFonts w:ascii="Arial" w:hAnsi="Arial" w:cs="Arial"/>
        </w:rPr>
        <w:t>32], this kind of technology is expected to achieve highest symbol rates per modulator.</w:t>
      </w:r>
    </w:p>
    <w:p w14:paraId="1F0B323A" w14:textId="694B12C8" w:rsidR="003A2F8E" w:rsidRPr="003A2F8E" w:rsidRDefault="003A2F8E" w:rsidP="00124439">
      <w:pPr>
        <w:pStyle w:val="ListParagraph"/>
        <w:numPr>
          <w:ilvl w:val="0"/>
          <w:numId w:val="37"/>
        </w:numPr>
        <w:spacing w:line="256" w:lineRule="auto"/>
        <w:jc w:val="both"/>
        <w:rPr>
          <w:rFonts w:ascii="Arial" w:hAnsi="Arial" w:cs="Arial"/>
        </w:rPr>
      </w:pPr>
      <w:r w:rsidRPr="003A2F8E">
        <w:rPr>
          <w:rFonts w:ascii="Arial" w:hAnsi="Arial" w:cs="Arial"/>
        </w:rPr>
        <w:t xml:space="preserve">Monolithic integration of silicon modulators and detectors in silicon ASICs as has been demonstrated here </w:t>
      </w:r>
      <w:r w:rsidR="008059BC">
        <w:rPr>
          <w:rFonts w:ascii="Arial" w:hAnsi="Arial" w:cs="Arial"/>
        </w:rPr>
        <w:t>[C10-</w:t>
      </w:r>
      <w:r w:rsidRPr="003A2F8E">
        <w:rPr>
          <w:rFonts w:ascii="Arial" w:hAnsi="Arial" w:cs="Arial"/>
        </w:rPr>
        <w:t>33]. Through massively parallel implementations, Multi-terabit/s data rates are expected per optical waveguide.</w:t>
      </w:r>
    </w:p>
    <w:p w14:paraId="0B92925F" w14:textId="77777777" w:rsidR="003A2F8E" w:rsidRPr="003A2F8E" w:rsidRDefault="003A2F8E" w:rsidP="00DA6395">
      <w:pPr>
        <w:pStyle w:val="Heading4"/>
      </w:pPr>
      <w:r w:rsidRPr="003A2F8E">
        <w:t>Optically assisted analog-to-digital and digital-to-analog conversion</w:t>
      </w:r>
    </w:p>
    <w:p w14:paraId="1105FBF0" w14:textId="68FD13BA" w:rsidR="003A2F8E" w:rsidRPr="003A2F8E" w:rsidRDefault="003A2F8E" w:rsidP="003A2F8E">
      <w:pPr>
        <w:jc w:val="both"/>
        <w:rPr>
          <w:rFonts w:ascii="Arial" w:hAnsi="Arial" w:cs="Arial"/>
        </w:rPr>
      </w:pPr>
      <w:r w:rsidRPr="003A2F8E">
        <w:rPr>
          <w:rFonts w:ascii="Arial" w:hAnsi="Arial" w:cs="Arial"/>
        </w:rPr>
        <w:t xml:space="preserve">Scaling far beyond 100Gbaud may require further shifting of functionality currently performed in the electronic (digital) domain to the optical domain. A first example already demonstrated for some time is the generation of 4-level pulse amplitude modulation (PAM-4) in the optical domain using segmented Mach-Zehnder modulators </w:t>
      </w:r>
      <w:r w:rsidR="008059BC">
        <w:rPr>
          <w:rFonts w:ascii="Arial" w:hAnsi="Arial" w:cs="Arial"/>
        </w:rPr>
        <w:t>[C10-</w:t>
      </w:r>
      <w:r w:rsidRPr="003A2F8E">
        <w:rPr>
          <w:rFonts w:ascii="Arial" w:hAnsi="Arial" w:cs="Arial"/>
        </w:rPr>
        <w:t xml:space="preserve">34]. This simplifies the electronics (now requiring only simple binary driver electronics) and shifts the complexity of generating high symbol rate multilevel signals to the optical domain. It has been shown that such approach can result in better transmission performance (better error rate at same optical modulation amplitude) compared to conventional solutions </w:t>
      </w:r>
      <w:r w:rsidR="008059BC">
        <w:rPr>
          <w:rFonts w:ascii="Arial" w:hAnsi="Arial" w:cs="Arial"/>
        </w:rPr>
        <w:t>[C10-</w:t>
      </w:r>
      <w:r w:rsidRPr="003A2F8E">
        <w:rPr>
          <w:rFonts w:ascii="Arial" w:hAnsi="Arial" w:cs="Arial"/>
        </w:rPr>
        <w:t xml:space="preserve">34]. </w:t>
      </w:r>
    </w:p>
    <w:p w14:paraId="2D9EED39" w14:textId="7B9F19B2" w:rsidR="003A2F8E" w:rsidRPr="003A2F8E" w:rsidRDefault="003A2F8E" w:rsidP="003A2F8E">
      <w:pPr>
        <w:jc w:val="both"/>
        <w:rPr>
          <w:rFonts w:ascii="Arial" w:hAnsi="Arial" w:cs="Arial"/>
        </w:rPr>
      </w:pPr>
      <w:r w:rsidRPr="003A2F8E">
        <w:rPr>
          <w:rFonts w:ascii="Arial" w:hAnsi="Arial" w:cs="Arial"/>
        </w:rPr>
        <w:t xml:space="preserve">At the receiver side, the need for ever higher conversion rates will eventually be limited by the jitter of electronic oscillators and the resolution achievable at such high rates. One route to overcome this is the use of optical assisted analog-to-digital conversion, in which the low phase jitter of e.g. mode locked fiber lasers can be used to improve the achievable effective number of bits (ENOB) compared to conventional electronic ADCs </w:t>
      </w:r>
      <w:r w:rsidR="008059BC">
        <w:rPr>
          <w:rFonts w:ascii="Arial" w:hAnsi="Arial" w:cs="Arial"/>
        </w:rPr>
        <w:t>[C10-</w:t>
      </w:r>
      <w:r w:rsidRPr="003A2F8E">
        <w:rPr>
          <w:rFonts w:ascii="Arial" w:hAnsi="Arial" w:cs="Arial"/>
        </w:rPr>
        <w:t>35].</w:t>
      </w:r>
    </w:p>
    <w:p w14:paraId="44FF5EAD" w14:textId="77777777" w:rsidR="003A2F8E" w:rsidRPr="003A2F8E" w:rsidRDefault="003A2F8E" w:rsidP="00DA6395">
      <w:pPr>
        <w:pStyle w:val="Heading3"/>
      </w:pPr>
      <w:bookmarkStart w:id="375" w:name="_Toc42177356"/>
      <w:r w:rsidRPr="003A2F8E">
        <w:t>Ultra low-cost and low-power coherent “lite” transceivers</w:t>
      </w:r>
      <w:bookmarkEnd w:id="375"/>
    </w:p>
    <w:p w14:paraId="13DFEAD1" w14:textId="77777777" w:rsidR="003A2F8E" w:rsidRPr="003A2F8E" w:rsidRDefault="003A2F8E" w:rsidP="003A2F8E">
      <w:pPr>
        <w:jc w:val="both"/>
        <w:rPr>
          <w:rFonts w:ascii="Arial" w:hAnsi="Arial" w:cs="Arial"/>
        </w:rPr>
      </w:pPr>
      <w:r w:rsidRPr="003A2F8E">
        <w:rPr>
          <w:rFonts w:ascii="Arial" w:hAnsi="Arial" w:cs="Arial"/>
        </w:rPr>
        <w:t>Scaling to higher symbol rates will at some stage require a transition to the use of coherent optical transceivers at a given fiber length. Indeed, higher symbol rates typically go hand in hand with reduced optical budget (due to worsening signal-to-noise ratio), which can be alleviated through the use of coherent detection in which the incoming optical signal is mixed with a local oscillator laser. The use of coherent transceivers further allows higher spectral efficiency (as apart from amplitude, also phase can be modulated, and this on two orthogonal polarizations). Finally, as the full optical field can be reconstructed through coherent detection (hence both polarizations, phase and amplitude), the linear degradation due to dispersion, can be fully compensated, which would typically limit direct detection.</w:t>
      </w:r>
    </w:p>
    <w:p w14:paraId="104010D9" w14:textId="77777777" w:rsidR="003A2F8E" w:rsidRPr="003A2F8E" w:rsidRDefault="003A2F8E" w:rsidP="003A2F8E">
      <w:pPr>
        <w:jc w:val="both"/>
        <w:rPr>
          <w:rFonts w:ascii="Arial" w:hAnsi="Arial" w:cs="Arial"/>
        </w:rPr>
      </w:pPr>
      <w:r w:rsidRPr="003A2F8E">
        <w:rPr>
          <w:rFonts w:ascii="Arial" w:hAnsi="Arial" w:cs="Arial"/>
        </w:rPr>
        <w:t xml:space="preserve">The downside of using coherent detection is the complexity of both optics (the need for an external cavity low linewidth, tuneable laser) and electronics (extensive digital signal processing to assist the carrier recovery). </w:t>
      </w:r>
    </w:p>
    <w:p w14:paraId="04D2FBCC" w14:textId="77777777" w:rsidR="003A2F8E" w:rsidRPr="003A2F8E" w:rsidRDefault="003A2F8E" w:rsidP="003A2F8E">
      <w:pPr>
        <w:jc w:val="both"/>
        <w:rPr>
          <w:rFonts w:ascii="Arial" w:hAnsi="Arial" w:cs="Arial"/>
        </w:rPr>
      </w:pPr>
      <w:r w:rsidRPr="003A2F8E">
        <w:rPr>
          <w:rFonts w:ascii="Arial" w:hAnsi="Arial" w:cs="Arial"/>
        </w:rPr>
        <w:t xml:space="preserve">Reduction of the complexity and cost of coherent detection is a crucial step to enable their use for higher volume applications such as intra data center applications. Today, coherent detection relies extensively on digital signal processing techniques using analog-to-digital conversion operating at least at symbol rates (but typically higher). Optical and analog techniques can be developed to reduce the burden on this DSP or to simplify it by shifting some parts to the optical domain. Several options are outlined hereafter. </w:t>
      </w:r>
    </w:p>
    <w:p w14:paraId="2D1285F8" w14:textId="77777777" w:rsidR="003A2F8E" w:rsidRPr="003A2F8E" w:rsidRDefault="003A2F8E" w:rsidP="00DA6395">
      <w:pPr>
        <w:pStyle w:val="Heading4"/>
      </w:pPr>
      <w:r w:rsidRPr="003A2F8E">
        <w:lastRenderedPageBreak/>
        <w:t>Integrated narrow linewidth laser sources</w:t>
      </w:r>
    </w:p>
    <w:p w14:paraId="3AAA5229" w14:textId="77777777" w:rsidR="003A2F8E" w:rsidRPr="003A2F8E" w:rsidRDefault="003A2F8E" w:rsidP="003A2F8E">
      <w:pPr>
        <w:jc w:val="both"/>
        <w:rPr>
          <w:rFonts w:ascii="Arial" w:hAnsi="Arial" w:cs="Arial"/>
        </w:rPr>
      </w:pPr>
      <w:r w:rsidRPr="003A2F8E">
        <w:rPr>
          <w:rFonts w:ascii="Arial" w:hAnsi="Arial" w:cs="Arial"/>
        </w:rPr>
        <w:t xml:space="preserve">Today, coherent receivers rely on feedforward carrier recovery in the digital domain due to the difficulty of detecting optical phase directly at the optical carrier frequency in the region of 193THz (typical optical carrier frequency). A first step to avoid these techniques is the realization of narrow linewidth laser sources such as external cavity laser sources. Narrow linewidth (e.g. much smaller than 100kHz) requires optical platforms with ultra-low losses, possibly combined with electronic techniques to suppress linewidth broadening. </w:t>
      </w:r>
    </w:p>
    <w:p w14:paraId="331ECB48" w14:textId="77777777" w:rsidR="003A2F8E" w:rsidRPr="003A2F8E" w:rsidRDefault="003A2F8E" w:rsidP="00DA6395">
      <w:pPr>
        <w:pStyle w:val="Heading4"/>
      </w:pPr>
      <w:r w:rsidRPr="003A2F8E">
        <w:t>Integrated optical phase locked loops</w:t>
      </w:r>
    </w:p>
    <w:p w14:paraId="3F696192" w14:textId="77777777" w:rsidR="003A2F8E" w:rsidRPr="003A2F8E" w:rsidRDefault="003A2F8E" w:rsidP="003A2F8E">
      <w:pPr>
        <w:jc w:val="both"/>
        <w:rPr>
          <w:rFonts w:ascii="Arial" w:hAnsi="Arial" w:cs="Arial"/>
        </w:rPr>
      </w:pPr>
      <w:r w:rsidRPr="003A2F8E">
        <w:rPr>
          <w:rFonts w:ascii="Arial" w:hAnsi="Arial" w:cs="Arial"/>
        </w:rPr>
        <w:t xml:space="preserve">A next step in the avoidance of digital feedforward carrier recovery is the realization of optical phase locked loops (OPLLs). In such loops the phase of the optical local oscillator laser is directly locked to the incoming optical signal, using e.g. optical Costas loops. Such OPLLs have been demonstrated already however further close integration of the optics (laser and detector parts) and required feedback electronics is required to lower power consumption and improve performance. </w:t>
      </w:r>
    </w:p>
    <w:p w14:paraId="48D104C4" w14:textId="77777777" w:rsidR="003A2F8E" w:rsidRPr="003A2F8E" w:rsidRDefault="003A2F8E" w:rsidP="00DA6395">
      <w:pPr>
        <w:pStyle w:val="Heading4"/>
      </w:pPr>
      <w:r w:rsidRPr="003A2F8E">
        <w:t>Novel equalization approaches relying on co-developed opto-electronics</w:t>
      </w:r>
    </w:p>
    <w:p w14:paraId="15B0AE2B" w14:textId="77777777" w:rsidR="003A2F8E" w:rsidRPr="003A2F8E" w:rsidRDefault="003A2F8E" w:rsidP="003A2F8E">
      <w:pPr>
        <w:jc w:val="both"/>
        <w:rPr>
          <w:rFonts w:ascii="Arial" w:hAnsi="Arial" w:cs="Arial"/>
        </w:rPr>
      </w:pPr>
      <w:r w:rsidRPr="003A2F8E">
        <w:rPr>
          <w:rFonts w:ascii="Arial" w:hAnsi="Arial" w:cs="Arial"/>
        </w:rPr>
        <w:t xml:space="preserve">Equalization is now extensively used to overcome bandwidth limitations of EO (electrical-to-optical) and OE (optical-to-electrical) components, as well as chromatic and polarization mode dispersion from the fiber plant. Typically, these are all implemented in the digital domain at both transmitter and receiver side. If some of these functions can be shifted to the optical domain under the form of passive filter structures, significant electrical power can be saved by moving them out of the digital domain. In addition to still requiring large electrical and opto-electronic bandwidths, this will require passive filter structures with very low insertion loss as otherwise any gains will be offset by the need for higher laser power. </w:t>
      </w:r>
    </w:p>
    <w:p w14:paraId="36166EBB" w14:textId="77777777" w:rsidR="003A2F8E" w:rsidRPr="003A2F8E" w:rsidRDefault="003A2F8E" w:rsidP="00DA6395">
      <w:pPr>
        <w:pStyle w:val="Heading3"/>
      </w:pPr>
      <w:bookmarkStart w:id="376" w:name="_Toc42177357"/>
      <w:r w:rsidRPr="003A2F8E">
        <w:t>Optically assisted wireless subsystems</w:t>
      </w:r>
      <w:bookmarkEnd w:id="376"/>
    </w:p>
    <w:p w14:paraId="560D2DD2" w14:textId="0F49C079" w:rsidR="005F6376" w:rsidRPr="003A2F8E" w:rsidRDefault="003A2F8E" w:rsidP="003A2F8E">
      <w:pPr>
        <w:jc w:val="both"/>
        <w:rPr>
          <w:rFonts w:ascii="Arial" w:hAnsi="Arial" w:cs="Arial"/>
        </w:rPr>
      </w:pPr>
      <w:r w:rsidRPr="003A2F8E">
        <w:rPr>
          <w:rFonts w:ascii="Arial" w:hAnsi="Arial" w:cs="Arial"/>
        </w:rPr>
        <w:t xml:space="preserve">As explained before, new generations of B5G and 6G mobile wireless transmission systems will rely extensively on advanced radio transmission concepts such as beamforming (requiring true time delaying of RF signals), or operate at very high carrier frequencies (100s of GHz, which can be generated by beating lasers on photodetectors spaced apart by the required carrier frequency).  Such microwave photonic techniques can play an increasingly important role at these high frequencies. </w:t>
      </w:r>
    </w:p>
    <w:p w14:paraId="1F5AE7DC" w14:textId="39329374" w:rsidR="003A2F8E" w:rsidRDefault="003A2F8E" w:rsidP="003A2F8E">
      <w:pPr>
        <w:pStyle w:val="Heading2"/>
        <w:rPr>
          <w:rFonts w:cs="Arial"/>
          <w:lang w:val="nl-BE"/>
        </w:rPr>
      </w:pPr>
      <w:bookmarkStart w:id="377" w:name="_Toc42177358"/>
      <w:r w:rsidRPr="003A2F8E">
        <w:rPr>
          <w:rFonts w:cs="Arial"/>
          <w:lang w:val="nl-BE"/>
        </w:rPr>
        <w:t>Baseband Modems</w:t>
      </w:r>
      <w:bookmarkEnd w:id="377"/>
    </w:p>
    <w:p w14:paraId="644FA035" w14:textId="77777777" w:rsidR="008F07A5" w:rsidRPr="008F07A5" w:rsidRDefault="008F07A5" w:rsidP="008F07A5">
      <w:pPr>
        <w:rPr>
          <w:lang w:val="nl-BE"/>
        </w:rPr>
      </w:pPr>
    </w:p>
    <w:p w14:paraId="7D7DA036" w14:textId="11824FBA" w:rsidR="003A2F8E" w:rsidRPr="003A2F8E" w:rsidRDefault="00D27BA3" w:rsidP="003A2F8E">
      <w:pPr>
        <w:jc w:val="both"/>
        <w:rPr>
          <w:rFonts w:ascii="Arial" w:eastAsia="Calibri" w:hAnsi="Arial" w:cs="Arial"/>
        </w:rPr>
      </w:pPr>
      <w:r>
        <w:rPr>
          <w:rFonts w:ascii="Arial" w:eastAsia="Calibri" w:hAnsi="Arial" w:cs="Arial"/>
        </w:rPr>
        <w:t>Figure 10-</w:t>
      </w:r>
      <w:r w:rsidR="003A2F8E" w:rsidRPr="003A2F8E">
        <w:rPr>
          <w:rFonts w:ascii="Arial" w:eastAsia="Calibri" w:hAnsi="Arial" w:cs="Arial"/>
        </w:rPr>
        <w:t xml:space="preserve">1 shows the range of the processing options that have been explored over the years for baseband modems </w:t>
      </w:r>
      <w:r w:rsidR="008059BC">
        <w:rPr>
          <w:rFonts w:ascii="Arial" w:eastAsia="Calibri" w:hAnsi="Arial" w:cs="Arial"/>
        </w:rPr>
        <w:t>[C10-</w:t>
      </w:r>
      <w:r w:rsidR="003A2F8E" w:rsidRPr="003A2F8E">
        <w:rPr>
          <w:rFonts w:ascii="Arial" w:eastAsia="Calibri" w:hAnsi="Arial" w:cs="Arial"/>
        </w:rPr>
        <w:t>36]. Traditionally, most of the heavy lifting was carried out by various application-specific integrated circuits (ASICs) that had moderate programmability. ASICs were necessary because processor performance was limited by transistor count. More recently, flexible solutions that use a reconfigurable processing element, such as field-programmable gate arrays (FPGAs) instead of ASICs, have been studied. Unlike fixed-function ASICs, FPGAs can be reprogrammed dynamically, although the development effort is still high and significantly higher than writing new software. Therefore, there has also been significant interest in truly programmable baseband processors.</w:t>
      </w:r>
    </w:p>
    <w:p w14:paraId="577827C9" w14:textId="77777777" w:rsidR="003A2F8E" w:rsidRPr="003A2F8E" w:rsidRDefault="003A2F8E" w:rsidP="003A2F8E">
      <w:pPr>
        <w:jc w:val="both"/>
        <w:rPr>
          <w:rFonts w:ascii="Arial" w:eastAsia="Calibri" w:hAnsi="Arial" w:cs="Arial"/>
        </w:rPr>
      </w:pPr>
    </w:p>
    <w:p w14:paraId="379B20B6" w14:textId="77777777" w:rsidR="003A2F8E" w:rsidRPr="003A2F8E" w:rsidRDefault="003A2F8E" w:rsidP="003A2F8E">
      <w:pPr>
        <w:keepNext/>
        <w:jc w:val="both"/>
        <w:rPr>
          <w:rFonts w:ascii="Arial" w:hAnsi="Arial" w:cs="Arial"/>
        </w:rPr>
      </w:pPr>
      <w:r w:rsidRPr="003A2F8E">
        <w:rPr>
          <w:rFonts w:ascii="Arial" w:hAnsi="Arial" w:cs="Arial"/>
          <w:noProof/>
          <w:lang w:eastAsia="en-GB"/>
        </w:rPr>
        <w:lastRenderedPageBreak/>
        <w:drawing>
          <wp:inline distT="0" distB="0" distL="0" distR="0" wp14:anchorId="404C3D53" wp14:editId="47D96C3F">
            <wp:extent cx="3483429" cy="1323571"/>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p.png"/>
                    <pic:cNvPicPr/>
                  </pic:nvPicPr>
                  <pic:blipFill>
                    <a:blip r:embed="rId32">
                      <a:extLst>
                        <a:ext uri="{28A0092B-C50C-407E-A947-70E740481C1C}">
                          <a14:useLocalDpi xmlns:a14="http://schemas.microsoft.com/office/drawing/2010/main" val="0"/>
                        </a:ext>
                      </a:extLst>
                    </a:blip>
                    <a:stretch>
                      <a:fillRect/>
                    </a:stretch>
                  </pic:blipFill>
                  <pic:spPr>
                    <a:xfrm>
                      <a:off x="0" y="0"/>
                      <a:ext cx="3499731" cy="1329765"/>
                    </a:xfrm>
                    <a:prstGeom prst="rect">
                      <a:avLst/>
                    </a:prstGeom>
                  </pic:spPr>
                </pic:pic>
              </a:graphicData>
            </a:graphic>
          </wp:inline>
        </w:drawing>
      </w:r>
    </w:p>
    <w:p w14:paraId="5542C606" w14:textId="15E15C1D" w:rsidR="003A2F8E" w:rsidRPr="00D27BA3" w:rsidRDefault="00D27BA3" w:rsidP="003A2F8E">
      <w:pPr>
        <w:pStyle w:val="Caption"/>
        <w:rPr>
          <w:rFonts w:ascii="Arial" w:hAnsi="Arial" w:cs="Arial"/>
          <w:color w:val="auto"/>
          <w:sz w:val="22"/>
          <w:szCs w:val="22"/>
        </w:rPr>
      </w:pPr>
      <w:r w:rsidRPr="00D27BA3">
        <w:rPr>
          <w:rFonts w:ascii="Arial" w:hAnsi="Arial" w:cs="Arial"/>
          <w:color w:val="auto"/>
          <w:sz w:val="22"/>
          <w:szCs w:val="22"/>
        </w:rPr>
        <w:t xml:space="preserve">Figure 10-1. </w:t>
      </w:r>
      <w:r w:rsidR="003A2F8E" w:rsidRPr="00D27BA3">
        <w:rPr>
          <w:rFonts w:ascii="Arial" w:hAnsi="Arial" w:cs="Arial"/>
          <w:color w:val="auto"/>
          <w:sz w:val="22"/>
          <w:szCs w:val="22"/>
        </w:rPr>
        <w:t xml:space="preserve">Baseband processing options </w:t>
      </w:r>
      <w:r w:rsidR="008059BC" w:rsidRPr="00D27BA3">
        <w:rPr>
          <w:rFonts w:ascii="Arial" w:hAnsi="Arial" w:cs="Arial"/>
          <w:color w:val="auto"/>
          <w:sz w:val="22"/>
          <w:szCs w:val="22"/>
        </w:rPr>
        <w:t>[C10-</w:t>
      </w:r>
      <w:r w:rsidR="003A2F8E" w:rsidRPr="00D27BA3">
        <w:rPr>
          <w:rFonts w:ascii="Arial" w:hAnsi="Arial" w:cs="Arial"/>
          <w:color w:val="auto"/>
          <w:sz w:val="22"/>
          <w:szCs w:val="22"/>
        </w:rPr>
        <w:t>36].</w:t>
      </w:r>
    </w:p>
    <w:p w14:paraId="7DB3C132" w14:textId="77777777" w:rsidR="003A2F8E" w:rsidRPr="003A2F8E" w:rsidRDefault="003A2F8E" w:rsidP="003A2F8E">
      <w:pPr>
        <w:jc w:val="both"/>
        <w:rPr>
          <w:rFonts w:ascii="Arial" w:hAnsi="Arial" w:cs="Arial"/>
        </w:rPr>
      </w:pPr>
      <w:r w:rsidRPr="003A2F8E">
        <w:rPr>
          <w:rFonts w:ascii="Arial" w:hAnsi="Arial" w:cs="Arial"/>
        </w:rPr>
        <w:t>One style of programmable processors integrates the functionality of FPGAs or ASICs into enhanced digital signal processors (DSPs). These designs not only exploit the data level parallelism inherent to baseband processing workloads but also include domain-specific features that are tuned for baseband processing, such as specialized shuffle networks and arithmetic units. A more radical departure from specialized processors and the adoption of very general fully programmable hardware is an attempt to use off-the-shelf CPUs to process all the tasks of the physical layer processing. Such solutions potentially enable wireless operators to further reduce the cost to build and upgrade RAN infrastructure with commodity off-the-shelf CPUs. Current CPUs have a large, and growing, number of cores and integrate single-instruction multiple-data (SIMD) units within each core. With this high level of parallelism, commodity CPUs can now meet the performance demands of even advanced physical-layer processing.</w:t>
      </w:r>
    </w:p>
    <w:p w14:paraId="7407A661" w14:textId="77777777" w:rsidR="003A2F8E" w:rsidRPr="003A2F8E" w:rsidRDefault="003A2F8E" w:rsidP="003A2F8E">
      <w:pPr>
        <w:jc w:val="both"/>
        <w:rPr>
          <w:rFonts w:ascii="Arial" w:hAnsi="Arial" w:cs="Arial"/>
        </w:rPr>
      </w:pPr>
      <w:r w:rsidRPr="003A2F8E">
        <w:rPr>
          <w:rFonts w:ascii="Arial" w:hAnsi="Arial" w:cs="Arial"/>
        </w:rPr>
        <w:t>While there is a large spectrum for possible processing options, the fundamental trade-offs remain the same. Programmable and reconfigurable processing elements are more flexible in that they can work with different signal frequencies, modulations, and coding schemes, and even completely different channel access methods and processing pipelines. This allows wireless operators to reuse hardware resources when migrating to new wireless technologies. Consolidating the functionality of ASICs into fewer processing elements also greatly reduces the cost of both hardware and software development. Finally, flexible equipment can enable even better resource utilization through a more sophisticated resource scheduling strategy such as dynamic resource allocation between different wireless communication technologies. However, these benefits come at the price of energy efficiency and performance because fewer opportunities for low-level specialization and hardware tuning are available with commodity parts than with specialized fixed-function accelerators. Previous work suggests that the performance and efficiency gap can be 10× to 100× between ASICs and general-purpose processors. With the expected slowdown of device scaling and the benefits it provides for performance and energy-efficiency, the trade-off between energy efficiency and programmability in baseband processing hardware is becoming more important than ever.</w:t>
      </w:r>
    </w:p>
    <w:p w14:paraId="6486C3F5" w14:textId="22641350" w:rsidR="003A2F8E" w:rsidRDefault="003A2F8E" w:rsidP="003A2F8E">
      <w:pPr>
        <w:jc w:val="both"/>
        <w:rPr>
          <w:rFonts w:ascii="Arial" w:hAnsi="Arial" w:cs="Arial"/>
          <w:lang w:val="en"/>
        </w:rPr>
      </w:pPr>
      <w:r w:rsidRPr="003A2F8E">
        <w:rPr>
          <w:rFonts w:ascii="Arial" w:hAnsi="Arial" w:cs="Arial"/>
          <w:lang w:val="en"/>
        </w:rPr>
        <w:t xml:space="preserve">A recent, and potentially disruptive development is the application of deep learning for the physical layer. By interpreting a communications system as an autoencoder, several groups are developing a fundamental new way to think about communications system’s baseband design as an end-to-end reconstruction task that seeks to jointly optimize transmitter and receiver components in a single process </w:t>
      </w:r>
      <w:r w:rsidR="008059BC">
        <w:rPr>
          <w:rFonts w:ascii="Arial" w:hAnsi="Arial" w:cs="Arial"/>
          <w:lang w:val="en"/>
        </w:rPr>
        <w:t>[C10-</w:t>
      </w:r>
      <w:r w:rsidRPr="003A2F8E">
        <w:rPr>
          <w:rFonts w:ascii="Arial" w:hAnsi="Arial" w:cs="Arial"/>
          <w:lang w:val="en"/>
        </w:rPr>
        <w:t xml:space="preserve">37], </w:t>
      </w:r>
      <w:r w:rsidR="008059BC">
        <w:rPr>
          <w:rFonts w:ascii="Arial" w:hAnsi="Arial" w:cs="Arial"/>
          <w:lang w:val="en"/>
        </w:rPr>
        <w:t>[C10-</w:t>
      </w:r>
      <w:r w:rsidRPr="003A2F8E">
        <w:rPr>
          <w:rFonts w:ascii="Arial" w:hAnsi="Arial" w:cs="Arial"/>
          <w:lang w:val="en"/>
        </w:rPr>
        <w:t>38]. Compared to traditional baseband architectures   with a multiple-block structure, the DL based AE provides a new PHY paradigm with a pure data-driven and end-to-end learning-based solution.</w:t>
      </w:r>
    </w:p>
    <w:p w14:paraId="74459C55" w14:textId="77777777" w:rsidR="005F6376" w:rsidRPr="003A2F8E" w:rsidRDefault="005F6376" w:rsidP="003A2F8E">
      <w:pPr>
        <w:jc w:val="both"/>
        <w:rPr>
          <w:rFonts w:ascii="Arial" w:hAnsi="Arial" w:cs="Arial"/>
        </w:rPr>
      </w:pPr>
    </w:p>
    <w:p w14:paraId="21187D6D" w14:textId="203C37BC" w:rsidR="003A2F8E" w:rsidRDefault="003A2F8E" w:rsidP="003A2F8E">
      <w:pPr>
        <w:pStyle w:val="Heading2"/>
        <w:rPr>
          <w:rFonts w:cs="Arial"/>
        </w:rPr>
      </w:pPr>
      <w:bookmarkStart w:id="378" w:name="_Toc42177359"/>
      <w:r w:rsidRPr="003A2F8E">
        <w:rPr>
          <w:rFonts w:cs="Arial"/>
        </w:rPr>
        <w:t>Processors for Cloud-AI, Edge-AI and on-device-AI</w:t>
      </w:r>
      <w:bookmarkEnd w:id="378"/>
    </w:p>
    <w:p w14:paraId="4132DD65" w14:textId="77777777" w:rsidR="008F07A5" w:rsidRPr="008F07A5" w:rsidRDefault="008F07A5" w:rsidP="008F07A5"/>
    <w:p w14:paraId="439075E5" w14:textId="77777777" w:rsidR="003A2F8E" w:rsidRPr="003A2F8E" w:rsidRDefault="003A2F8E" w:rsidP="003A2F8E">
      <w:pPr>
        <w:jc w:val="both"/>
        <w:rPr>
          <w:rFonts w:ascii="Arial" w:hAnsi="Arial" w:cs="Arial"/>
        </w:rPr>
      </w:pPr>
      <w:r w:rsidRPr="003A2F8E">
        <w:rPr>
          <w:rFonts w:ascii="Arial" w:hAnsi="Arial" w:cs="Arial"/>
        </w:rPr>
        <w:lastRenderedPageBreak/>
        <w:t>The requirements of AI applications are driving the development of dedicated hardware architectures at a rapid pace. CPUs and GPUs are being refined with the purpose of increasing the energy efficiency and reducing the latency. New technological solutions are being leveraged for enabling in-memory compute (i.e. using non-volatile memory technology), multiple chip integration (i.e. chiplets, interposers …), sensor integration.</w:t>
      </w:r>
    </w:p>
    <w:p w14:paraId="1807ADFB" w14:textId="77777777" w:rsidR="003A2F8E" w:rsidRPr="003A2F8E" w:rsidRDefault="003A2F8E" w:rsidP="003A2F8E">
      <w:pPr>
        <w:jc w:val="both"/>
        <w:rPr>
          <w:rFonts w:ascii="Arial" w:hAnsi="Arial" w:cs="Arial"/>
        </w:rPr>
      </w:pPr>
      <w:r w:rsidRPr="003A2F8E">
        <w:rPr>
          <w:rFonts w:ascii="Arial" w:hAnsi="Arial" w:cs="Arial"/>
        </w:rPr>
        <w:t>The rapid pace of adoption of new technologies and ASICs opens up new application segments, since the more processing power is available, the harder the problem addressed. The application space is therefore very broad today but can be split into two main categories: applications that rely on cloud-based solutions and application that run at the edge.</w:t>
      </w:r>
    </w:p>
    <w:p w14:paraId="79AA3D36" w14:textId="77777777" w:rsidR="003A2F8E" w:rsidRPr="003A2F8E" w:rsidRDefault="003A2F8E" w:rsidP="003A2F8E">
      <w:pPr>
        <w:jc w:val="both"/>
        <w:rPr>
          <w:rFonts w:ascii="Arial" w:hAnsi="Arial" w:cs="Arial"/>
        </w:rPr>
      </w:pPr>
      <w:r w:rsidRPr="003A2F8E">
        <w:rPr>
          <w:rFonts w:ascii="Arial" w:hAnsi="Arial" w:cs="Arial"/>
        </w:rPr>
        <w:t>Requirements for cloud-based processors are very specific. First, the cloud is still the workhorse for the learning phase, handling ever larger databases and complex learning algorithms. The compute load must be balanced over many processing units. The first challenge is thus to ensure scalability up to large scales: the associated research areas deal with the interconnect and the memory hierarchy (RDMA over Converged Ethernet being today the solution). Secondly, the cloud must ensure low latency to inference tasks, which are too computation- or memory-intensive to be handled at the edge. The second challenge is thus to provide accelerators optimized for being efficient when handling low batch sizes (typically a size of 1): the research area is the one of data flow and systolic architectures. Finally, there is also a need for energy efficiency, since the datacentres are a large and growing contributor to greenhouse gases emissions. For that, apart from the classical Moore’s law pursuit, work is for example being done on data encoding: this has led to the development of the BF16 (Brain Float 16b) representation, which helps save energy and die area compared to the FP32 representation, at almost no accuracy penalty. The research work must be pursued on dynamic encoding.</w:t>
      </w:r>
    </w:p>
    <w:p w14:paraId="12FB4851" w14:textId="77777777" w:rsidR="003A2F8E" w:rsidRPr="003A2F8E" w:rsidRDefault="003A2F8E" w:rsidP="003A2F8E">
      <w:pPr>
        <w:jc w:val="both"/>
        <w:rPr>
          <w:rFonts w:ascii="Arial" w:hAnsi="Arial" w:cs="Arial"/>
        </w:rPr>
      </w:pPr>
      <w:r w:rsidRPr="003A2F8E">
        <w:rPr>
          <w:rFonts w:ascii="Arial" w:hAnsi="Arial" w:cs="Arial"/>
        </w:rPr>
        <w:t xml:space="preserve">AI techniques and methods are necessary for IoT in an on-device or edge computing environment to provide advanced analytics and autonomous decision making, impose additional computation requirements on the hardware architectures. </w:t>
      </w:r>
    </w:p>
    <w:p w14:paraId="4D11FD1A" w14:textId="7DF3B14F" w:rsidR="003A2F8E" w:rsidRDefault="003A2F8E" w:rsidP="003A2F8E">
      <w:pPr>
        <w:jc w:val="both"/>
        <w:rPr>
          <w:rFonts w:ascii="Arial" w:hAnsi="Arial" w:cs="Arial"/>
        </w:rPr>
      </w:pPr>
      <w:r w:rsidRPr="003A2F8E">
        <w:rPr>
          <w:rFonts w:ascii="Arial" w:hAnsi="Arial" w:cs="Arial"/>
        </w:rPr>
        <w:t>In particular, for applications that run at the edge or on-device the first and foremost key parameters of interest are the energy dissipation and the memory footprint. Both can be addressed thanks to extreme weight quantization, down to binary synapses. This eases analogue in-memory compute, using non-volatile memory technology. The challenge, in this case, is one of learning algorithm: several tricks have to be employed to keep the impact on classification accuracy low. It remains to be seen whether extreme weight quantization is the solution for future applications needs. Indeed, the trend is to have edge platforms or endpoints exhibiting unsupervised or lifelong learning abilities, for applications such as predictive maintenance or adaptation to the environment. The weights accuracy must therefore be higher for the learning algorithm to converge and the on-chip memory larger for storing all the intermediate results. The challenge is to design very dense, local, memory with a low energy access cost. Furthermore, edge or endpoints devices will require sensors for interfacing with the physical world. The difficulty will lie in sensor integration and fusion, with algorithms enabling the use of multimodality (i.e. different input types such as image, sound, vibration). Moreover, research might be needed on flexible on-device operating systems able to cope with open device management ecosystems and AI-based dedicated hardware architectures.</w:t>
      </w:r>
    </w:p>
    <w:p w14:paraId="08E61CDD" w14:textId="77777777" w:rsidR="005F6376" w:rsidRPr="003A2F8E" w:rsidRDefault="005F6376" w:rsidP="003A2F8E">
      <w:pPr>
        <w:jc w:val="both"/>
        <w:rPr>
          <w:rFonts w:ascii="Arial" w:hAnsi="Arial" w:cs="Arial"/>
        </w:rPr>
      </w:pPr>
    </w:p>
    <w:p w14:paraId="4627B8B2" w14:textId="0DE275CC" w:rsidR="003A2F8E" w:rsidRDefault="003A2F8E" w:rsidP="003A2F8E">
      <w:pPr>
        <w:pStyle w:val="Heading2"/>
        <w:rPr>
          <w:rFonts w:cs="Arial"/>
        </w:rPr>
      </w:pPr>
      <w:bookmarkStart w:id="379" w:name="_Toc42177360"/>
      <w:r w:rsidRPr="003A2F8E">
        <w:rPr>
          <w:rFonts w:cs="Arial"/>
        </w:rPr>
        <w:lastRenderedPageBreak/>
        <w:t>Memories</w:t>
      </w:r>
      <w:bookmarkEnd w:id="379"/>
      <w:r w:rsidRPr="003A2F8E">
        <w:rPr>
          <w:rFonts w:cs="Arial"/>
        </w:rPr>
        <w:t xml:space="preserve"> </w:t>
      </w:r>
    </w:p>
    <w:p w14:paraId="7CE54DDE" w14:textId="77777777" w:rsidR="003A2F8E" w:rsidRPr="003A2F8E" w:rsidRDefault="003A2F8E" w:rsidP="00DA6395">
      <w:pPr>
        <w:pStyle w:val="Heading3"/>
      </w:pPr>
      <w:bookmarkStart w:id="380" w:name="_Toc42177361"/>
      <w:r w:rsidRPr="003A2F8E">
        <w:t>Memory technologies towards 2030</w:t>
      </w:r>
      <w:bookmarkEnd w:id="380"/>
    </w:p>
    <w:p w14:paraId="03E92940" w14:textId="77777777" w:rsidR="003A2F8E" w:rsidRPr="003A2F8E" w:rsidRDefault="003A2F8E" w:rsidP="00DA6395">
      <w:pPr>
        <w:pStyle w:val="Heading4"/>
      </w:pPr>
      <w:r w:rsidRPr="003A2F8E">
        <w:t>Entering the zettabyte and yottabyte eras ...</w:t>
      </w:r>
    </w:p>
    <w:p w14:paraId="22E0296F" w14:textId="77777777" w:rsidR="003A2F8E" w:rsidRPr="003A2F8E" w:rsidRDefault="003A2F8E" w:rsidP="003A2F8E">
      <w:pPr>
        <w:jc w:val="both"/>
        <w:rPr>
          <w:rFonts w:ascii="Arial" w:hAnsi="Arial" w:cs="Arial"/>
        </w:rPr>
      </w:pPr>
      <w:r w:rsidRPr="003A2F8E">
        <w:rPr>
          <w:rFonts w:ascii="Arial" w:hAnsi="Arial" w:cs="Arial"/>
        </w:rPr>
        <w:t>The amount of data produced in the world will soon exceed 100 zettabyte, with an annual growth rate of 1.2 to 1.4x. The IP traffic is expected to be about 0.25 zettabyte in 2020 and has a similar growth rate. The yottabyte is the order of magnitude for 2030. This huge amount of data and traffic are partly generated through well-known applications such as Amazon, YouTube, Facebook or Netflix. But emerging IoT applications will make a significant contribution as well, such as autonomous cars, smart buildings, smart city, e-health, etc.. Huge amounts of bandwidth are required to transport all this data – from the application to an edge node, then to a base station, and then to a data center – a challenge that will be tackled by 6G and optical networks. Throughout this data flow, stringent requirements will be imposed on memory and storage – in terms of density, bandwidth, cost and energy.</w:t>
      </w:r>
    </w:p>
    <w:p w14:paraId="0CA24F1C" w14:textId="77777777" w:rsidR="003A2F8E" w:rsidRPr="003A2F8E" w:rsidRDefault="003A2F8E" w:rsidP="00DA6395">
      <w:pPr>
        <w:pStyle w:val="Heading4"/>
      </w:pPr>
      <w:r w:rsidRPr="003A2F8E">
        <w:t>Clever data mining, and reduced energy consumption</w:t>
      </w:r>
    </w:p>
    <w:p w14:paraId="49C19919" w14:textId="77777777" w:rsidR="003A2F8E" w:rsidRPr="003A2F8E" w:rsidRDefault="003A2F8E" w:rsidP="003A2F8E">
      <w:pPr>
        <w:jc w:val="both"/>
        <w:rPr>
          <w:rFonts w:ascii="Arial" w:hAnsi="Arial" w:cs="Arial"/>
        </w:rPr>
      </w:pPr>
      <w:r w:rsidRPr="003A2F8E">
        <w:rPr>
          <w:rFonts w:ascii="Arial" w:hAnsi="Arial" w:cs="Arial"/>
        </w:rPr>
        <w:t>At some point in the flow of data transport, the generated data will need to be analyzed and converted into knowledge and wisdom by means of machine learning techniques. The exact point at which this will happen, will significantly impact the requirements on memory and storage. For example, if machine learning can be applied just after data generation, it can help relax the requirements. If, on the other hand, data is turned into wisdom later in the process, more raw data will need to be stored throughout the whole process.</w:t>
      </w:r>
    </w:p>
    <w:p w14:paraId="231B2934" w14:textId="77777777" w:rsidR="003A2F8E" w:rsidRPr="003A2F8E" w:rsidRDefault="003A2F8E" w:rsidP="003A2F8E">
      <w:pPr>
        <w:jc w:val="both"/>
        <w:rPr>
          <w:rFonts w:ascii="Arial" w:hAnsi="Arial" w:cs="Arial"/>
        </w:rPr>
      </w:pPr>
      <w:r w:rsidRPr="003A2F8E">
        <w:rPr>
          <w:rFonts w:ascii="Arial" w:hAnsi="Arial" w:cs="Arial"/>
        </w:rPr>
        <w:t xml:space="preserve">The zettabyte and yottabyte eras will also challenge the power that is consumed by the growing amount of data centers, for processing, transporting and storing all the data. Without energy consumption optimization, the energy consumption for these operations, data centers worldwide may use almost 8000 terawatt-hours by 2030. (source: https://www.labs.hpe.com/next-next/energy). </w:t>
      </w:r>
    </w:p>
    <w:p w14:paraId="6408708D" w14:textId="77777777" w:rsidR="003A2F8E" w:rsidRPr="003A2F8E" w:rsidRDefault="003A2F8E" w:rsidP="00DA6395">
      <w:pPr>
        <w:pStyle w:val="Heading4"/>
      </w:pPr>
      <w:r w:rsidRPr="003A2F8E">
        <w:t>The slowdown of today’s memory roadmap</w:t>
      </w:r>
    </w:p>
    <w:p w14:paraId="32D2C80F" w14:textId="77777777" w:rsidR="003A2F8E" w:rsidRPr="003A2F8E" w:rsidRDefault="003A2F8E" w:rsidP="003A2F8E">
      <w:pPr>
        <w:jc w:val="both"/>
        <w:rPr>
          <w:rFonts w:ascii="Arial" w:hAnsi="Arial" w:cs="Arial"/>
        </w:rPr>
      </w:pPr>
      <w:r w:rsidRPr="003A2F8E">
        <w:rPr>
          <w:rFonts w:ascii="Arial" w:hAnsi="Arial" w:cs="Arial"/>
        </w:rPr>
        <w:t>Let us have a closer look at the memories used in a typical laptop. Close to the central processing unit (CPU), fast, volatile embedded static random-access memories (SRAMs) are the dominant memories. Also, on-chip are the higher cache memories, mostly made in SRAM or embedded dynamic random-access memory (DRAM) technologies. Off-chip, further away from the CPU, mainly DRAM chips are used for the working memory and non-volatile Flash NAND memory chips for storage. In general, memories located further away from the CPU are cheaper, slower, denser and less volatile.</w:t>
      </w:r>
    </w:p>
    <w:p w14:paraId="5B51C46F" w14:textId="77777777" w:rsidR="003A2F8E" w:rsidRPr="003A2F8E" w:rsidRDefault="003A2F8E" w:rsidP="003A2F8E">
      <w:pPr>
        <w:jc w:val="both"/>
        <w:rPr>
          <w:rFonts w:ascii="Arial" w:hAnsi="Arial" w:cs="Arial"/>
        </w:rPr>
      </w:pPr>
      <w:r w:rsidRPr="003A2F8E">
        <w:rPr>
          <w:rFonts w:ascii="Arial" w:hAnsi="Arial" w:cs="Arial"/>
        </w:rPr>
        <w:t>For half a century, Moore’s Law has driven cost improvement of memory technologies, and this has translated into a continuous increase of the memory density. However, despite large improvements in memory density, only storage density (Flash NAND devices) has truly kept pace with the data growth rate. With the transition from NAND to 3D-NAND devices, density improvement for this storage class is however expected to slow down as well and go below the data growth rate soon.</w:t>
      </w:r>
    </w:p>
    <w:p w14:paraId="6AE9C01F" w14:textId="77777777" w:rsidR="003A2F8E" w:rsidRPr="003A2F8E" w:rsidRDefault="003A2F8E" w:rsidP="003A2F8E">
      <w:pPr>
        <w:jc w:val="both"/>
        <w:rPr>
          <w:rFonts w:ascii="Arial" w:hAnsi="Arial" w:cs="Arial"/>
        </w:rPr>
      </w:pPr>
      <w:r w:rsidRPr="003A2F8E">
        <w:rPr>
          <w:rFonts w:ascii="Arial" w:hAnsi="Arial" w:cs="Arial"/>
        </w:rPr>
        <w:t xml:space="preserve">To meet the memory requirements of the zettabyte and yottabyte eras (i.e., improved density and speed, and reduced energy consumption), multiple emerging memory options must be explored for standalone as well as for embedded applications. Options range from MRAM technologies for cache level applications, new ways for improving DRAM devices, emerging storage class memories to fill the gap between DRAM and NAND technologies, solutions for improving 3D-NAND storage devices, and a revolutionary solution for archival type of applications. </w:t>
      </w:r>
    </w:p>
    <w:p w14:paraId="247C5163" w14:textId="77777777" w:rsidR="003A2F8E" w:rsidRPr="003A2F8E" w:rsidRDefault="003A2F8E" w:rsidP="00DA6395">
      <w:pPr>
        <w:pStyle w:val="Heading4"/>
      </w:pPr>
      <w:r w:rsidRPr="003A2F8E">
        <w:lastRenderedPageBreak/>
        <w:t>MRAM technologies for embedded cache level applications</w:t>
      </w:r>
    </w:p>
    <w:p w14:paraId="504AFAA3" w14:textId="710C7533" w:rsidR="003A2F8E" w:rsidRPr="003A2F8E" w:rsidRDefault="003A2F8E" w:rsidP="003A2F8E">
      <w:pPr>
        <w:jc w:val="both"/>
        <w:rPr>
          <w:rFonts w:ascii="Arial" w:hAnsi="Arial" w:cs="Arial"/>
        </w:rPr>
      </w:pPr>
      <w:r w:rsidRPr="003A2F8E">
        <w:rPr>
          <w:rFonts w:ascii="Arial" w:hAnsi="Arial" w:cs="Arial"/>
        </w:rPr>
        <w:t xml:space="preserve">Spin transfer torque MRAM (STT-MRAM) technology </w:t>
      </w:r>
      <w:r w:rsidR="008059BC">
        <w:rPr>
          <w:rFonts w:ascii="Arial" w:hAnsi="Arial" w:cs="Arial"/>
        </w:rPr>
        <w:t>[C10-</w:t>
      </w:r>
      <w:r w:rsidRPr="003A2F8E">
        <w:rPr>
          <w:rFonts w:ascii="Arial" w:hAnsi="Arial" w:cs="Arial"/>
        </w:rPr>
        <w:t xml:space="preserve">39], </w:t>
      </w:r>
      <w:r w:rsidR="008059BC">
        <w:rPr>
          <w:rFonts w:ascii="Arial" w:hAnsi="Arial" w:cs="Arial"/>
        </w:rPr>
        <w:t>[C10-</w:t>
      </w:r>
      <w:r w:rsidRPr="003A2F8E">
        <w:rPr>
          <w:rFonts w:ascii="Arial" w:hAnsi="Arial" w:cs="Arial"/>
        </w:rPr>
        <w:t>40] has emerged as a candidate technology for replacing L3 cache embedded SRAM memories. It offers non-volatility, high density, high speed and low switching current. The core element of an STT-MRAM device is a magnetic tunnel junction in which a thin dielectric layer is sandwiched between a magnetic fixed layer and a magnetic free layer. Writing of the memory cell is performed by switching the magnetization for the free magnetic layer, by means of a current that is injected perpendicular into the magnetic tunnel junction. Because of speed limitations, STT-MRAM are limited to L3 cache.</w:t>
      </w:r>
    </w:p>
    <w:p w14:paraId="677E177A" w14:textId="3EB3F083" w:rsidR="003A2F8E" w:rsidRPr="003A2F8E" w:rsidRDefault="003A2F8E" w:rsidP="003A2F8E">
      <w:pPr>
        <w:jc w:val="both"/>
        <w:rPr>
          <w:rFonts w:ascii="Arial" w:hAnsi="Arial" w:cs="Arial"/>
        </w:rPr>
      </w:pPr>
      <w:r w:rsidRPr="003A2F8E">
        <w:rPr>
          <w:rFonts w:ascii="Arial" w:hAnsi="Arial" w:cs="Arial"/>
        </w:rPr>
        <w:t xml:space="preserve">An MRAM variant, the spin orbit torque MRAM (SOT-MRAM) </w:t>
      </w:r>
      <w:r w:rsidR="008059BC">
        <w:rPr>
          <w:rFonts w:ascii="Arial" w:hAnsi="Arial" w:cs="Arial"/>
        </w:rPr>
        <w:t>[C10-</w:t>
      </w:r>
      <w:r w:rsidRPr="003A2F8E">
        <w:rPr>
          <w:rFonts w:ascii="Arial" w:hAnsi="Arial" w:cs="Arial"/>
        </w:rPr>
        <w:t xml:space="preserve">41], can potentially replace the faster L1 and L2 cache. In these devices, switching the free magnetic layer is done by injecting an in-plane current in an adjacent SOT layer, as such de-coupling the read and write path and improving the device endurance and stability. </w:t>
      </w:r>
    </w:p>
    <w:p w14:paraId="6B57A279" w14:textId="6D1BFBB0" w:rsidR="003A2F8E" w:rsidRPr="003A2F8E" w:rsidRDefault="003A2F8E" w:rsidP="003A2F8E">
      <w:pPr>
        <w:jc w:val="both"/>
        <w:rPr>
          <w:rFonts w:ascii="Arial" w:hAnsi="Arial" w:cs="Arial"/>
        </w:rPr>
      </w:pPr>
      <w:r w:rsidRPr="003A2F8E">
        <w:rPr>
          <w:rFonts w:ascii="Arial" w:hAnsi="Arial" w:cs="Arial"/>
        </w:rPr>
        <w:t xml:space="preserve">VCMA-based (Voltage Control of Magnetic Anisotropy) MRAM </w:t>
      </w:r>
      <w:r w:rsidR="008059BC">
        <w:rPr>
          <w:rFonts w:ascii="Arial" w:hAnsi="Arial" w:cs="Arial"/>
        </w:rPr>
        <w:t>[C10-</w:t>
      </w:r>
      <w:r w:rsidRPr="003A2F8E">
        <w:rPr>
          <w:rFonts w:ascii="Arial" w:hAnsi="Arial" w:cs="Arial"/>
        </w:rPr>
        <w:t>42] is another interesting emerging option offering low power, high performance and high density non-volatile memory solution.</w:t>
      </w:r>
    </w:p>
    <w:p w14:paraId="1C00DF2A" w14:textId="77777777" w:rsidR="003A2F8E" w:rsidRPr="003A2F8E" w:rsidRDefault="003A2F8E" w:rsidP="00DA6395">
      <w:pPr>
        <w:pStyle w:val="Heading4"/>
      </w:pPr>
      <w:r w:rsidRPr="003A2F8E">
        <w:t>DRAM scaling</w:t>
      </w:r>
    </w:p>
    <w:p w14:paraId="687E149D" w14:textId="77777777" w:rsidR="003A2F8E" w:rsidRPr="003A2F8E" w:rsidRDefault="003A2F8E" w:rsidP="003A2F8E">
      <w:pPr>
        <w:jc w:val="both"/>
        <w:rPr>
          <w:rFonts w:ascii="Arial" w:hAnsi="Arial" w:cs="Arial"/>
        </w:rPr>
      </w:pPr>
      <w:r w:rsidRPr="003A2F8E">
        <w:rPr>
          <w:rFonts w:ascii="Arial" w:hAnsi="Arial" w:cs="Arial"/>
        </w:rPr>
        <w:t xml:space="preserve">DRAM is structurally a very simple type of memory. A DRAM memory cell consists of one transistor and one capacitor, that can be either charged or discharged. To downscale the structure, the aspect ratio of the structure must be increased. Another concept could be to </w:t>
      </w:r>
    </w:p>
    <w:p w14:paraId="47E9BA61" w14:textId="77777777" w:rsidR="003A2F8E" w:rsidRPr="003A2F8E" w:rsidRDefault="003A2F8E" w:rsidP="003A2F8E">
      <w:pPr>
        <w:jc w:val="both"/>
        <w:rPr>
          <w:rFonts w:ascii="Arial" w:hAnsi="Arial" w:cs="Arial"/>
        </w:rPr>
      </w:pPr>
      <w:r w:rsidRPr="003A2F8E">
        <w:rPr>
          <w:rFonts w:ascii="Arial" w:hAnsi="Arial" w:cs="Arial"/>
        </w:rPr>
        <w:t>place the peripherical logic directly under the array of capacitors and transistors. This logic circuitry controls how data is moved to and from the memory chip, and typically consumes considerable area. Today, the transistor of the DRAM memory cell is however built on silicon. To be able to move the peri logic underneath the DRAM array, we need to replace this transistor with a non-Si transistor that is back-end compatible. 3D DRAM integration is yet another improvement path.</w:t>
      </w:r>
    </w:p>
    <w:p w14:paraId="6C9FF1EE" w14:textId="77777777" w:rsidR="003A2F8E" w:rsidRPr="003A2F8E" w:rsidRDefault="003A2F8E" w:rsidP="00DA6395">
      <w:pPr>
        <w:pStyle w:val="Heading4"/>
      </w:pPr>
      <w:r w:rsidRPr="003A2F8E">
        <w:t>Storage class memory</w:t>
      </w:r>
    </w:p>
    <w:p w14:paraId="4F11175E" w14:textId="77777777" w:rsidR="003A2F8E" w:rsidRPr="003A2F8E" w:rsidRDefault="003A2F8E" w:rsidP="003A2F8E">
      <w:pPr>
        <w:jc w:val="both"/>
        <w:rPr>
          <w:rFonts w:ascii="Arial" w:hAnsi="Arial" w:cs="Arial"/>
        </w:rPr>
      </w:pPr>
      <w:r w:rsidRPr="003A2F8E">
        <w:rPr>
          <w:rFonts w:ascii="Arial" w:hAnsi="Arial" w:cs="Arial"/>
        </w:rPr>
        <w:t xml:space="preserve">Storage class memory has been introduced to fill the gap between DRAM and NAND Flash memories in terms of latency, density, cost and performance. This new memory class should allow massive amounts of data to be accessed in a very short time. Most probably, more than one novel memory technology will be required to span the entire gap. Candidate technologies include various cross-point-based architectures for the memory element, such as phase-change-RAM (PC-RAM), vacancy-modulated conductive oxide (VMCO), conductive bridging RAM (CB-RAM) and oxide RAM (OxRAM). </w:t>
      </w:r>
    </w:p>
    <w:p w14:paraId="5DBA5E2B" w14:textId="77777777" w:rsidR="003A2F8E" w:rsidRPr="003A2F8E" w:rsidRDefault="003A2F8E" w:rsidP="00DA6395">
      <w:pPr>
        <w:pStyle w:val="Heading4"/>
      </w:pPr>
      <w:r w:rsidRPr="003A2F8E">
        <w:t>3D NAND... and beyond?</w:t>
      </w:r>
    </w:p>
    <w:p w14:paraId="51BB7C79" w14:textId="36BDAE96" w:rsidR="003A2F8E" w:rsidRPr="003A2F8E" w:rsidRDefault="003A2F8E" w:rsidP="003A2F8E">
      <w:pPr>
        <w:jc w:val="both"/>
        <w:rPr>
          <w:rFonts w:ascii="Arial" w:hAnsi="Arial" w:cs="Arial"/>
        </w:rPr>
      </w:pPr>
      <w:r w:rsidRPr="003A2F8E">
        <w:rPr>
          <w:rFonts w:ascii="Arial" w:hAnsi="Arial" w:cs="Arial"/>
        </w:rPr>
        <w:t xml:space="preserve">Since its introduction several years ago, 3D NAND </w:t>
      </w:r>
      <w:r w:rsidR="008059BC">
        <w:rPr>
          <w:rFonts w:ascii="Arial" w:hAnsi="Arial" w:cs="Arial"/>
        </w:rPr>
        <w:t>[C10-</w:t>
      </w:r>
      <w:r w:rsidRPr="003A2F8E">
        <w:rPr>
          <w:rFonts w:ascii="Arial" w:hAnsi="Arial" w:cs="Arial"/>
        </w:rPr>
        <w:t xml:space="preserve">43] has become a mainstream storage technology because of its ability to significantly increase bit density. This is enabled by transitioning from 3 bits per cell to 4 bits per cell. And, instead of traditional x-y scaling in a horizontal plane, 3D NAND scales in the z direction by stacking multiple layers of NAND gates vertically. Today, stacking over 60 layers has become possible but the density improvement of 3D NAND is expected to slow down and will soon not be able to follow the data growth rate </w:t>
      </w:r>
      <w:r w:rsidR="008059BC">
        <w:rPr>
          <w:rFonts w:ascii="Arial" w:hAnsi="Arial" w:cs="Arial"/>
        </w:rPr>
        <w:t>[C10-</w:t>
      </w:r>
      <w:r w:rsidRPr="003A2F8E">
        <w:rPr>
          <w:rFonts w:ascii="Arial" w:hAnsi="Arial" w:cs="Arial"/>
        </w:rPr>
        <w:t xml:space="preserve">44]. </w:t>
      </w:r>
    </w:p>
    <w:p w14:paraId="20A31A88" w14:textId="77777777" w:rsidR="003A2F8E" w:rsidRPr="003A2F8E" w:rsidRDefault="003A2F8E" w:rsidP="00DA6395">
      <w:pPr>
        <w:pStyle w:val="Heading4"/>
      </w:pPr>
      <w:r w:rsidRPr="003A2F8E">
        <w:t>DNA storage: the holy grail of archival storage?</w:t>
      </w:r>
    </w:p>
    <w:p w14:paraId="2C3D8E74" w14:textId="77777777" w:rsidR="003A2F8E" w:rsidRPr="003A2F8E" w:rsidRDefault="003A2F8E" w:rsidP="003A2F8E">
      <w:pPr>
        <w:jc w:val="both"/>
        <w:rPr>
          <w:rFonts w:ascii="Arial" w:hAnsi="Arial" w:cs="Arial"/>
        </w:rPr>
      </w:pPr>
      <w:r w:rsidRPr="003A2F8E">
        <w:rPr>
          <w:rFonts w:ascii="Arial" w:hAnsi="Arial" w:cs="Arial"/>
        </w:rPr>
        <w:t xml:space="preserve">DNA storage promises storage densities orders of magnitude higher than semiconductor memories. DNA can be kept stable for millions of years. DNA as a medium for storage is also extremely dense and compact. Writing can be performed by encoding binary data onto strands </w:t>
      </w:r>
      <w:r w:rsidRPr="003A2F8E">
        <w:rPr>
          <w:rFonts w:ascii="Arial" w:hAnsi="Arial" w:cs="Arial"/>
        </w:rPr>
        <w:lastRenderedPageBreak/>
        <w:t>of DNA through the process of DNA synthesis. The DNA strand can be built up with the base pairs representing a specific letter sequence, through a series of deprotection and protection reactions. As from the read side, there is an enormous technology push to sequence DNA faster and faster and at lower cost. Progress in DNA sequencing has been amazing, even outpacing Moore’s law. But researchers still have a long way to go before reasonable targets (1Gb/s) can be reached. To realize this, faster fluidics, faster chemical reactions and much higher parallelism are needed than what is possible today.</w:t>
      </w:r>
    </w:p>
    <w:p w14:paraId="508EB0B6" w14:textId="77777777" w:rsidR="003A2F8E" w:rsidRPr="003A2F8E" w:rsidRDefault="003A2F8E" w:rsidP="00DA6395">
      <w:pPr>
        <w:pStyle w:val="Heading4"/>
      </w:pPr>
      <w:r w:rsidRPr="003A2F8E">
        <w:t>Conclusion</w:t>
      </w:r>
    </w:p>
    <w:p w14:paraId="0D1E1548" w14:textId="77777777" w:rsidR="003A2F8E" w:rsidRPr="003A2F8E" w:rsidRDefault="003A2F8E" w:rsidP="003A2F8E">
      <w:pPr>
        <w:jc w:val="both"/>
        <w:rPr>
          <w:rFonts w:ascii="Arial" w:hAnsi="Arial" w:cs="Arial"/>
        </w:rPr>
      </w:pPr>
      <w:r w:rsidRPr="003A2F8E">
        <w:rPr>
          <w:rFonts w:ascii="Arial" w:hAnsi="Arial" w:cs="Arial"/>
        </w:rPr>
        <w:t>It is clear that the classical memory roadmap cannot handle the zettabyte and yottabyte world in terms of energy, density, speed and cost. It will be crucial to improve and develop new memory and storage technologies.</w:t>
      </w:r>
    </w:p>
    <w:p w14:paraId="5623127E" w14:textId="77777777" w:rsidR="003A2F8E" w:rsidRPr="003A2F8E" w:rsidRDefault="003A2F8E" w:rsidP="003A2F8E">
      <w:pPr>
        <w:jc w:val="both"/>
        <w:rPr>
          <w:rFonts w:ascii="Arial" w:hAnsi="Arial" w:cs="Arial"/>
        </w:rPr>
      </w:pPr>
      <w:r w:rsidRPr="003A2F8E">
        <w:rPr>
          <w:rFonts w:ascii="Arial" w:hAnsi="Arial" w:cs="Arial"/>
        </w:rPr>
        <w:t>And, lastly, sustainability brings another aspect of the zettabyte and yottabyte eras forward: recycling. To be able to process and store all the data, massive amounts of devices will be produced. The advent of emerging technologies will also bring in new materials, which today are hardly recycled. The semiconductor industry should therefore also find ways to improve the recyclability of all these materials.</w:t>
      </w:r>
    </w:p>
    <w:p w14:paraId="1A89537A" w14:textId="77777777" w:rsidR="003A2F8E" w:rsidRPr="003A2F8E" w:rsidRDefault="003A2F8E" w:rsidP="00DA6395">
      <w:pPr>
        <w:pStyle w:val="Heading3"/>
      </w:pPr>
      <w:bookmarkStart w:id="381" w:name="_Toc42177362"/>
      <w:r w:rsidRPr="003A2F8E">
        <w:t>Compute-in-Memory</w:t>
      </w:r>
      <w:bookmarkEnd w:id="381"/>
    </w:p>
    <w:p w14:paraId="215431C9" w14:textId="5E055EE6" w:rsidR="003A2F8E" w:rsidRPr="003A2F8E" w:rsidRDefault="000C66C8" w:rsidP="003A2F8E">
      <w:pPr>
        <w:jc w:val="both"/>
        <w:rPr>
          <w:rFonts w:ascii="Arial" w:hAnsi="Arial" w:cs="Arial"/>
        </w:rPr>
      </w:pPr>
      <w:r>
        <w:rPr>
          <w:rFonts w:ascii="Arial" w:hAnsi="Arial" w:cs="Arial"/>
          <w:noProof/>
          <w:sz w:val="20"/>
          <w:szCs w:val="20"/>
        </w:rPr>
        <w:object w:dxaOrig="1440" w:dyaOrig="1440" w14:anchorId="60C16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5pt;margin-top:263.15pt;width:131.5pt;height:179.7pt;z-index:251669504;mso-wrap-edited:f;mso-width-percent:0;mso-height-percent:0;mso-position-horizontal-relative:margin;mso-position-vertical-relative:margin;mso-width-percent:0;mso-height-percent:0">
            <v:imagedata r:id="rId33" o:title=""/>
            <w10:wrap type="square" anchorx="margin" anchory="margin"/>
          </v:shape>
          <o:OLEObject Type="Embed" ProgID="AcroExch.Document.DC" ShapeID="_x0000_s1026" DrawAspect="Content" ObjectID="_1653978350" r:id="rId34"/>
        </w:object>
      </w:r>
      <w:r w:rsidR="003A2F8E" w:rsidRPr="003A2F8E">
        <w:rPr>
          <w:rFonts w:ascii="Arial" w:hAnsi="Arial" w:cs="Arial"/>
        </w:rPr>
        <w:fldChar w:fldCharType="begin"/>
      </w:r>
      <w:r w:rsidR="003A2F8E" w:rsidRPr="003A2F8E">
        <w:rPr>
          <w:rFonts w:ascii="Arial" w:hAnsi="Arial" w:cs="Arial"/>
        </w:rPr>
        <w:instrText xml:space="preserve"> REF _Ref39775252 \h </w:instrText>
      </w:r>
      <w:r w:rsidR="003A2F8E">
        <w:rPr>
          <w:rFonts w:ascii="Arial" w:hAnsi="Arial" w:cs="Arial"/>
        </w:rPr>
        <w:instrText xml:space="preserve"> \* MERGEFORMAT </w:instrText>
      </w:r>
      <w:r w:rsidR="003A2F8E" w:rsidRPr="003A2F8E">
        <w:rPr>
          <w:rFonts w:ascii="Arial" w:hAnsi="Arial" w:cs="Arial"/>
        </w:rPr>
      </w:r>
      <w:r w:rsidR="003A2F8E" w:rsidRPr="003A2F8E">
        <w:rPr>
          <w:rFonts w:ascii="Arial" w:hAnsi="Arial" w:cs="Arial"/>
        </w:rPr>
        <w:fldChar w:fldCharType="separate"/>
      </w:r>
      <w:r w:rsidR="003F0180" w:rsidRPr="003F0180">
        <w:rPr>
          <w:rFonts w:ascii="Arial" w:hAnsi="Arial" w:cs="Arial"/>
        </w:rPr>
        <w:t>Figure 10-3</w:t>
      </w:r>
      <w:r w:rsidR="003A2F8E" w:rsidRPr="003A2F8E">
        <w:rPr>
          <w:rFonts w:ascii="Arial" w:hAnsi="Arial" w:cs="Arial"/>
        </w:rPr>
        <w:fldChar w:fldCharType="end"/>
      </w:r>
      <w:r w:rsidR="003A2F8E" w:rsidRPr="003A2F8E">
        <w:rPr>
          <w:rFonts w:ascii="Arial" w:hAnsi="Arial" w:cs="Arial"/>
          <w:noProof/>
          <w:lang w:eastAsia="en-GB"/>
        </w:rPr>
        <mc:AlternateContent>
          <mc:Choice Requires="wps">
            <w:drawing>
              <wp:anchor distT="0" distB="0" distL="114300" distR="114300" simplePos="0" relativeHeight="251673600" behindDoc="0" locked="0" layoutInCell="1" allowOverlap="1" wp14:anchorId="7B1A9795" wp14:editId="46362225">
                <wp:simplePos x="0" y="0"/>
                <wp:positionH relativeFrom="column">
                  <wp:posOffset>67945</wp:posOffset>
                </wp:positionH>
                <wp:positionV relativeFrom="paragraph">
                  <wp:posOffset>2415540</wp:posOffset>
                </wp:positionV>
                <wp:extent cx="1670050" cy="40576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670050" cy="405765"/>
                        </a:xfrm>
                        <a:prstGeom prst="rect">
                          <a:avLst/>
                        </a:prstGeom>
                        <a:solidFill>
                          <a:prstClr val="white"/>
                        </a:solidFill>
                        <a:ln>
                          <a:noFill/>
                        </a:ln>
                      </wps:spPr>
                      <wps:txbx>
                        <w:txbxContent>
                          <w:p w14:paraId="05F84C31" w14:textId="26B5F90F" w:rsidR="00656164" w:rsidRPr="00D27BA3" w:rsidRDefault="00656164" w:rsidP="003A2F8E">
                            <w:pPr>
                              <w:pStyle w:val="Caption"/>
                              <w:rPr>
                                <w:noProof/>
                                <w:color w:val="auto"/>
                                <w:sz w:val="22"/>
                                <w:szCs w:val="22"/>
                              </w:rPr>
                            </w:pPr>
                            <w:bookmarkStart w:id="382" w:name="_Ref39775252"/>
                            <w:r w:rsidRPr="00D27BA3">
                              <w:rPr>
                                <w:color w:val="auto"/>
                                <w:sz w:val="22"/>
                                <w:szCs w:val="22"/>
                              </w:rPr>
                              <w:t>Figure 10-</w:t>
                            </w:r>
                            <w:r w:rsidRPr="00D27BA3">
                              <w:rPr>
                                <w:color w:val="auto"/>
                                <w:sz w:val="22"/>
                                <w:szCs w:val="22"/>
                              </w:rPr>
                              <w:fldChar w:fldCharType="begin"/>
                            </w:r>
                            <w:r w:rsidRPr="00D27BA3">
                              <w:rPr>
                                <w:color w:val="auto"/>
                                <w:sz w:val="22"/>
                                <w:szCs w:val="22"/>
                              </w:rPr>
                              <w:instrText xml:space="preserve"> SEQ Figure \* ARABIC </w:instrText>
                            </w:r>
                            <w:r w:rsidRPr="00D27BA3">
                              <w:rPr>
                                <w:color w:val="auto"/>
                                <w:sz w:val="22"/>
                                <w:szCs w:val="22"/>
                              </w:rPr>
                              <w:fldChar w:fldCharType="separate"/>
                            </w:r>
                            <w:r>
                              <w:rPr>
                                <w:noProof/>
                                <w:color w:val="auto"/>
                                <w:sz w:val="22"/>
                                <w:szCs w:val="22"/>
                              </w:rPr>
                              <w:t>3</w:t>
                            </w:r>
                            <w:r w:rsidRPr="00D27BA3">
                              <w:rPr>
                                <w:noProof/>
                                <w:color w:val="auto"/>
                                <w:sz w:val="22"/>
                                <w:szCs w:val="22"/>
                              </w:rPr>
                              <w:fldChar w:fldCharType="end"/>
                            </w:r>
                            <w:bookmarkEnd w:id="382"/>
                            <w:r w:rsidRPr="00D27BA3">
                              <w:rPr>
                                <w:color w:val="auto"/>
                                <w:sz w:val="22"/>
                                <w:szCs w:val="22"/>
                              </w:rPr>
                              <w:t>- Memories in computer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1A9795" id="_x0000_t202" coordsize="21600,21600" o:spt="202" path="m,l,21600r21600,l21600,xe">
                <v:stroke joinstyle="miter"/>
                <v:path gradientshapeok="t" o:connecttype="rect"/>
              </v:shapetype>
              <v:shape id="Text Box 14" o:spid="_x0000_s1026" type="#_x0000_t202" style="position:absolute;left:0;text-align:left;margin-left:5.35pt;margin-top:190.2pt;width:131.5pt;height:31.9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" stroked="f">
                <v:textbox style="mso-fit-shape-to-text:t" inset="0,0,0,0">
                  <w:txbxContent>
                    <w:p w14:paraId="05F84C31" w14:textId="26B5F90F" w:rsidR="00656164" w:rsidRPr="00D27BA3" w:rsidRDefault="00656164" w:rsidP="003A2F8E">
                      <w:pPr>
                        <w:pStyle w:val="Caption"/>
                        <w:rPr>
                          <w:noProof/>
                          <w:color w:val="auto"/>
                          <w:sz w:val="22"/>
                          <w:szCs w:val="22"/>
                        </w:rPr>
                      </w:pPr>
                      <w:bookmarkStart w:id="383" w:name="_Ref39775252"/>
                      <w:r w:rsidRPr="00D27BA3">
                        <w:rPr>
                          <w:color w:val="auto"/>
                          <w:sz w:val="22"/>
                          <w:szCs w:val="22"/>
                        </w:rPr>
                        <w:t>Figure 10-</w:t>
                      </w:r>
                      <w:r w:rsidRPr="00D27BA3">
                        <w:rPr>
                          <w:color w:val="auto"/>
                          <w:sz w:val="22"/>
                          <w:szCs w:val="22"/>
                        </w:rPr>
                        <w:fldChar w:fldCharType="begin"/>
                      </w:r>
                      <w:r w:rsidRPr="00D27BA3">
                        <w:rPr>
                          <w:color w:val="auto"/>
                          <w:sz w:val="22"/>
                          <w:szCs w:val="22"/>
                        </w:rPr>
                        <w:instrText xml:space="preserve"> SEQ Figure \* ARABIC </w:instrText>
                      </w:r>
                      <w:r w:rsidRPr="00D27BA3">
                        <w:rPr>
                          <w:color w:val="auto"/>
                          <w:sz w:val="22"/>
                          <w:szCs w:val="22"/>
                        </w:rPr>
                        <w:fldChar w:fldCharType="separate"/>
                      </w:r>
                      <w:r>
                        <w:rPr>
                          <w:noProof/>
                          <w:color w:val="auto"/>
                          <w:sz w:val="22"/>
                          <w:szCs w:val="22"/>
                        </w:rPr>
                        <w:t>3</w:t>
                      </w:r>
                      <w:r w:rsidRPr="00D27BA3">
                        <w:rPr>
                          <w:noProof/>
                          <w:color w:val="auto"/>
                          <w:sz w:val="22"/>
                          <w:szCs w:val="22"/>
                        </w:rPr>
                        <w:fldChar w:fldCharType="end"/>
                      </w:r>
                      <w:bookmarkEnd w:id="383"/>
                      <w:r w:rsidRPr="00D27BA3">
                        <w:rPr>
                          <w:color w:val="auto"/>
                          <w:sz w:val="22"/>
                          <w:szCs w:val="22"/>
                        </w:rPr>
                        <w:t>- Memories in computer architecture</w:t>
                      </w:r>
                    </w:p>
                  </w:txbxContent>
                </v:textbox>
                <w10:wrap type="square"/>
              </v:shape>
            </w:pict>
          </mc:Fallback>
        </mc:AlternateContent>
      </w:r>
      <w:r w:rsidR="003A2F8E" w:rsidRPr="003A2F8E">
        <w:rPr>
          <w:rFonts w:ascii="Arial" w:hAnsi="Arial" w:cs="Arial"/>
        </w:rPr>
        <w:t xml:space="preserve"> provides a classification of computer architectures and highlights the differences </w:t>
      </w:r>
      <w:r w:rsidR="008059BC">
        <w:rPr>
          <w:rFonts w:ascii="Arial" w:hAnsi="Arial" w:cs="Arial"/>
        </w:rPr>
        <w:t>[C10-</w:t>
      </w:r>
      <w:r w:rsidR="003A2F8E" w:rsidRPr="003A2F8E">
        <w:rPr>
          <w:rFonts w:ascii="Arial" w:hAnsi="Arial" w:cs="Arial"/>
        </w:rPr>
        <w:t xml:space="preserve">45]. Depending on where the result of the computation is produced, four possibilities can be identified; they are indicated with four circled numbers and can be grouped into two classes: Computation-outside-Memory (COM) and Computation-In-Memory (CIM). In COM the computing takes places outside the memory core, hence the need of data movement; it has two flavours. COM-Far refers to the traditional architectures such as CPU (circle 4 in </w:t>
      </w:r>
      <w:r w:rsidR="00543667">
        <w:rPr>
          <w:rFonts w:ascii="Arial" w:hAnsi="Arial" w:cs="Arial"/>
        </w:rPr>
        <w:t>Figure 10-</w:t>
      </w:r>
      <w:r w:rsidR="00CA1F69">
        <w:rPr>
          <w:rFonts w:ascii="Arial" w:hAnsi="Arial" w:cs="Arial"/>
        </w:rPr>
        <w:t>2)</w:t>
      </w:r>
      <w:r w:rsidR="003A2F8E" w:rsidRPr="003A2F8E">
        <w:rPr>
          <w:rFonts w:ascii="Arial" w:hAnsi="Arial" w:cs="Arial"/>
        </w:rPr>
        <w:t xml:space="preserve"> and CIM-Near refers to architectures that include computation units with the memory core(s) to form an SiP such as Hybrid Memory Cubes (circle 3). In CIM (based on memristive OR devices) the computing result is produced </w:t>
      </w:r>
      <w:r w:rsidR="003A2F8E" w:rsidRPr="003A2F8E">
        <w:rPr>
          <w:rFonts w:ascii="Arial" w:hAnsi="Arial" w:cs="Arial"/>
          <w:i/>
          <w:iCs/>
        </w:rPr>
        <w:t>within</w:t>
      </w:r>
      <w:r w:rsidR="003A2F8E" w:rsidRPr="003A2F8E">
        <w:rPr>
          <w:rFonts w:ascii="Arial" w:hAnsi="Arial" w:cs="Arial"/>
        </w:rPr>
        <w:t xml:space="preserve"> the memory core, and consists also of two flavours; CIM-A in which the result is produced within the </w:t>
      </w:r>
      <w:r w:rsidR="003A2F8E" w:rsidRPr="003A2F8E">
        <w:rPr>
          <w:rFonts w:ascii="Arial" w:hAnsi="Arial" w:cs="Arial"/>
          <w:i/>
          <w:iCs/>
        </w:rPr>
        <w:t>array</w:t>
      </w:r>
      <w:r w:rsidR="003A2F8E" w:rsidRPr="003A2F8E">
        <w:rPr>
          <w:rFonts w:ascii="Arial" w:hAnsi="Arial" w:cs="Arial"/>
        </w:rPr>
        <w:t xml:space="preserve"> such as IMPLY </w:t>
      </w:r>
      <w:r w:rsidR="008059BC">
        <w:rPr>
          <w:rFonts w:ascii="Arial" w:hAnsi="Arial" w:cs="Arial"/>
        </w:rPr>
        <w:t>[C10-</w:t>
      </w:r>
      <w:r w:rsidR="003A2F8E" w:rsidRPr="003A2F8E">
        <w:rPr>
          <w:rFonts w:ascii="Arial" w:hAnsi="Arial" w:cs="Arial"/>
        </w:rPr>
        <w:t xml:space="preserve">46] (circle 1), and CIM-P where the result is produced in the memory </w:t>
      </w:r>
      <w:r w:rsidR="003A2F8E" w:rsidRPr="003A2F8E">
        <w:rPr>
          <w:rFonts w:ascii="Arial" w:hAnsi="Arial" w:cs="Arial"/>
          <w:i/>
          <w:iCs/>
        </w:rPr>
        <w:t>peripheral</w:t>
      </w:r>
      <w:r w:rsidR="003A2F8E" w:rsidRPr="003A2F8E">
        <w:rPr>
          <w:rFonts w:ascii="Arial" w:hAnsi="Arial" w:cs="Arial"/>
        </w:rPr>
        <w:t xml:space="preserve"> circuits such as Scouting Logic </w:t>
      </w:r>
      <w:r w:rsidR="008059BC">
        <w:rPr>
          <w:rFonts w:ascii="Arial" w:hAnsi="Arial" w:cs="Arial"/>
        </w:rPr>
        <w:t>[C10-</w:t>
      </w:r>
      <w:r w:rsidR="003A2F8E" w:rsidRPr="003A2F8E">
        <w:rPr>
          <w:rFonts w:ascii="Arial" w:hAnsi="Arial" w:cs="Arial"/>
        </w:rPr>
        <w:t xml:space="preserve">47] (circle 2).  Note that CIM architecture have relatively low amount of data movement outside the memory core and may exploit the maximum bandwidth (as operations happen inside the memory array). However, CIM requires more design effort to make the computing feasible (e.g., complex read-out circuits); this may result in large complexity which could limit the scalability. Moreover, as CIM performs computations directly on the data residing inside the memory, the robustness and performance are heavily impacted by data misalignment. </w:t>
      </w:r>
    </w:p>
    <w:p w14:paraId="3606A3EB" w14:textId="77777777" w:rsidR="003A2F8E" w:rsidRPr="003A2F8E" w:rsidRDefault="003A2F8E" w:rsidP="003A2F8E">
      <w:pPr>
        <w:jc w:val="both"/>
        <w:rPr>
          <w:rFonts w:ascii="Arial" w:hAnsi="Arial" w:cs="Arial"/>
        </w:rPr>
      </w:pPr>
      <w:r w:rsidRPr="003A2F8E">
        <w:rPr>
          <w:rFonts w:ascii="Arial" w:hAnsi="Arial" w:cs="Arial"/>
        </w:rPr>
        <w:t xml:space="preserve">If successful, CIM will be able to significantly reduce the power consumption and enable massive parallelism; hence, increase computing energy and area efficiency by orders of magnitudes. This may enable new power-constrained computing paradigms at the edge such as Neuromorphic computing, Artificial neural networks, Bio-inspired neural networks, etc.  Hence, a lot of application domains can strongly benefit from this computation; examples are IoT devices, wearable devices, wireless sensors, automotive, etc.  However, research on CIM </w:t>
      </w:r>
      <w:r w:rsidRPr="003A2F8E">
        <w:rPr>
          <w:rFonts w:ascii="Arial" w:hAnsi="Arial" w:cs="Arial"/>
        </w:rPr>
        <w:lastRenderedPageBreak/>
        <w:t>(based on memsristive device) is still in its infancy stage, and the challenges are substantial at all levels, including material/technology, circuit and architecture, and tools and compilers.</w:t>
      </w:r>
    </w:p>
    <w:p w14:paraId="37CB352E" w14:textId="77777777" w:rsidR="003A2F8E" w:rsidRPr="003A2F8E" w:rsidRDefault="003A2F8E" w:rsidP="00124439">
      <w:pPr>
        <w:pStyle w:val="ListParagraph"/>
        <w:numPr>
          <w:ilvl w:val="0"/>
          <w:numId w:val="38"/>
        </w:numPr>
        <w:jc w:val="both"/>
        <w:rPr>
          <w:rFonts w:ascii="Arial" w:hAnsi="Arial" w:cs="Arial"/>
        </w:rPr>
      </w:pPr>
      <w:r w:rsidRPr="003A2F8E">
        <w:rPr>
          <w:rFonts w:ascii="Arial" w:hAnsi="Arial" w:cs="Arial"/>
          <w:i/>
          <w:iCs/>
        </w:rPr>
        <w:t>Materials/Technology</w:t>
      </w:r>
      <w:r w:rsidRPr="003A2F8E">
        <w:rPr>
          <w:rFonts w:ascii="Arial" w:hAnsi="Arial" w:cs="Arial"/>
        </w:rPr>
        <w:t xml:space="preserve">:  there are still many open questions and aspects related to the technology which help in making memristive device-based computing a reality. Examples are device endurance, high resistance ratio between the off and on state of the devices, multi-level storage, precision of analog weight representation, resistance drift, inherent device-to-device and cycle-to-cycle variations, yield issues, exploring 3D chip integration, etc. </w:t>
      </w:r>
    </w:p>
    <w:p w14:paraId="09C3F224" w14:textId="77777777" w:rsidR="003A2F8E" w:rsidRPr="003A2F8E" w:rsidRDefault="003A2F8E" w:rsidP="00124439">
      <w:pPr>
        <w:pStyle w:val="ListParagraph"/>
        <w:numPr>
          <w:ilvl w:val="0"/>
          <w:numId w:val="38"/>
        </w:numPr>
        <w:jc w:val="both"/>
        <w:rPr>
          <w:rFonts w:ascii="Arial" w:hAnsi="Arial" w:cs="Arial"/>
        </w:rPr>
      </w:pPr>
      <w:r w:rsidRPr="003A2F8E">
        <w:rPr>
          <w:rFonts w:ascii="Arial" w:hAnsi="Arial" w:cs="Arial"/>
          <w:i/>
          <w:iCs/>
        </w:rPr>
        <w:t>Circuit/Architecture/communications</w:t>
      </w:r>
      <w:r w:rsidRPr="003A2F8E">
        <w:rPr>
          <w:rFonts w:ascii="Arial" w:hAnsi="Arial" w:cs="Arial"/>
        </w:rPr>
        <w:t xml:space="preserve">: Analog CIM comes with new challenges to realize (ultra) low power and simple designs of the array structure, peripheral circuits and the communication infrastructure within the CIM and to the I/O interface. Examples are high precision programming of memory elements, relatively stochastic process of analog programming, complexity of signal conversion circuit (digital to analog and analog-to-digital converters), accuracy of measuring (e.g., the current as a metric of the output), scalability of the crossbars and their impact on the accuracy of computing,  the partitioning across crossbars and the corresponding intra- and inter-communication under various constrains such as latency, bandwidth  and power, etc.   </w:t>
      </w:r>
    </w:p>
    <w:p w14:paraId="3D2D0D0B" w14:textId="77777777" w:rsidR="003A2F8E" w:rsidRPr="003A2F8E" w:rsidRDefault="003A2F8E" w:rsidP="00124439">
      <w:pPr>
        <w:pStyle w:val="ListParagraph"/>
        <w:numPr>
          <w:ilvl w:val="0"/>
          <w:numId w:val="38"/>
        </w:numPr>
        <w:jc w:val="both"/>
        <w:rPr>
          <w:rFonts w:ascii="Arial" w:hAnsi="Arial" w:cs="Arial"/>
        </w:rPr>
      </w:pPr>
      <w:r w:rsidRPr="003A2F8E">
        <w:rPr>
          <w:rFonts w:ascii="Arial" w:hAnsi="Arial" w:cs="Arial"/>
          <w:i/>
          <w:iCs/>
        </w:rPr>
        <w:t>Tools/Compilers</w:t>
      </w:r>
      <w:r w:rsidRPr="003A2F8E">
        <w:rPr>
          <w:rFonts w:ascii="Arial" w:hAnsi="Arial" w:cs="Arial"/>
        </w:rPr>
        <w:t xml:space="preserve">: Profiling , simulation and design  tools can help the user not only to identify the kernels that can be best accelerated  on CIM  and estimate the benefit, but also perform design exploration to better guide optimal designs and automatic integration techniques for CMOS and emerging memrisive devices (e.g., monolithic stacking). </w:t>
      </w:r>
    </w:p>
    <w:p w14:paraId="045A4128" w14:textId="77777777" w:rsidR="003A2F8E" w:rsidRPr="003A2F8E" w:rsidRDefault="003A2F8E" w:rsidP="003A2F8E">
      <w:pPr>
        <w:pStyle w:val="ListParagraph"/>
        <w:ind w:left="360"/>
        <w:jc w:val="both"/>
        <w:rPr>
          <w:rFonts w:ascii="Arial" w:hAnsi="Arial" w:cs="Arial"/>
          <w:sz w:val="14"/>
          <w:szCs w:val="14"/>
        </w:rPr>
      </w:pPr>
    </w:p>
    <w:p w14:paraId="15824D10" w14:textId="77777777" w:rsidR="003A2F8E" w:rsidRPr="003A2F8E" w:rsidRDefault="003A2F8E" w:rsidP="003A2F8E">
      <w:pPr>
        <w:jc w:val="both"/>
        <w:rPr>
          <w:rFonts w:ascii="Arial" w:hAnsi="Arial" w:cs="Arial"/>
        </w:rPr>
      </w:pPr>
      <w:r w:rsidRPr="003A2F8E">
        <w:rPr>
          <w:rFonts w:ascii="Arial" w:hAnsi="Arial" w:cs="Arial"/>
        </w:rPr>
        <w:t>As of today, most of the work in the public domain is based on simulations and/or small circuit designs. It is not clear yet when the technology will be mature enough to start commercialization for the first killing applications.  Nevertheless, some start-ups on memristor technologies and their applications are already emerging; examples are Crossbar, KNOWM, BioInspired, and GrAI One.</w:t>
      </w:r>
    </w:p>
    <w:p w14:paraId="42D314C3" w14:textId="3BCF4F9D" w:rsidR="003A2F8E" w:rsidRDefault="003A2F8E" w:rsidP="003A2F8E">
      <w:pPr>
        <w:pStyle w:val="Heading2"/>
        <w:rPr>
          <w:rFonts w:cs="Arial"/>
        </w:rPr>
      </w:pPr>
      <w:bookmarkStart w:id="383" w:name="_Toc42177363"/>
      <w:r w:rsidRPr="003A2F8E">
        <w:rPr>
          <w:rFonts w:cs="Arial"/>
        </w:rPr>
        <w:t>Hardware for Security</w:t>
      </w:r>
      <w:bookmarkEnd w:id="383"/>
    </w:p>
    <w:p w14:paraId="1B2E1513" w14:textId="77777777" w:rsidR="008F07A5" w:rsidRPr="008F07A5" w:rsidRDefault="008F07A5" w:rsidP="008F07A5"/>
    <w:p w14:paraId="36D04E4A" w14:textId="59E3FEE6" w:rsidR="003A2F8E" w:rsidRPr="003A2F8E" w:rsidRDefault="003A2F8E" w:rsidP="003A2F8E">
      <w:pPr>
        <w:jc w:val="both"/>
        <w:rPr>
          <w:rFonts w:ascii="Arial" w:hAnsi="Arial" w:cs="Arial"/>
        </w:rPr>
      </w:pPr>
      <w:r w:rsidRPr="003A2F8E">
        <w:rPr>
          <w:rFonts w:ascii="Arial" w:hAnsi="Arial" w:cs="Arial"/>
        </w:rPr>
        <w:t xml:space="preserve">Due to their cost efficiency and promised performance improvements, decentralized deployments are experiencing an important raise of interest in the industrial community, especially in high-risk environments like production sites. Consequently, two main features related to them, namely security and privacy, are getting more and more implemented as hardware (HW) features. In parallel, one can easily witness how all aspect of nowadays life are increasingly supported by HW with extended lifetimes, which forms the core of the so-called Internet of Everything. Today, all vendors compete towards rapid and widescale deployments of billions of devices in the most diverse fields like autonomous vehicles, smart cities, smart homes, and industrial automation </w:t>
      </w:r>
      <w:r w:rsidR="008059BC">
        <w:rPr>
          <w:rFonts w:ascii="Arial" w:hAnsi="Arial" w:cs="Arial"/>
        </w:rPr>
        <w:t>[C10-</w:t>
      </w:r>
      <w:r w:rsidRPr="003A2F8E">
        <w:rPr>
          <w:rFonts w:ascii="Arial" w:hAnsi="Arial" w:cs="Arial"/>
        </w:rPr>
        <w:t xml:space="preserve">48]. Unfortunately, while a long lifetime of the HW is required, today’s state of the art is unfit to ensure such needed-for long-term security feature. </w:t>
      </w:r>
      <w:r w:rsidRPr="003A2F8E">
        <w:rPr>
          <w:rFonts w:ascii="Arial" w:hAnsi="Arial" w:cs="Arial"/>
          <w:i/>
          <w:iCs/>
        </w:rPr>
        <w:t>Sustainable security</w:t>
      </w:r>
      <w:r w:rsidRPr="003A2F8E">
        <w:rPr>
          <w:rFonts w:ascii="Arial" w:hAnsi="Arial" w:cs="Arial"/>
        </w:rPr>
        <w:t xml:space="preserve"> is therefore a major concern in the industrial ecosystem, as without it billions of vulnerable but active devices will pose a substantial and increasing security risk to the broader society. Therefore there is the need for research actions into sustainable security and privacy, which will shape trustworthy devices that can maintain well-defined guarantees (security, privacy, safety) of critical services over extended life-times (e.g. 20+ years) at affordable cost </w:t>
      </w:r>
      <w:r w:rsidR="008059BC">
        <w:rPr>
          <w:rFonts w:ascii="Arial" w:hAnsi="Arial" w:cs="Arial"/>
        </w:rPr>
        <w:t>[C10-</w:t>
      </w:r>
      <w:r w:rsidRPr="003A2F8E">
        <w:rPr>
          <w:rFonts w:ascii="Arial" w:hAnsi="Arial" w:cs="Arial"/>
        </w:rPr>
        <w:t>49].</w:t>
      </w:r>
    </w:p>
    <w:p w14:paraId="7058315D" w14:textId="69EC0E96" w:rsidR="003A2F8E" w:rsidRPr="003A2F8E" w:rsidRDefault="003A2F8E" w:rsidP="003A2F8E">
      <w:pPr>
        <w:jc w:val="both"/>
        <w:rPr>
          <w:rFonts w:ascii="Arial" w:hAnsi="Arial" w:cs="Arial"/>
        </w:rPr>
      </w:pPr>
      <w:r w:rsidRPr="003A2F8E">
        <w:rPr>
          <w:rFonts w:ascii="Arial" w:hAnsi="Arial" w:cs="Arial"/>
        </w:rPr>
        <w:t xml:space="preserve">Today, a constant stream of risks from many sources (SW, HW, Crypto, Infrastructure, …) renders devices vulnerable and enables mass-scale attacks such as the Mirai Botnet </w:t>
      </w:r>
      <w:r w:rsidR="008059BC">
        <w:rPr>
          <w:rFonts w:ascii="Arial" w:hAnsi="Arial" w:cs="Arial"/>
        </w:rPr>
        <w:t>[C10-</w:t>
      </w:r>
      <w:r w:rsidRPr="003A2F8E">
        <w:rPr>
          <w:rFonts w:ascii="Arial" w:hAnsi="Arial" w:cs="Arial"/>
        </w:rPr>
        <w:t xml:space="preserve">50]. Devices can only remain secure under active and costly maintenance (vulnerability </w:t>
      </w:r>
      <w:r w:rsidRPr="003A2F8E">
        <w:rPr>
          <w:rFonts w:ascii="Arial" w:hAnsi="Arial" w:cs="Arial"/>
        </w:rPr>
        <w:lastRenderedPageBreak/>
        <w:t>management, patching, update), which requires a dedicated development team per vendor supporting legacy devices. In practice, three approaches to long-term security are predominant – none of them satisfactory:</w:t>
      </w:r>
    </w:p>
    <w:p w14:paraId="026ABDBE" w14:textId="77777777" w:rsidR="003A2F8E" w:rsidRPr="003A2F8E" w:rsidRDefault="003A2F8E" w:rsidP="00124439">
      <w:pPr>
        <w:pStyle w:val="ListParagraph"/>
        <w:numPr>
          <w:ilvl w:val="0"/>
          <w:numId w:val="17"/>
        </w:numPr>
        <w:jc w:val="both"/>
        <w:rPr>
          <w:rFonts w:ascii="Arial" w:hAnsi="Arial" w:cs="Arial"/>
        </w:rPr>
      </w:pPr>
      <w:r w:rsidRPr="003A2F8E">
        <w:rPr>
          <w:rFonts w:ascii="Arial" w:hAnsi="Arial" w:cs="Arial"/>
          <w:i/>
          <w:iCs/>
        </w:rPr>
        <w:t>No or Time-Limited Maintenance</w:t>
      </w:r>
      <w:r w:rsidRPr="003A2F8E">
        <w:rPr>
          <w:rFonts w:ascii="Arial" w:hAnsi="Arial" w:cs="Arial"/>
        </w:rPr>
        <w:t>:</w:t>
      </w:r>
      <w:r w:rsidRPr="003A2F8E">
        <w:rPr>
          <w:rFonts w:ascii="Arial" w:hAnsi="Arial" w:cs="Arial"/>
          <w:b/>
          <w:bCs/>
        </w:rPr>
        <w:t xml:space="preserve"> </w:t>
      </w:r>
      <w:r w:rsidRPr="003A2F8E">
        <w:rPr>
          <w:rFonts w:ascii="Arial" w:hAnsi="Arial" w:cs="Arial"/>
        </w:rPr>
        <w:t>The most common approach is to only provide limited-time maintenance and accept the fact that devices remain in operation while security rapidly degrades. This creates a substantial risk to society and to users of critical services.</w:t>
      </w:r>
    </w:p>
    <w:p w14:paraId="53FDC65D" w14:textId="77777777" w:rsidR="003A2F8E" w:rsidRPr="003A2F8E" w:rsidRDefault="003A2F8E" w:rsidP="00124439">
      <w:pPr>
        <w:pStyle w:val="ListParagraph"/>
        <w:numPr>
          <w:ilvl w:val="0"/>
          <w:numId w:val="17"/>
        </w:numPr>
        <w:jc w:val="both"/>
        <w:rPr>
          <w:rFonts w:ascii="Arial" w:hAnsi="Arial" w:cs="Arial"/>
        </w:rPr>
      </w:pPr>
      <w:r w:rsidRPr="003A2F8E">
        <w:rPr>
          <w:rFonts w:ascii="Arial" w:hAnsi="Arial" w:cs="Arial"/>
          <w:i/>
          <w:iCs/>
        </w:rPr>
        <w:t>Limit the Device Lifetime</w:t>
      </w:r>
      <w:r w:rsidRPr="003A2F8E">
        <w:rPr>
          <w:rFonts w:ascii="Arial" w:hAnsi="Arial" w:cs="Arial"/>
        </w:rPr>
        <w:t xml:space="preserve">: Vendors sell devices with a limited life-time (e.g. limited by warranty). Some vendors use remote update to render devices unusable afterwards. This is not satisfying for users and not environmentally sustainable. </w:t>
      </w:r>
    </w:p>
    <w:p w14:paraId="49AFBB4C" w14:textId="77777777" w:rsidR="003A2F8E" w:rsidRPr="003A2F8E" w:rsidRDefault="003A2F8E" w:rsidP="00124439">
      <w:pPr>
        <w:pStyle w:val="ListParagraph"/>
        <w:numPr>
          <w:ilvl w:val="0"/>
          <w:numId w:val="17"/>
        </w:numPr>
        <w:jc w:val="both"/>
        <w:rPr>
          <w:rFonts w:ascii="Arial" w:hAnsi="Arial" w:cs="Arial"/>
        </w:rPr>
      </w:pPr>
      <w:r w:rsidRPr="003A2F8E">
        <w:rPr>
          <w:rFonts w:ascii="Arial" w:hAnsi="Arial" w:cs="Arial"/>
          <w:i/>
          <w:iCs/>
        </w:rPr>
        <w:t>Continuous Maintenance and Service Contracts</w:t>
      </w:r>
      <w:r w:rsidRPr="003A2F8E">
        <w:rPr>
          <w:rFonts w:ascii="Arial" w:hAnsi="Arial" w:cs="Arial"/>
        </w:rPr>
        <w:t>:</w:t>
      </w:r>
      <w:r w:rsidRPr="003A2F8E">
        <w:rPr>
          <w:rFonts w:ascii="Arial" w:hAnsi="Arial" w:cs="Arial"/>
          <w:b/>
          <w:bCs/>
        </w:rPr>
        <w:t xml:space="preserve"> </w:t>
      </w:r>
      <w:r w:rsidRPr="003A2F8E">
        <w:rPr>
          <w:rFonts w:ascii="Arial" w:hAnsi="Arial" w:cs="Arial"/>
        </w:rPr>
        <w:t xml:space="preserve">For some segments, vendors can offer “devices as a service”, by which vendors are paid for continuous maintenance including security. While this costly approach works for some industrial settings, it will not be realistic for the majority of the existing scenarios. </w:t>
      </w:r>
    </w:p>
    <w:p w14:paraId="75B13776" w14:textId="77777777" w:rsidR="003A2F8E" w:rsidRPr="003A2F8E" w:rsidRDefault="003A2F8E" w:rsidP="003A2F8E">
      <w:pPr>
        <w:jc w:val="both"/>
        <w:rPr>
          <w:rFonts w:ascii="Arial" w:hAnsi="Arial" w:cs="Arial"/>
        </w:rPr>
      </w:pPr>
      <w:r w:rsidRPr="003A2F8E">
        <w:rPr>
          <w:rFonts w:ascii="Arial" w:hAnsi="Arial" w:cs="Arial"/>
        </w:rPr>
        <w:t>To solve the problem of sustainable security and privacy, we believe that multiple research areas must be pursued in parallel to mitigate risks to long-term security:</w:t>
      </w:r>
    </w:p>
    <w:p w14:paraId="2AA99671" w14:textId="77777777" w:rsidR="003A2F8E" w:rsidRPr="003A2F8E" w:rsidRDefault="003A2F8E" w:rsidP="00124439">
      <w:pPr>
        <w:pStyle w:val="ListParagraph"/>
        <w:numPr>
          <w:ilvl w:val="0"/>
          <w:numId w:val="16"/>
        </w:numPr>
        <w:spacing w:after="120" w:line="240" w:lineRule="auto"/>
        <w:ind w:left="714" w:hanging="357"/>
        <w:contextualSpacing w:val="0"/>
        <w:jc w:val="both"/>
        <w:rPr>
          <w:rFonts w:ascii="Arial" w:eastAsia="Times New Roman" w:hAnsi="Arial" w:cs="Arial"/>
          <w:lang w:val="en-US"/>
        </w:rPr>
      </w:pPr>
      <w:r w:rsidRPr="003A2F8E">
        <w:rPr>
          <w:rFonts w:ascii="Arial" w:eastAsia="Times New Roman" w:hAnsi="Arial" w:cs="Arial"/>
          <w:i/>
          <w:iCs/>
          <w:lang w:val="en-US"/>
        </w:rPr>
        <w:t>Long-term Security Maintenance</w:t>
      </w:r>
      <w:r w:rsidRPr="003A2F8E">
        <w:rPr>
          <w:rFonts w:ascii="Arial" w:eastAsia="Times New Roman" w:hAnsi="Arial" w:cs="Arial"/>
          <w:lang w:val="en-US"/>
        </w:rPr>
        <w:t xml:space="preserve">. Smart systems are increasingly deployed in systems that have a long lifetime. Examples include smart cities, smart infrastructure, industrial, and vehicles. Today, each individual system requires costly maintenance (vulnerability scanning, bug fixing, patching, …). This will create a maintenance nightmare for systems that live 20+ years. </w:t>
      </w:r>
      <w:r w:rsidRPr="003A2F8E">
        <w:rPr>
          <w:rFonts w:ascii="Arial" w:eastAsia="Times New Roman" w:hAnsi="Arial" w:cs="Arial"/>
          <w:i/>
          <w:iCs/>
          <w:lang w:val="en-US"/>
        </w:rPr>
        <w:t>We suggest pursuing research on how to build systems that self-maintain their security for 20+ years with minimal maintenance cost.</w:t>
      </w:r>
    </w:p>
    <w:p w14:paraId="46FD282B" w14:textId="77777777" w:rsidR="003A2F8E" w:rsidRPr="003A2F8E" w:rsidRDefault="003A2F8E" w:rsidP="00124439">
      <w:pPr>
        <w:pStyle w:val="ListParagraph"/>
        <w:numPr>
          <w:ilvl w:val="0"/>
          <w:numId w:val="16"/>
        </w:numPr>
        <w:spacing w:after="120" w:line="240" w:lineRule="auto"/>
        <w:ind w:left="714" w:hanging="357"/>
        <w:contextualSpacing w:val="0"/>
        <w:jc w:val="both"/>
        <w:rPr>
          <w:rFonts w:ascii="Arial" w:eastAsia="Times New Roman" w:hAnsi="Arial" w:cs="Arial"/>
          <w:lang w:val="en-US"/>
        </w:rPr>
      </w:pPr>
      <w:r w:rsidRPr="003A2F8E">
        <w:rPr>
          <w:rFonts w:ascii="Arial" w:eastAsia="Times New Roman" w:hAnsi="Arial" w:cs="Arial"/>
          <w:i/>
          <w:iCs/>
          <w:lang w:val="en-US"/>
        </w:rPr>
        <w:t>Fail-Security + Survivability under Major Attacks.</w:t>
      </w:r>
      <w:r w:rsidRPr="003A2F8E">
        <w:rPr>
          <w:rFonts w:ascii="Arial" w:eastAsia="Times New Roman" w:hAnsi="Arial" w:cs="Arial"/>
          <w:lang w:val="en-US"/>
        </w:rPr>
        <w:t xml:space="preserve"> Even though everyone would agree that designing secure systems is an indispensable feature, in reality the currently deployed systems are far from perfect: if a system was successfully attacked, security can no longer be guaranteed at all, and systems need most of the time to be manually restored, cleaned, and patched. </w:t>
      </w:r>
      <w:r w:rsidRPr="003A2F8E">
        <w:rPr>
          <w:rFonts w:ascii="Arial" w:eastAsia="Times New Roman" w:hAnsi="Arial" w:cs="Arial"/>
          <w:i/>
          <w:iCs/>
          <w:lang w:val="en-US"/>
        </w:rPr>
        <w:t>We therefore suggest exploring new HW mechanisms that allow graceful degradation under attacks while supporting automated recovery of security while the system maintains its critical services</w:t>
      </w:r>
      <w:r w:rsidRPr="003A2F8E">
        <w:rPr>
          <w:rFonts w:ascii="Arial" w:eastAsia="Times New Roman" w:hAnsi="Arial" w:cs="Arial"/>
          <w:lang w:val="en-US"/>
        </w:rPr>
        <w:t>.</w:t>
      </w:r>
    </w:p>
    <w:p w14:paraId="78FADF85" w14:textId="77777777" w:rsidR="003A2F8E" w:rsidRPr="003A2F8E" w:rsidRDefault="003A2F8E" w:rsidP="00124439">
      <w:pPr>
        <w:pStyle w:val="ListParagraph"/>
        <w:numPr>
          <w:ilvl w:val="0"/>
          <w:numId w:val="16"/>
        </w:numPr>
        <w:spacing w:after="0" w:line="240" w:lineRule="auto"/>
        <w:contextualSpacing w:val="0"/>
        <w:jc w:val="both"/>
        <w:rPr>
          <w:rFonts w:ascii="Arial" w:eastAsia="Times New Roman" w:hAnsi="Arial" w:cs="Arial"/>
          <w:lang w:val="en-US"/>
        </w:rPr>
      </w:pPr>
      <w:r w:rsidRPr="003A2F8E">
        <w:rPr>
          <w:rFonts w:ascii="Arial" w:eastAsia="Times New Roman" w:hAnsi="Arial" w:cs="Arial"/>
          <w:i/>
          <w:iCs/>
          <w:lang w:val="en-US"/>
        </w:rPr>
        <w:t>HW Security Roadmap towards Post-Quantum Secure Systems:</w:t>
      </w:r>
      <w:r w:rsidRPr="003A2F8E">
        <w:rPr>
          <w:rFonts w:ascii="Arial" w:eastAsia="Times New Roman" w:hAnsi="Arial" w:cs="Arial"/>
          <w:b/>
          <w:bCs/>
          <w:lang w:val="en-US"/>
        </w:rPr>
        <w:t xml:space="preserve"> </w:t>
      </w:r>
      <w:r w:rsidRPr="003A2F8E">
        <w:rPr>
          <w:rFonts w:ascii="Arial" w:eastAsia="Times New Roman" w:hAnsi="Arial" w:cs="Arial"/>
          <w:lang w:val="en-US"/>
        </w:rPr>
        <w:t xml:space="preserve">We believe that quantum computing can break today’s HW implemented security mechanisms. </w:t>
      </w:r>
      <w:r w:rsidRPr="003A2F8E">
        <w:rPr>
          <w:rFonts w:ascii="Arial" w:eastAsia="Times New Roman" w:hAnsi="Arial" w:cs="Arial"/>
          <w:i/>
          <w:iCs/>
          <w:lang w:val="en-US"/>
        </w:rPr>
        <w:t>Since there is no one-size fits all for post quantum security,</w:t>
      </w:r>
      <w:r w:rsidRPr="003A2F8E">
        <w:rPr>
          <w:rFonts w:ascii="Arial" w:eastAsia="Times New Roman" w:hAnsi="Arial" w:cs="Arial"/>
          <w:lang w:val="en-US"/>
        </w:rPr>
        <w:t xml:space="preserve"> </w:t>
      </w:r>
      <w:r w:rsidRPr="003A2F8E">
        <w:rPr>
          <w:rFonts w:ascii="Arial" w:eastAsia="Times New Roman" w:hAnsi="Arial" w:cs="Arial"/>
          <w:i/>
          <w:iCs/>
          <w:lang w:val="en-US"/>
        </w:rPr>
        <w:t>it is important to analyze a wide range of usages and make appropriate recommendations how to mitigate this risk</w:t>
      </w:r>
      <w:r w:rsidRPr="003A2F8E">
        <w:rPr>
          <w:rFonts w:ascii="Arial" w:eastAsia="Times New Roman" w:hAnsi="Arial" w:cs="Arial"/>
          <w:lang w:val="en-US"/>
        </w:rPr>
        <w:t>.</w:t>
      </w:r>
    </w:p>
    <w:p w14:paraId="4B5DF2B8" w14:textId="77777777" w:rsidR="003A2F8E" w:rsidRPr="003A2F8E" w:rsidRDefault="003A2F8E" w:rsidP="003A2F8E">
      <w:pPr>
        <w:jc w:val="both"/>
        <w:rPr>
          <w:rFonts w:ascii="Arial" w:hAnsi="Arial" w:cs="Arial"/>
        </w:rPr>
      </w:pPr>
    </w:p>
    <w:p w14:paraId="6E354AFE" w14:textId="0A5FC926" w:rsidR="003A2F8E" w:rsidRDefault="003A2F8E" w:rsidP="003A2F8E">
      <w:pPr>
        <w:pStyle w:val="Heading2"/>
        <w:rPr>
          <w:rFonts w:cs="Arial"/>
        </w:rPr>
      </w:pPr>
      <w:bookmarkStart w:id="384" w:name="_Toc42177364"/>
      <w:r w:rsidRPr="003A2F8E">
        <w:rPr>
          <w:rFonts w:cs="Arial"/>
        </w:rPr>
        <w:t>Opportunities for IoT Components and Devices</w:t>
      </w:r>
      <w:bookmarkEnd w:id="384"/>
    </w:p>
    <w:p w14:paraId="17B47047" w14:textId="77777777" w:rsidR="008F07A5" w:rsidRPr="008F07A5" w:rsidRDefault="008F07A5" w:rsidP="008F07A5"/>
    <w:p w14:paraId="0D8ADD6D"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Deploying and managing a large set of distributed devices with constrained capabilities is a complex task. Moreover, updating and maintaining devices deployed in the field is critical to keep the functionality and the security of the IoT systems. To achieve the full functionality expected of an IoT system, research should be done in advanced network reorganization and dynamic function reassignment. Research is needed for providing new IoT device management techniques that are adapted to the evolving distributed architectures for IoT systems based on an open device management ecosystem. </w:t>
      </w:r>
    </w:p>
    <w:p w14:paraId="235D487C"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Components (micro-electronic components) and devices mainly for IoT and vertical sector applications are essential elements of future secure and trusted networks and to support the digital autonomy of Europe. With respect to the increasing demand and expectation of secure and trusted networks, especially for critical infrastructures, there should be European </w:t>
      </w:r>
      <w:r w:rsidRPr="003A2F8E">
        <w:rPr>
          <w:rFonts w:ascii="Arial" w:hAnsi="Arial" w:cs="Arial"/>
          <w:lang w:eastAsia="de-DE"/>
        </w:rPr>
        <w:lastRenderedPageBreak/>
        <w:t>providers for such devices as an additional source to latest technologies to complement the European value chain and mitigate the existing gaps.</w:t>
      </w:r>
    </w:p>
    <w:p w14:paraId="4CB28521" w14:textId="77777777" w:rsidR="003A2F8E" w:rsidRPr="003A2F8E" w:rsidRDefault="003A2F8E" w:rsidP="00DA6395">
      <w:pPr>
        <w:pStyle w:val="Heading3"/>
      </w:pPr>
      <w:bookmarkStart w:id="385" w:name="_Toc42177365"/>
      <w:r w:rsidRPr="003A2F8E">
        <w:t>Approach for components</w:t>
      </w:r>
      <w:bookmarkEnd w:id="385"/>
    </w:p>
    <w:p w14:paraId="77AA12C9" w14:textId="77777777" w:rsidR="003A2F8E" w:rsidRPr="003A2F8E" w:rsidRDefault="003A2F8E" w:rsidP="003A2F8E">
      <w:pPr>
        <w:jc w:val="both"/>
        <w:rPr>
          <w:rFonts w:ascii="Arial" w:hAnsi="Arial" w:cs="Arial"/>
          <w:lang w:eastAsia="de-DE"/>
        </w:rPr>
      </w:pPr>
      <w:r w:rsidRPr="003A2F8E">
        <w:rPr>
          <w:rFonts w:ascii="Arial" w:hAnsi="Arial" w:cs="Arial"/>
          <w:lang w:eastAsia="de-DE"/>
        </w:rPr>
        <w:t>European semiconductor players are stronger in IoT and secured solutions, while mass-market oriented market are dominated by US or Asian players. For European industry to capture new business opportunities associated with our connected world, it is crucial to support European technological leadership in connectivity supporting digitisation based on IoT and Systems of Systems technologies.</w:t>
      </w:r>
    </w:p>
    <w:p w14:paraId="529F9404" w14:textId="77777777" w:rsidR="003A2F8E" w:rsidRPr="003A2F8E" w:rsidRDefault="003A2F8E" w:rsidP="003A2F8E">
      <w:pPr>
        <w:jc w:val="both"/>
        <w:rPr>
          <w:rFonts w:ascii="Arial" w:hAnsi="Arial" w:cs="Arial"/>
          <w:lang w:eastAsia="de-DE"/>
        </w:rPr>
      </w:pPr>
      <w:r w:rsidRPr="003A2F8E">
        <w:rPr>
          <w:rFonts w:ascii="Arial" w:hAnsi="Arial" w:cs="Arial"/>
          <w:lang w:eastAsia="de-DE"/>
        </w:rPr>
        <w:t>Increasingly, software applications will run as services on distributed systems of systems involving networks with a diversity of resource restrictions.</w:t>
      </w:r>
    </w:p>
    <w:p w14:paraId="4EFE45FA" w14:textId="77777777" w:rsidR="003A2F8E" w:rsidRPr="003A2F8E" w:rsidRDefault="003A2F8E" w:rsidP="003A2F8E">
      <w:pPr>
        <w:jc w:val="both"/>
        <w:rPr>
          <w:rFonts w:ascii="Arial" w:hAnsi="Arial" w:cs="Arial"/>
          <w:lang w:eastAsia="de-DE"/>
        </w:rPr>
      </w:pPr>
      <w:r w:rsidRPr="003A2F8E">
        <w:rPr>
          <w:rFonts w:ascii="Arial" w:hAnsi="Arial" w:cs="Arial"/>
          <w:lang w:eastAsia="de-DE"/>
        </w:rPr>
        <w:t>It is important to create the conditions to enable the ecosystem required to develop an innovative connectivity system leveraging both heterogeneous integration schemes (such as servers, edge device) and derivative semiconductor processes already available in Europe.</w:t>
      </w:r>
    </w:p>
    <w:p w14:paraId="0BCF7093" w14:textId="77777777" w:rsidR="003A2F8E" w:rsidRPr="003A2F8E" w:rsidRDefault="003A2F8E" w:rsidP="003A2F8E">
      <w:pPr>
        <w:jc w:val="both"/>
        <w:rPr>
          <w:rFonts w:ascii="Arial" w:hAnsi="Arial" w:cs="Arial"/>
          <w:lang w:eastAsia="de-DE"/>
        </w:rPr>
      </w:pPr>
      <w:r w:rsidRPr="003A2F8E">
        <w:rPr>
          <w:rFonts w:ascii="Arial" w:hAnsi="Arial" w:cs="Arial"/>
          <w:lang w:eastAsia="de-DE"/>
        </w:rPr>
        <w:t>Smart services, enabled by smart devices themselves enabled by components introducing an increasing level of “smartness”, will be used in a variety of application fields, being more user-friendly, interacting with each other as well as with the outside world and being reliable, robust and secure, miniaturised, networked, predictive, able to learn and often autonomous. They will be integrated with existing equipment and infrastructure - often by retrofit.</w:t>
      </w:r>
    </w:p>
    <w:p w14:paraId="301E6855" w14:textId="77777777" w:rsidR="003A2F8E" w:rsidRPr="003A2F8E" w:rsidRDefault="003A2F8E" w:rsidP="003A2F8E">
      <w:pPr>
        <w:jc w:val="both"/>
        <w:rPr>
          <w:rFonts w:ascii="Arial" w:hAnsi="Arial" w:cs="Arial"/>
          <w:lang w:eastAsia="de-DE"/>
        </w:rPr>
      </w:pPr>
      <w:r w:rsidRPr="003A2F8E">
        <w:rPr>
          <w:rFonts w:ascii="Arial" w:hAnsi="Arial" w:cs="Arial"/>
          <w:lang w:eastAsia="de-DE"/>
        </w:rPr>
        <w:t>Enabling factors will be: Interoperability with existing systems, self- and re-configurability, scalability, ease of deployment, sustainability, and reliability, will be customised to the application scenario.</w:t>
      </w:r>
    </w:p>
    <w:p w14:paraId="19954FCF" w14:textId="77777777" w:rsidR="003A2F8E" w:rsidRPr="003A2F8E" w:rsidRDefault="003A2F8E" w:rsidP="003A2F8E">
      <w:pPr>
        <w:jc w:val="both"/>
        <w:rPr>
          <w:rFonts w:ascii="Arial" w:hAnsi="Arial" w:cs="Arial"/>
          <w:lang w:eastAsia="de-DE"/>
        </w:rPr>
      </w:pPr>
      <w:r w:rsidRPr="003A2F8E">
        <w:rPr>
          <w:rFonts w:ascii="Arial" w:hAnsi="Arial" w:cs="Arial"/>
          <w:lang w:eastAsia="de-DE"/>
        </w:rPr>
        <w:t>Related to technological game changers in 5G network infrastructure, Europe strengths are RF SOI and BICMOS technologies for cost-effective GaAs replacement, FD-SOI for integrated mixed signal System on Chip.</w:t>
      </w:r>
    </w:p>
    <w:p w14:paraId="685B407C" w14:textId="4A2CFDE2" w:rsidR="003A2F8E" w:rsidRPr="003A2F8E" w:rsidRDefault="003A2F8E" w:rsidP="003A2F8E">
      <w:pPr>
        <w:jc w:val="both"/>
        <w:rPr>
          <w:rFonts w:ascii="Arial" w:hAnsi="Arial" w:cs="Arial"/>
          <w:lang w:eastAsia="de-DE"/>
        </w:rPr>
      </w:pPr>
      <w:r w:rsidRPr="003A2F8E">
        <w:rPr>
          <w:rFonts w:ascii="Arial" w:hAnsi="Arial" w:cs="Arial"/>
          <w:lang w:eastAsia="de-DE"/>
        </w:rPr>
        <w:t>The 5G technologies and beyond utilise the sub-6 GHz band and the spectrum above 24 GHz heading to millimetre-wave technology moving towards 300 GHz and Terahertz frequencies for 6G technologies.</w:t>
      </w:r>
      <w:r w:rsidR="00225D53">
        <w:rPr>
          <w:rFonts w:ascii="Arial" w:hAnsi="Arial" w:cs="Arial"/>
          <w:lang w:eastAsia="de-DE"/>
        </w:rPr>
        <w:t xml:space="preserve"> </w:t>
      </w:r>
      <w:r w:rsidRPr="003A2F8E">
        <w:rPr>
          <w:rFonts w:ascii="Arial" w:hAnsi="Arial" w:cs="Arial"/>
          <w:lang w:eastAsia="de-DE"/>
        </w:rPr>
        <w:t>The design of electronic components and systems to provide the 5G and beyond connectivity have to take into account the new semiconductor processes for high-speed, high-efficiency compound semiconductor devices considering the significant increases in the density of wireless base stations, wireless backhaul at millimetre wave frequencies, increased transport data rates on wired networks, millimetre wave radios in 5G equipment and multi-frequency/multi-protocol IoT intelligent nodes to support higher data rates, more devices on the network, steerable beams resulting from massive MIMO antennas, low power consumption and high energy efficiency.</w:t>
      </w:r>
      <w:r w:rsidR="00225D53">
        <w:rPr>
          <w:rFonts w:ascii="Arial" w:hAnsi="Arial" w:cs="Arial"/>
          <w:lang w:eastAsia="de-DE"/>
        </w:rPr>
        <w:t xml:space="preserve"> </w:t>
      </w:r>
      <w:r w:rsidRPr="003A2F8E">
        <w:rPr>
          <w:rFonts w:ascii="Arial" w:hAnsi="Arial" w:cs="Arial"/>
          <w:lang w:eastAsia="de-DE"/>
        </w:rPr>
        <w:t>It is expected that the mobile and intelligent IoT devices to provide edge computing capabilities and intelligent connectivity using multi-frequency/multi-protocol communications technologies. Cellular IoT devices covering higher frequencies need to integrate microwave and analogue front-end technology and millimetre wave monolithic integrated circuits (MMIC).The development of 5G technologies and beyond requires semiconductor technologies that are used for RF devices, base stations, pico-cells, power amplifiers to cover the full range of frequencies required. The new Horizon Europe SNS and KDT Partnerships have to address the development of III-V semiconductors-based GaAs, GaN, InGaAs, SiC semiconductor technologies to implement new components, devices and systems to have the edge in efficiency and power usage needed for base stations.</w:t>
      </w:r>
    </w:p>
    <w:p w14:paraId="30D5697B" w14:textId="37D0218C" w:rsidR="003A2F8E" w:rsidRPr="003A2F8E" w:rsidRDefault="003A2F8E" w:rsidP="003A2F8E">
      <w:pPr>
        <w:jc w:val="both"/>
        <w:rPr>
          <w:rFonts w:ascii="Arial" w:hAnsi="Arial" w:cs="Arial"/>
          <w:lang w:eastAsia="de-DE"/>
        </w:rPr>
      </w:pPr>
      <w:r w:rsidRPr="003A2F8E">
        <w:rPr>
          <w:rFonts w:ascii="Arial" w:hAnsi="Arial" w:cs="Arial"/>
          <w:lang w:eastAsia="de-DE"/>
        </w:rPr>
        <w:t xml:space="preserve">The new devices for 5G technologies and beyond need to combine RF, low operating power, thermally and energy-efficient, small form factor and heterogeneous integration of different functions. These new requirements push for creating new components based on multi-chip </w:t>
      </w:r>
      <w:r w:rsidRPr="003A2F8E">
        <w:rPr>
          <w:rFonts w:ascii="Arial" w:hAnsi="Arial" w:cs="Arial"/>
          <w:lang w:eastAsia="de-DE"/>
        </w:rPr>
        <w:lastRenderedPageBreak/>
        <w:t>modules and Silicon in Package (SiP) and various technologies that combine the capabilities of silicon CMOS with III-V semiconductors.</w:t>
      </w:r>
      <w:r w:rsidR="00225D53">
        <w:rPr>
          <w:rFonts w:ascii="Arial" w:hAnsi="Arial" w:cs="Arial"/>
          <w:lang w:eastAsia="de-DE"/>
        </w:rPr>
        <w:t xml:space="preserve"> </w:t>
      </w:r>
      <w:r w:rsidRPr="003A2F8E">
        <w:rPr>
          <w:rFonts w:ascii="Arial" w:hAnsi="Arial" w:cs="Arial"/>
          <w:lang w:eastAsia="de-DE"/>
        </w:rPr>
        <w:t>The focus for new 5G and beyond connectivity IoT devices is on providing new components including hybrid electronic circuits able to operate with better stability, less noise, providing increase functionality, complexity, and performance. The new functionalities include stronger security mechanisms and algorithms integrated into the devices and components and designed for easy implementation of end-to-end security at the application level.</w:t>
      </w:r>
    </w:p>
    <w:p w14:paraId="063C4ECE" w14:textId="77777777" w:rsidR="003A2F8E" w:rsidRPr="003A2F8E" w:rsidRDefault="003A2F8E" w:rsidP="003A2F8E">
      <w:pPr>
        <w:jc w:val="both"/>
        <w:rPr>
          <w:rFonts w:ascii="Arial" w:hAnsi="Arial" w:cs="Arial"/>
          <w:lang w:eastAsia="de-DE"/>
        </w:rPr>
      </w:pPr>
      <w:r w:rsidRPr="003A2F8E">
        <w:rPr>
          <w:rFonts w:ascii="Arial" w:hAnsi="Arial" w:cs="Arial"/>
          <w:lang w:eastAsia="de-DE"/>
        </w:rPr>
        <w:t>Activities need to be aligned with the KDT Partnership to develop 150 mm and beyond wafers for III-V semiconductors on Silicon to provide the components for 5G and beyond wireless cellular networks and devices for providing optimum use of available bandwidth for millimetre-wave and higher frequencies.</w:t>
      </w:r>
    </w:p>
    <w:p w14:paraId="52A7F460" w14:textId="77777777" w:rsidR="003A2F8E" w:rsidRPr="003A2F8E" w:rsidRDefault="003A2F8E" w:rsidP="003A2F8E">
      <w:pPr>
        <w:jc w:val="both"/>
        <w:rPr>
          <w:rFonts w:ascii="Arial" w:hAnsi="Arial" w:cs="Arial"/>
          <w:lang w:eastAsia="de-DE"/>
        </w:rPr>
      </w:pPr>
      <w:r w:rsidRPr="003A2F8E">
        <w:rPr>
          <w:rFonts w:ascii="Arial" w:hAnsi="Arial" w:cs="Arial"/>
          <w:lang w:eastAsia="de-DE"/>
        </w:rPr>
        <w:t>The proposed Smart Networks and Services Partnership will not directly be involved in component research, development and design. However, the research and development in Smart Networks and Services will enable other initiatives to provide the know-how and later the design and production of communication and computing components.</w:t>
      </w:r>
    </w:p>
    <w:p w14:paraId="1056E1EB"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These activities will help to facilitate the re-launch of the micro-electronics industry in the ICT domain in Europe by means of cooperation with the ECSEL JU </w:t>
      </w:r>
      <w:r w:rsidRPr="003A2F8E">
        <w:rPr>
          <w:rFonts w:ascii="Arial" w:hAnsi="Arial" w:cs="Arial"/>
        </w:rPr>
        <w:t>and/or the proposed Key Digital Technologies Partnership</w:t>
      </w:r>
      <w:r w:rsidRPr="003A2F8E">
        <w:rPr>
          <w:rFonts w:ascii="Arial" w:hAnsi="Arial" w:cs="Arial"/>
          <w:lang w:eastAsia="de-DE"/>
        </w:rPr>
        <w:t xml:space="preserve"> by promoting the development of European added value embedded solutions for innovative and secure applications. Smart Networks and Services will develop the communication know-how and IPRs and will provide algorithms to the micro-electronics industry, which will be dealing with the design and production. With this approach ongoing activities in the ECSEL JU </w:t>
      </w:r>
      <w:r w:rsidRPr="003A2F8E">
        <w:rPr>
          <w:rFonts w:ascii="Arial" w:hAnsi="Arial" w:cs="Arial"/>
        </w:rPr>
        <w:t xml:space="preserve">and/or the proposed Key Digital Technologies Partnership can be leveraged. </w:t>
      </w:r>
      <w:r w:rsidRPr="003A2F8E">
        <w:rPr>
          <w:rFonts w:ascii="Arial" w:hAnsi="Arial" w:cs="Arial"/>
          <w:lang w:eastAsia="de-DE"/>
        </w:rPr>
        <w:t>From the Smart Networks and Services perspective that could be a fabless approach. A joint effort of different Partnerships under Horizon Europe will involve the appropriate expertise from different communities.</w:t>
      </w:r>
    </w:p>
    <w:p w14:paraId="70259C15" w14:textId="77777777" w:rsidR="003A2F8E" w:rsidRPr="003A2F8E" w:rsidRDefault="003A2F8E" w:rsidP="00DA6395">
      <w:pPr>
        <w:pStyle w:val="Heading3"/>
      </w:pPr>
      <w:bookmarkStart w:id="386" w:name="_Toc42177366"/>
      <w:r w:rsidRPr="003A2F8E">
        <w:t>Approach for devices</w:t>
      </w:r>
      <w:bookmarkEnd w:id="386"/>
    </w:p>
    <w:p w14:paraId="6DE1B5CE" w14:textId="77777777" w:rsidR="003A2F8E" w:rsidRPr="003A2F8E" w:rsidRDefault="003A2F8E" w:rsidP="003A2F8E">
      <w:pPr>
        <w:jc w:val="both"/>
        <w:rPr>
          <w:rFonts w:ascii="Arial" w:hAnsi="Arial" w:cs="Arial"/>
          <w:lang w:eastAsia="de-DE"/>
        </w:rPr>
      </w:pPr>
      <w:r w:rsidRPr="003A2F8E">
        <w:rPr>
          <w:rFonts w:ascii="Arial" w:hAnsi="Arial" w:cs="Arial"/>
          <w:lang w:eastAsia="de-DE"/>
        </w:rPr>
        <w:t xml:space="preserve">Devices and especially end devices for IoT and vertical applications including critical infrastructures are an essential part of future networks. In addition to components they also must fulfil a high security level. The Smart Networks and Services will enable and validate, among others, specialised devices for IoT and sensor systems especially for vertical sectors by leveraging system on chip activities and specifying the way they communicate in the network/systems as well as controlling them and integrating them in their operational systems in vertical (and as well cross- vertical) application domains by means of cooperation with the ECSEL JU </w:t>
      </w:r>
      <w:r w:rsidRPr="003A2F8E">
        <w:rPr>
          <w:rFonts w:ascii="Arial" w:hAnsi="Arial" w:cs="Arial"/>
        </w:rPr>
        <w:t>and/or the proposed Key Digital Technologies Partnership</w:t>
      </w:r>
      <w:r w:rsidRPr="003A2F8E">
        <w:rPr>
          <w:rFonts w:ascii="Arial" w:hAnsi="Arial" w:cs="Arial"/>
          <w:lang w:eastAsia="de-DE"/>
        </w:rPr>
        <w:t xml:space="preserve"> and leveraging AIOTI activities. System on chip activities can be leveraged for such industrial device activities. The close cooperation between vertical sectors and the ICT industry in Europe will support the development of entire communication and networking solutions in Europe. These activities offer opportunities for start-ups to design communication modem chips and other components devised for many vertical applications.</w:t>
      </w:r>
    </w:p>
    <w:p w14:paraId="07089A7F" w14:textId="77777777" w:rsidR="003A2F8E" w:rsidRPr="003A2F8E" w:rsidRDefault="003A2F8E" w:rsidP="00DA6395">
      <w:pPr>
        <w:pStyle w:val="Heading3"/>
        <w:rPr>
          <w:lang w:eastAsia="de-DE"/>
        </w:rPr>
      </w:pPr>
      <w:bookmarkStart w:id="387" w:name="_Toc42177367"/>
      <w:r w:rsidRPr="003A2F8E">
        <w:rPr>
          <w:lang w:eastAsia="de-DE"/>
        </w:rPr>
        <w:t>Requirements for IoT devices</w:t>
      </w:r>
      <w:bookmarkEnd w:id="387"/>
    </w:p>
    <w:p w14:paraId="701BBAF2" w14:textId="77777777" w:rsidR="003A2F8E" w:rsidRPr="003A2F8E" w:rsidRDefault="003A2F8E" w:rsidP="003A2F8E">
      <w:pPr>
        <w:jc w:val="both"/>
        <w:rPr>
          <w:rFonts w:ascii="Arial" w:hAnsi="Arial" w:cs="Arial"/>
          <w:lang w:eastAsia="de-DE"/>
        </w:rPr>
      </w:pPr>
      <w:r w:rsidRPr="003A2F8E">
        <w:rPr>
          <w:rFonts w:ascii="Arial" w:hAnsi="Arial" w:cs="Arial"/>
          <w:lang w:eastAsia="de-DE"/>
        </w:rPr>
        <w:t>Devices with IoT gateway capabilities in support of different IoT connectivity modes, both at local and public network level. In particular, for each supported vertical industrial domain and as well cross vertical industry domains:</w:t>
      </w:r>
    </w:p>
    <w:p w14:paraId="72DFDAAF" w14:textId="77777777" w:rsidR="003A2F8E" w:rsidRPr="003A2F8E" w:rsidRDefault="003A2F8E" w:rsidP="00124439">
      <w:pPr>
        <w:pStyle w:val="ListParagraph"/>
        <w:numPr>
          <w:ilvl w:val="0"/>
          <w:numId w:val="39"/>
        </w:numPr>
        <w:jc w:val="both"/>
        <w:rPr>
          <w:rFonts w:ascii="Arial" w:hAnsi="Arial" w:cs="Arial"/>
          <w:b/>
          <w:lang w:eastAsia="de-DE"/>
        </w:rPr>
      </w:pPr>
      <w:r w:rsidRPr="003A2F8E">
        <w:rPr>
          <w:rFonts w:ascii="Arial" w:hAnsi="Arial" w:cs="Arial"/>
          <w:lang w:eastAsia="de-DE"/>
        </w:rPr>
        <w:t xml:space="preserve">requirements will be derived on which software and hardware capabilities and characteristics these multi-modal IoT devices and network elements should support, when integrated and used into the 5G and beyond 5G network infrastructures. </w:t>
      </w:r>
      <w:r w:rsidRPr="003A2F8E">
        <w:rPr>
          <w:rFonts w:ascii="Arial" w:hAnsi="Arial" w:cs="Arial"/>
          <w:lang w:eastAsia="de-DE"/>
        </w:rPr>
        <w:lastRenderedPageBreak/>
        <w:t xml:space="preserve">Considering that these IoT devices support e.g., wireless technologies that are non-5G and beyond 5G radio technologies, such as Bluetooth, Wi-Fi, ZigBee, LoRa, Sigfox </w:t>
      </w:r>
    </w:p>
    <w:p w14:paraId="10D566AF" w14:textId="77777777" w:rsidR="003A2F8E" w:rsidRPr="003A2F8E" w:rsidRDefault="003A2F8E" w:rsidP="00124439">
      <w:pPr>
        <w:pStyle w:val="ListParagraph"/>
        <w:numPr>
          <w:ilvl w:val="0"/>
          <w:numId w:val="39"/>
        </w:numPr>
        <w:jc w:val="both"/>
        <w:rPr>
          <w:rFonts w:ascii="Arial" w:hAnsi="Arial" w:cs="Arial"/>
          <w:b/>
          <w:lang w:eastAsia="de-DE"/>
        </w:rPr>
      </w:pPr>
      <w:r w:rsidRPr="003A2F8E">
        <w:rPr>
          <w:rFonts w:ascii="Arial" w:hAnsi="Arial" w:cs="Arial"/>
          <w:lang w:eastAsia="de-DE"/>
        </w:rPr>
        <w:t>integration and evaluation activities of these multi-modal IoT devices and network elements in the 5G and beyond 5G network infrastructures will be planned and executed.</w:t>
      </w:r>
    </w:p>
    <w:p w14:paraId="65D10BD5" w14:textId="77777777" w:rsidR="003A2F8E" w:rsidRPr="003A2F8E" w:rsidRDefault="003A2F8E" w:rsidP="00124439">
      <w:pPr>
        <w:pStyle w:val="ListParagraph"/>
        <w:numPr>
          <w:ilvl w:val="0"/>
          <w:numId w:val="39"/>
        </w:numPr>
        <w:jc w:val="both"/>
        <w:rPr>
          <w:rFonts w:ascii="Arial" w:eastAsia="Times New Roman" w:hAnsi="Arial" w:cs="Arial"/>
          <w:bCs/>
          <w:color w:val="000000" w:themeColor="text1"/>
          <w:lang w:eastAsia="en-GB"/>
        </w:rPr>
      </w:pPr>
      <w:r w:rsidRPr="003A2F8E">
        <w:rPr>
          <w:rFonts w:ascii="Arial" w:hAnsi="Arial" w:cs="Arial"/>
        </w:rPr>
        <w:t>Hardware requirements for</w:t>
      </w:r>
      <w:r w:rsidRPr="003A2F8E">
        <w:rPr>
          <w:rFonts w:ascii="Arial" w:eastAsia="Times New Roman" w:hAnsi="Arial" w:cs="Arial"/>
          <w:bCs/>
          <w:color w:val="000000" w:themeColor="text1"/>
          <w:lang w:eastAsia="de-DE"/>
        </w:rPr>
        <w:t xml:space="preserve"> IoT Devices:</w:t>
      </w:r>
    </w:p>
    <w:p w14:paraId="1FBFD66E" w14:textId="77777777" w:rsidR="003A2F8E" w:rsidRPr="003A2F8E" w:rsidRDefault="003A2F8E" w:rsidP="00124439">
      <w:pPr>
        <w:pStyle w:val="ListParagraph"/>
        <w:numPr>
          <w:ilvl w:val="1"/>
          <w:numId w:val="39"/>
        </w:numPr>
        <w:jc w:val="both"/>
        <w:rPr>
          <w:rFonts w:ascii="Arial" w:hAnsi="Arial" w:cs="Arial"/>
          <w:bCs/>
          <w:lang w:eastAsia="en-GB"/>
        </w:rPr>
      </w:pPr>
      <w:r w:rsidRPr="003A2F8E">
        <w:rPr>
          <w:rFonts w:ascii="Arial" w:hAnsi="Arial" w:cs="Arial"/>
          <w:lang w:eastAsia="de-DE"/>
        </w:rPr>
        <w:t>Requirements applied for each supported vertical industry domain and as well cross vertical industry domains when integrated and used into the 5G and beyond 5G network infrastructures.</w:t>
      </w:r>
    </w:p>
    <w:p w14:paraId="1D91EA98" w14:textId="77777777" w:rsidR="003A2F8E" w:rsidRPr="003A2F8E" w:rsidRDefault="003A2F8E" w:rsidP="00124439">
      <w:pPr>
        <w:pStyle w:val="ListParagraph"/>
        <w:numPr>
          <w:ilvl w:val="1"/>
          <w:numId w:val="39"/>
        </w:numPr>
        <w:jc w:val="both"/>
        <w:rPr>
          <w:rFonts w:ascii="Arial" w:hAnsi="Arial" w:cs="Arial"/>
          <w:bCs/>
          <w:lang w:eastAsia="en-GB"/>
        </w:rPr>
      </w:pPr>
      <w:r w:rsidRPr="003A2F8E">
        <w:rPr>
          <w:rFonts w:ascii="Arial" w:hAnsi="Arial" w:cs="Arial"/>
          <w:bCs/>
          <w:lang w:eastAsia="de-DE"/>
        </w:rPr>
        <w:t>At least three different frequency bands</w:t>
      </w:r>
      <w:r w:rsidRPr="003A2F8E">
        <w:rPr>
          <w:rFonts w:ascii="Arial" w:hAnsi="Arial" w:cs="Arial"/>
          <w:lang w:eastAsia="de-DE"/>
        </w:rPr>
        <w:t xml:space="preserve"> for sub-1 GHz, (700 MHz), 1 - 6 GHz (3.4 - 3.8 GHz), and millimetre-wave (above 24 GHz) and integrate multiple protocols in addition to cellular ones.</w:t>
      </w:r>
    </w:p>
    <w:p w14:paraId="01E17847" w14:textId="77777777" w:rsidR="003A2F8E" w:rsidRPr="003A2F8E" w:rsidRDefault="003A2F8E" w:rsidP="00124439">
      <w:pPr>
        <w:pStyle w:val="ListParagraph"/>
        <w:numPr>
          <w:ilvl w:val="1"/>
          <w:numId w:val="39"/>
        </w:numPr>
        <w:jc w:val="both"/>
        <w:rPr>
          <w:rFonts w:ascii="Arial" w:hAnsi="Arial" w:cs="Arial"/>
          <w:bCs/>
          <w:lang w:eastAsia="en-GB"/>
        </w:rPr>
      </w:pPr>
      <w:r w:rsidRPr="003A2F8E">
        <w:rPr>
          <w:rFonts w:ascii="Arial" w:hAnsi="Arial" w:cs="Arial"/>
          <w:lang w:eastAsia="de-DE"/>
        </w:rPr>
        <w:t>Functional and non-functional</w:t>
      </w:r>
      <w:r w:rsidRPr="003A2F8E">
        <w:rPr>
          <w:rFonts w:ascii="Arial" w:hAnsi="Arial" w:cs="Arial"/>
          <w:bCs/>
          <w:lang w:eastAsia="de-DE"/>
        </w:rPr>
        <w:t xml:space="preserve"> </w:t>
      </w:r>
      <w:r w:rsidRPr="003A2F8E">
        <w:rPr>
          <w:rFonts w:ascii="Arial" w:hAnsi="Arial" w:cs="Arial"/>
          <w:lang w:eastAsia="de-DE"/>
        </w:rPr>
        <w:t>requirements, such as high data capacity, highest levels of reliability (connectivity), fast reaction times (low latency), sensing/actuating, processing and storage capabilities; low power consumption.</w:t>
      </w:r>
    </w:p>
    <w:p w14:paraId="07D54380" w14:textId="4AF76C79" w:rsidR="00A06FBC" w:rsidRDefault="00A06FBC">
      <w:r>
        <w:br w:type="page"/>
      </w:r>
    </w:p>
    <w:p w14:paraId="11094BBB" w14:textId="77777777" w:rsidR="00165731" w:rsidRPr="00165731" w:rsidRDefault="00165731" w:rsidP="00165731"/>
    <w:p w14:paraId="644A1C6D" w14:textId="4730ACCF" w:rsidR="001A3B3E" w:rsidRDefault="001A3B3E" w:rsidP="00124439">
      <w:pPr>
        <w:pStyle w:val="Heading1"/>
        <w:numPr>
          <w:ilvl w:val="0"/>
          <w:numId w:val="9"/>
        </w:numPr>
        <w:rPr>
          <w:lang w:eastAsia="de-DE"/>
        </w:rPr>
      </w:pPr>
      <w:bookmarkStart w:id="388" w:name="_Toc37227338"/>
      <w:bookmarkStart w:id="389" w:name="_Toc42177368"/>
      <w:r w:rsidRPr="0063079E">
        <w:rPr>
          <w:lang w:eastAsia="de-DE"/>
        </w:rPr>
        <w:t xml:space="preserve">Emerging </w:t>
      </w:r>
      <w:r w:rsidR="0012294F" w:rsidRPr="0063079E">
        <w:rPr>
          <w:lang w:eastAsia="de-DE"/>
        </w:rPr>
        <w:t>T</w:t>
      </w:r>
      <w:r w:rsidRPr="0063079E">
        <w:rPr>
          <w:lang w:eastAsia="de-DE"/>
        </w:rPr>
        <w:t>echnologies</w:t>
      </w:r>
      <w:bookmarkStart w:id="390" w:name="_Toc511140399"/>
      <w:bookmarkEnd w:id="388"/>
      <w:bookmarkEnd w:id="390"/>
      <w:r w:rsidR="00B24646">
        <w:rPr>
          <w:lang w:eastAsia="de-DE"/>
        </w:rPr>
        <w:t xml:space="preserve"> and </w:t>
      </w:r>
      <w:r w:rsidR="005F6376">
        <w:rPr>
          <w:lang w:eastAsia="de-DE"/>
        </w:rPr>
        <w:t>Challenging</w:t>
      </w:r>
      <w:r w:rsidR="00B24646">
        <w:rPr>
          <w:lang w:eastAsia="de-DE"/>
        </w:rPr>
        <w:t xml:space="preserve"> Trends</w:t>
      </w:r>
      <w:bookmarkEnd w:id="389"/>
    </w:p>
    <w:p w14:paraId="10716A4F" w14:textId="77777777" w:rsidR="00922414" w:rsidRDefault="00922414" w:rsidP="00E90061">
      <w:pPr>
        <w:pStyle w:val="paragrafo"/>
        <w:spacing w:after="120" w:line="240" w:lineRule="auto"/>
        <w:rPr>
          <w:rFonts w:ascii="Arial" w:hAnsi="Arial" w:cs="Arial"/>
          <w:color w:val="000000" w:themeColor="text1"/>
          <w:lang w:val="en-GB"/>
        </w:rPr>
      </w:pPr>
    </w:p>
    <w:p w14:paraId="4EBA36EA" w14:textId="77777777" w:rsidR="000E7551" w:rsidRPr="0063079E" w:rsidRDefault="000E7551" w:rsidP="000E7551">
      <w:pPr>
        <w:pStyle w:val="paragrafo"/>
        <w:spacing w:after="120" w:line="240" w:lineRule="auto"/>
        <w:rPr>
          <w:rFonts w:ascii="Arial" w:hAnsi="Arial" w:cs="Arial"/>
          <w:color w:val="000000" w:themeColor="text1"/>
          <w:lang w:val="en-GB"/>
        </w:rPr>
      </w:pPr>
      <w:bookmarkStart w:id="391" w:name="_Toc509513094"/>
      <w:r w:rsidRPr="0063079E">
        <w:rPr>
          <w:rFonts w:ascii="Arial" w:hAnsi="Arial" w:cs="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organised and managed by more and more intelligent and autonomous algorithms, which generate and exploit increasing quantities of data, and provide customised services and applications alike everywhere.</w:t>
      </w:r>
    </w:p>
    <w:p w14:paraId="58D99FC6"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2FD356E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Data generated by the network and by the users need to be used by the network itself and to be exploited outside the network. Applications will be more deeply rooted within the network, to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59BAC6CB"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6D694DE2" w14:textId="2451E892" w:rsidR="000E7551" w:rsidRPr="0063079E" w:rsidRDefault="00225D53" w:rsidP="000E7551">
      <w:pPr>
        <w:pStyle w:val="paragrafo"/>
        <w:spacing w:after="120" w:line="240" w:lineRule="auto"/>
        <w:rPr>
          <w:rFonts w:ascii="Arial" w:hAnsi="Arial" w:cs="Arial"/>
          <w:color w:val="000000" w:themeColor="text1"/>
          <w:lang w:val="en-GB"/>
        </w:rPr>
      </w:pPr>
      <w:r>
        <w:rPr>
          <w:rFonts w:ascii="Arial" w:hAnsi="Arial" w:cs="Arial"/>
          <w:color w:val="000000" w:themeColor="text1"/>
          <w:lang w:val="en-GB"/>
        </w:rPr>
        <w:t xml:space="preserve">Figure 11-1 </w:t>
      </w:r>
      <w:r w:rsidR="000E7551" w:rsidRPr="0012294F">
        <w:rPr>
          <w:rFonts w:ascii="Arial" w:hAnsi="Arial" w:cs="Arial"/>
          <w:color w:val="000000" w:themeColor="text1"/>
          <w:lang w:val="en-GB"/>
        </w:rPr>
        <w:t xml:space="preserve">cursorily </w:t>
      </w:r>
      <w:r w:rsidR="000E7551" w:rsidRPr="0063079E">
        <w:rPr>
          <w:rFonts w:ascii="Arial" w:hAnsi="Arial" w:cs="Arial"/>
          <w:color w:val="000000" w:themeColor="text1"/>
          <w:lang w:val="en-GB"/>
        </w:rPr>
        <w:t>summarises the evolution process of the telecommunications networks, showing:</w:t>
      </w:r>
    </w:p>
    <w:p w14:paraId="7BDDC5C4" w14:textId="77777777" w:rsidR="000E7551" w:rsidRPr="0063079E" w:rsidRDefault="000E7551" w:rsidP="00124439">
      <w:pPr>
        <w:pStyle w:val="paragrafo"/>
        <w:numPr>
          <w:ilvl w:val="0"/>
          <w:numId w:val="26"/>
        </w:numPr>
        <w:spacing w:after="0" w:line="240" w:lineRule="auto"/>
        <w:rPr>
          <w:rFonts w:ascii="Arial" w:hAnsi="Arial" w:cs="Arial"/>
          <w:color w:val="000000" w:themeColor="text1"/>
          <w:lang w:val="en-GB"/>
        </w:rPr>
      </w:pPr>
      <w:r w:rsidRPr="0063079E">
        <w:rPr>
          <w:rFonts w:ascii="Arial" w:hAnsi="Arial" w:cs="Arial"/>
          <w:color w:val="000000" w:themeColor="text1"/>
          <w:lang w:val="en-GB"/>
        </w:rPr>
        <w:t>How networks developed and evolved (left side of the figure);</w:t>
      </w:r>
    </w:p>
    <w:p w14:paraId="05F8FB59" w14:textId="77777777" w:rsidR="000E7551" w:rsidRPr="0063079E" w:rsidRDefault="000E7551" w:rsidP="00124439">
      <w:pPr>
        <w:pStyle w:val="paragrafo"/>
        <w:numPr>
          <w:ilvl w:val="0"/>
          <w:numId w:val="26"/>
        </w:numPr>
        <w:spacing w:after="0" w:line="240" w:lineRule="auto"/>
        <w:rPr>
          <w:rFonts w:ascii="Arial" w:hAnsi="Arial" w:cs="Arial"/>
          <w:color w:val="000000" w:themeColor="text1"/>
          <w:lang w:val="en-GB"/>
        </w:rPr>
      </w:pPr>
      <w:r w:rsidRPr="0063079E">
        <w:rPr>
          <w:rFonts w:ascii="Arial" w:hAnsi="Arial" w:cs="Arial"/>
          <w:color w:val="000000" w:themeColor="text1"/>
          <w:lang w:val="en-GB"/>
        </w:rPr>
        <w:t>Past and current main trends behind such progresses (right side of the figure);</w:t>
      </w:r>
    </w:p>
    <w:p w14:paraId="3BCF44A6" w14:textId="77777777" w:rsidR="000E7551" w:rsidRPr="0063079E" w:rsidRDefault="000E7551" w:rsidP="00124439">
      <w:pPr>
        <w:pStyle w:val="paragrafo"/>
        <w:numPr>
          <w:ilvl w:val="0"/>
          <w:numId w:val="26"/>
        </w:numPr>
        <w:spacing w:after="0" w:line="240" w:lineRule="auto"/>
        <w:rPr>
          <w:rFonts w:ascii="Arial" w:hAnsi="Arial" w:cs="Arial"/>
          <w:color w:val="000000" w:themeColor="text1"/>
          <w:lang w:val="en-GB"/>
        </w:rPr>
      </w:pPr>
      <w:r w:rsidRPr="0063079E">
        <w:rPr>
          <w:rFonts w:ascii="Arial" w:hAnsi="Arial" w:cs="Arial"/>
          <w:color w:val="000000" w:themeColor="text1"/>
          <w:lang w:val="en-GB"/>
        </w:rPr>
        <w:t xml:space="preserve">Traditional and new requirements (upper side of the figure) that should be satisfied by the future instance of the network, which we call </w:t>
      </w:r>
      <w:r w:rsidRPr="0063079E">
        <w:rPr>
          <w:rFonts w:ascii="Arial" w:hAnsi="Arial" w:cs="Arial"/>
          <w:i/>
          <w:color w:val="000000" w:themeColor="text1"/>
          <w:lang w:val="en-GB"/>
        </w:rPr>
        <w:t>x</w:t>
      </w:r>
      <w:r w:rsidRPr="0063079E">
        <w:rPr>
          <w:rFonts w:ascii="Arial" w:hAnsi="Arial" w:cs="Arial"/>
          <w:color w:val="000000" w:themeColor="text1"/>
          <w:lang w:val="en-GB"/>
        </w:rPr>
        <w:t>G</w:t>
      </w:r>
      <w:r w:rsidRPr="0012294F">
        <w:rPr>
          <w:rStyle w:val="FootnoteReference"/>
          <w:rFonts w:ascii="Arial" w:hAnsi="Arial" w:cs="Arial"/>
          <w:color w:val="000000" w:themeColor="text1"/>
          <w:lang w:val="en-GB"/>
        </w:rPr>
        <w:footnoteReference w:id="9"/>
      </w:r>
      <w:r>
        <w:rPr>
          <w:rFonts w:ascii="Arial" w:hAnsi="Arial" w:cs="Arial"/>
          <w:color w:val="000000" w:themeColor="text1"/>
          <w:lang w:val="en-GB"/>
        </w:rPr>
        <w:t xml:space="preserve">. Note that </w:t>
      </w:r>
      <w:r w:rsidRPr="0063079E">
        <w:rPr>
          <w:rFonts w:ascii="Arial" w:hAnsi="Arial" w:cs="Arial"/>
          <w:color w:val="000000" w:themeColor="text1"/>
          <w:lang w:val="en-GB"/>
        </w:rPr>
        <w:t>softwarised network will evolve more rapidly and incrementally with new software releases, rather than with major generational leaps.</w:t>
      </w:r>
    </w:p>
    <w:p w14:paraId="19895A71" w14:textId="5DC3C5BA" w:rsidR="000E7551" w:rsidRDefault="000E7551" w:rsidP="000E7551">
      <w:pPr>
        <w:pStyle w:val="paragrafo"/>
        <w:spacing w:after="0" w:line="240" w:lineRule="auto"/>
        <w:rPr>
          <w:rFonts w:ascii="Arial" w:hAnsi="Arial" w:cs="Arial"/>
          <w:color w:val="000000" w:themeColor="text1"/>
          <w:lang w:val="en-GB"/>
        </w:rPr>
      </w:pPr>
    </w:p>
    <w:p w14:paraId="69E56C94" w14:textId="709539D2" w:rsidR="00A06FBC" w:rsidRPr="0063079E" w:rsidRDefault="00A06FBC" w:rsidP="00A06FBC">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As shown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3F0180">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(left-hand side), networ</w:t>
      </w:r>
      <w:r w:rsidRPr="0063079E">
        <w:rPr>
          <w:rFonts w:ascii="Arial" w:hAnsi="Arial" w:cs="Arial"/>
          <w:color w:val="000000" w:themeColor="text1"/>
          <w:lang w:val="en-GB"/>
        </w:rPr>
        <w:t>ks have been traditionally designed and standardised as independent silos.</w:t>
      </w:r>
    </w:p>
    <w:p w14:paraId="21834A33" w14:textId="77777777" w:rsidR="00A06FBC" w:rsidRPr="0063079E" w:rsidRDefault="00A06FBC" w:rsidP="00A06FBC">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Wired Wide Area Networks (WANs) started as the plain old telephone system, evolved into the Integrated Digital Network (substituting analogue with digital technologies), tried to integrate services (ISDN) and improved performance (B-ISDN), but failed, due to the perhaps not fully expected deployment of the Internet in the early nineties; the aftermath is that technologies such as the Asynchronous Transfer Mode (ATM), meant to become ”universal”, became just another component of the growing Internet before disappearing.</w:t>
      </w:r>
    </w:p>
    <w:p w14:paraId="3A8564B6" w14:textId="77777777" w:rsidR="00A06FBC" w:rsidRPr="0063079E" w:rsidRDefault="00A06FBC" w:rsidP="000E7551">
      <w:pPr>
        <w:pStyle w:val="paragrafo"/>
        <w:spacing w:after="0" w:line="240" w:lineRule="auto"/>
        <w:rPr>
          <w:rFonts w:ascii="Arial" w:hAnsi="Arial" w:cs="Arial"/>
          <w:color w:val="000000" w:themeColor="text1"/>
          <w:lang w:val="en-GB"/>
        </w:rPr>
      </w:pPr>
    </w:p>
    <w:p w14:paraId="455F5520" w14:textId="77777777" w:rsidR="000E7551" w:rsidRPr="0012294F" w:rsidRDefault="000E7551" w:rsidP="000E7551">
      <w:pPr>
        <w:spacing w:after="120" w:line="240" w:lineRule="auto"/>
        <w:jc w:val="center"/>
        <w:rPr>
          <w:rFonts w:ascii="Arial" w:hAnsi="Arial" w:cs="Arial"/>
          <w:color w:val="000000" w:themeColor="text1"/>
        </w:rPr>
      </w:pPr>
      <w:r w:rsidRPr="0063079E">
        <w:rPr>
          <w:rFonts w:ascii="Arial" w:hAnsi="Arial" w:cs="Arial"/>
          <w:noProof/>
          <w:color w:val="000000" w:themeColor="text1"/>
          <w:lang w:eastAsia="en-GB"/>
        </w:rPr>
        <w:lastRenderedPageBreak/>
        <w:drawing>
          <wp:inline distT="0" distB="0" distL="0" distR="0" wp14:anchorId="330BF9E1" wp14:editId="6D7DF052">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75518FAD" w14:textId="023224D7" w:rsidR="000E7551" w:rsidRPr="00D27BA3" w:rsidRDefault="00D27BA3" w:rsidP="00D27BA3">
      <w:pPr>
        <w:spacing w:after="0" w:line="240" w:lineRule="auto"/>
        <w:ind w:left="567" w:right="1796"/>
        <w:jc w:val="both"/>
        <w:rPr>
          <w:rFonts w:ascii="Arial" w:hAnsi="Arial" w:cs="Arial"/>
          <w:b/>
          <w:color w:val="000000" w:themeColor="text1"/>
        </w:rPr>
      </w:pPr>
      <w:bookmarkStart w:id="392" w:name="_Ref511061131"/>
      <w:r w:rsidRPr="00D27BA3">
        <w:rPr>
          <w:rFonts w:ascii="Arial" w:hAnsi="Arial" w:cs="Arial"/>
          <w:b/>
          <w:color w:val="000000" w:themeColor="text1"/>
        </w:rPr>
        <w:t xml:space="preserve">Figure 11-1. </w:t>
      </w:r>
      <w:r w:rsidR="000E7551" w:rsidRPr="00D27BA3">
        <w:rPr>
          <w:rFonts w:ascii="Arial" w:hAnsi="Arial" w:cs="Arial"/>
          <w:b/>
          <w:color w:val="000000" w:themeColor="text1"/>
        </w:rPr>
        <w:t>Overall picture of the evolution of networks</w:t>
      </w:r>
      <w:bookmarkEnd w:id="392"/>
    </w:p>
    <w:p w14:paraId="5501E4FF" w14:textId="77777777" w:rsidR="000E7551" w:rsidRPr="0063079E" w:rsidRDefault="000E7551" w:rsidP="000E7551">
      <w:pPr>
        <w:pStyle w:val="paragrafo"/>
        <w:spacing w:after="0" w:line="240" w:lineRule="auto"/>
        <w:rPr>
          <w:rFonts w:ascii="Arial" w:hAnsi="Arial" w:cs="Arial"/>
          <w:color w:val="000000" w:themeColor="text1"/>
          <w:lang w:val="en-GB"/>
        </w:rPr>
      </w:pPr>
    </w:p>
    <w:p w14:paraId="04EADB22"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Cellular WANs took a completely independent evolution path. The first analogue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40E54ADE"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parallel, Local/Metropolitan Area Network technologies started from wired, proprietary, low capacity systems and later extended their realm in the transport network backbones. Meanwhile, the end of the 90ies gave the start to an impressive deployment of wireless LANs, which, starting from little more than a low-rate cable replacement, have now almost topped the 10 Gbps speed (e.g., the incoming 802.11ax technology), have become the most common Internet access technology in the home/office/campus, and are being integrated in the 5G network.</w:t>
      </w:r>
    </w:p>
    <w:p w14:paraId="3776043C" w14:textId="288D2C98"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Meanwhile, also the networking research trends have evolved along different dimensions and key aspects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3F0180">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right-hand side). A fi</w:t>
      </w:r>
      <w:r w:rsidRPr="0063079E">
        <w:rPr>
          <w:rFonts w:ascii="Arial" w:hAnsi="Arial" w:cs="Arial"/>
          <w:color w:val="000000" w:themeColor="text1"/>
          <w:lang w:val="en-GB"/>
        </w:rPr>
        <w:t>rst trend regards the diffusion of the networks both in space and in type, with specific infrastructures expanding both the reach and the functionality of networks (ad-hoc, sensor, mesh, vehicular, satellite, underwater, body, things, nano-things, etc.). A second, obvious, trend regards the improvement of physical systems, increasing the performance of copper, radio, optical, and now quantum communications.</w:t>
      </w:r>
    </w:p>
    <w:p w14:paraId="458D469E" w14:textId="242346AB"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The third trend highlighted in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3F0180">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is probab</w:t>
      </w:r>
      <w:r w:rsidRPr="0063079E">
        <w:rPr>
          <w:rFonts w:ascii="Arial" w:hAnsi="Arial" w:cs="Arial"/>
          <w:color w:val="000000" w:themeColor="text1"/>
          <w:lang w:val="en-GB"/>
        </w:rPr>
        <w:t>ly subtler: networking research in the early days mostly focused on lower layers (MAC protocols, routing); more recently it shifted towards higher layers. At the same time, also the functionality implemented in the network according to the ISO/OSI stack followed the same process: increasingly, higher layer functions are executed also within the network, rather than in end-systems only.</w:t>
      </w:r>
    </w:p>
    <w:p w14:paraId="57DAE68D" w14:textId="4F1AA139"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At this point, the reader may wonder why </w:t>
      </w:r>
      <w:r w:rsidRPr="0063079E">
        <w:rPr>
          <w:rFonts w:ascii="Arial" w:hAnsi="Arial" w:cs="Arial"/>
          <w:color w:val="000000" w:themeColor="text1"/>
          <w:lang w:val="en-GB"/>
        </w:rPr>
        <w:fldChar w:fldCharType="begin"/>
      </w:r>
      <w:r w:rsidRPr="0063079E">
        <w:rPr>
          <w:rFonts w:ascii="Arial" w:hAnsi="Arial" w:cs="Arial"/>
          <w:color w:val="000000" w:themeColor="text1"/>
          <w:lang w:val="en-GB"/>
        </w:rPr>
        <w:instrText xml:space="preserve"> REF _Ref511061131 \r \h  \* MERGEFORMAT </w:instrText>
      </w:r>
      <w:r w:rsidRPr="0063079E">
        <w:rPr>
          <w:rFonts w:ascii="Arial" w:hAnsi="Arial" w:cs="Arial"/>
          <w:color w:val="000000" w:themeColor="text1"/>
          <w:lang w:val="en-GB"/>
        </w:rPr>
      </w:r>
      <w:r w:rsidRPr="0063079E">
        <w:rPr>
          <w:rFonts w:ascii="Arial" w:hAnsi="Arial" w:cs="Arial"/>
          <w:color w:val="000000" w:themeColor="text1"/>
          <w:lang w:val="en-GB"/>
        </w:rPr>
        <w:fldChar w:fldCharType="separate"/>
      </w:r>
      <w:r w:rsidR="003F0180">
        <w:rPr>
          <w:rFonts w:ascii="Arial" w:hAnsi="Arial" w:cs="Arial"/>
          <w:color w:val="000000" w:themeColor="text1"/>
          <w:lang w:val="en-GB"/>
        </w:rPr>
        <w:t>0</w:t>
      </w:r>
      <w:r w:rsidRPr="0063079E">
        <w:rPr>
          <w:rFonts w:ascii="Arial" w:hAnsi="Arial" w:cs="Arial"/>
          <w:color w:val="000000" w:themeColor="text1"/>
          <w:lang w:val="en-GB"/>
        </w:rPr>
        <w:fldChar w:fldCharType="end"/>
      </w:r>
      <w:r w:rsidRPr="0012294F">
        <w:rPr>
          <w:rFonts w:ascii="Arial" w:hAnsi="Arial" w:cs="Arial"/>
          <w:color w:val="000000" w:themeColor="text1"/>
          <w:lang w:val="en-GB"/>
        </w:rPr>
        <w:t xml:space="preserve"> does not explicitly lists an </w:t>
      </w:r>
      <w:r w:rsidRPr="0063079E">
        <w:rPr>
          <w:rFonts w:ascii="Arial" w:hAnsi="Arial" w:cs="Arial"/>
          <w:color w:val="000000" w:themeColor="text1"/>
          <w:lang w:val="en-GB"/>
        </w:rPr>
        <w:t>”Internet” box below the evolution of the networks column (and it is mentioned in the middle convergence box). The reason is obvious: The Internet was in fact not a network technology itself (in contrast with LANs, WANs, or cellular technologies or systems), but was focusing on the inter-networking among such underlay technologies, to provide end-to-end services.</w:t>
      </w:r>
    </w:p>
    <w:p w14:paraId="03CB902F"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lastRenderedPageBreak/>
        <w:t>However, is this approach still valid today? In the past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33671033"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the meantime, 5G is threatening this model, being more ambitious than previous cellular generations and aspiring to play a bigger role. In fact,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13E5460D" w14:textId="60242291"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In fact, 5G is not just an evolution of 4G in terms of performance but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”vertical” applications will make of 5G a much larger ecosystem, including more stakeholders than in the past, with more complex relationships, more heterogeneity and more dynamicity. Last but not least, availability of (big) data, cloud integration and softwarisation will provide a viable technological infrastructure and an in-network ”knowledge plane” –</w:t>
      </w:r>
      <w:r w:rsidRPr="0012294F">
        <w:rPr>
          <w:rFonts w:ascii="Arial" w:hAnsi="Arial" w:cs="Arial"/>
          <w:color w:val="000000" w:themeColor="text1"/>
          <w:lang w:val="en-GB"/>
        </w:rPr>
        <w:t xml:space="preserve"> quoting Clark et. al’s vision</w:t>
      </w:r>
      <w:r>
        <w:rPr>
          <w:rFonts w:ascii="Arial" w:hAnsi="Arial" w:cs="Arial"/>
          <w:color w:val="000000" w:themeColor="text1"/>
          <w:lang w:val="en-GB"/>
        </w:rPr>
        <w:t xml:space="preserve"> </w:t>
      </w:r>
      <w:r w:rsidR="00AC44CE">
        <w:rPr>
          <w:rFonts w:ascii="Arial" w:hAnsi="Arial" w:cs="Arial"/>
        </w:rPr>
        <w:t>[C11</w:t>
      </w:r>
      <w:r w:rsidR="00AC44CE" w:rsidRPr="00DA6395">
        <w:rPr>
          <w:rFonts w:ascii="Arial" w:hAnsi="Arial" w:cs="Arial"/>
        </w:rPr>
        <w:t>-1]</w:t>
      </w:r>
      <w:r w:rsidR="00AC44CE">
        <w:rPr>
          <w:rFonts w:ascii="Arial" w:hAnsi="Arial" w:cs="Arial"/>
        </w:rPr>
        <w:t xml:space="preserve"> </w:t>
      </w:r>
      <w:r w:rsidRPr="0063079E">
        <w:rPr>
          <w:rFonts w:ascii="Arial" w:hAnsi="Arial" w:cs="Arial"/>
          <w:color w:val="000000" w:themeColor="text1"/>
          <w:lang w:val="en-GB"/>
        </w:rPr>
        <w:t>–</w:t>
      </w:r>
      <w:r w:rsidRPr="0012294F">
        <w:rPr>
          <w:rFonts w:ascii="Arial" w:hAnsi="Arial" w:cs="Arial"/>
          <w:color w:val="000000" w:themeColor="text1"/>
          <w:lang w:val="en-GB"/>
        </w:rPr>
        <w:t xml:space="preserve"> which, if </w:t>
      </w:r>
      <w:r w:rsidRPr="0063079E">
        <w:rPr>
          <w:rFonts w:ascii="Arial" w:hAnsi="Arial" w:cs="Arial"/>
          <w:color w:val="000000" w:themeColor="text1"/>
          <w:lang w:val="en-GB"/>
        </w:rPr>
        <w:t>today is ”just” used for cost saving and flexibility, may turn into an unprecedented and pragmatic ”arm” for realising the ultimate promise of a truly cognitive network.</w:t>
      </w:r>
    </w:p>
    <w:p w14:paraId="5DBD2C2D" w14:textId="059DE5D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To complete the picture, the upper part of </w:t>
      </w:r>
      <w:r w:rsidRPr="0063079E">
        <w:rPr>
          <w:rFonts w:ascii="Arial" w:hAnsi="Arial" w:cs="Arial"/>
          <w:color w:val="000000" w:themeColor="text1"/>
        </w:rPr>
        <w:fldChar w:fldCharType="begin"/>
      </w:r>
      <w:r w:rsidRPr="0063079E">
        <w:rPr>
          <w:rFonts w:ascii="Arial" w:hAnsi="Arial" w:cs="Arial"/>
          <w:color w:val="000000" w:themeColor="text1"/>
        </w:rPr>
        <w:instrText xml:space="preserve"> REF _Ref511061131 \r \h  \* MERGEFORMAT </w:instrText>
      </w:r>
      <w:r w:rsidRPr="0063079E">
        <w:rPr>
          <w:rFonts w:ascii="Arial" w:hAnsi="Arial" w:cs="Arial"/>
          <w:color w:val="000000" w:themeColor="text1"/>
        </w:rPr>
      </w:r>
      <w:r w:rsidRPr="0063079E">
        <w:rPr>
          <w:rFonts w:ascii="Arial" w:hAnsi="Arial" w:cs="Arial"/>
          <w:color w:val="000000" w:themeColor="text1"/>
        </w:rPr>
        <w:fldChar w:fldCharType="separate"/>
      </w:r>
      <w:r w:rsidR="003F0180">
        <w:rPr>
          <w:rFonts w:ascii="Arial" w:hAnsi="Arial" w:cs="Arial"/>
          <w:color w:val="000000" w:themeColor="text1"/>
        </w:rPr>
        <w:t>0</w:t>
      </w:r>
      <w:r w:rsidRPr="0063079E">
        <w:rPr>
          <w:rFonts w:ascii="Arial" w:hAnsi="Arial" w:cs="Arial"/>
          <w:color w:val="000000" w:themeColor="text1"/>
        </w:rPr>
        <w:fldChar w:fldCharType="end"/>
      </w:r>
      <w:r w:rsidRPr="0012294F">
        <w:rPr>
          <w:rFonts w:ascii="Arial" w:hAnsi="Arial" w:cs="Arial"/>
          <w:color w:val="000000" w:themeColor="text1"/>
        </w:rPr>
        <w:t xml:space="preserve"> reports traditional and new requirements that should be satisfied by </w:t>
      </w:r>
      <w:r w:rsidRPr="0063079E">
        <w:rPr>
          <w:rFonts w:ascii="Arial" w:hAnsi="Arial" w:cs="Arial"/>
          <w:i/>
          <w:color w:val="000000" w:themeColor="text1"/>
        </w:rPr>
        <w:t>x</w:t>
      </w:r>
      <w:r w:rsidRPr="0063079E">
        <w:rPr>
          <w:rFonts w:ascii="Arial" w:hAnsi="Arial" w:cs="Arial"/>
          <w:color w:val="000000" w:themeColor="text1"/>
        </w:rPr>
        <w:t xml:space="preserve">G networks. From left to right, we start with traditional needs expressed in terms of </w:t>
      </w:r>
      <w:r w:rsidRPr="0063079E">
        <w:rPr>
          <w:rFonts w:ascii="Arial" w:hAnsi="Arial" w:cs="Arial"/>
          <w:i/>
          <w:color w:val="000000" w:themeColor="text1"/>
        </w:rPr>
        <w:t>performance of the network</w:t>
      </w:r>
      <w:r w:rsidRPr="0063079E">
        <w:rPr>
          <w:rFonts w:ascii="Arial" w:hAnsi="Arial" w:cs="Arial"/>
          <w:color w:val="000000" w:themeColor="text1"/>
        </w:rPr>
        <w:t xml:space="preserve">, continuing with </w:t>
      </w:r>
      <w:r w:rsidRPr="0063079E">
        <w:rPr>
          <w:rFonts w:ascii="Arial" w:hAnsi="Arial" w:cs="Arial"/>
          <w:i/>
          <w:color w:val="000000" w:themeColor="text1"/>
        </w:rPr>
        <w:t>ubiquity and xcast (broadcast is an important requirement for 5G)</w:t>
      </w:r>
      <w:r w:rsidRPr="0063079E">
        <w:rPr>
          <w:rFonts w:ascii="Arial" w:hAnsi="Arial" w:cs="Arial"/>
          <w:color w:val="000000" w:themeColor="text1"/>
        </w:rPr>
        <w:t xml:space="preserve"> and the more and more felt </w:t>
      </w:r>
      <w:r w:rsidRPr="0063079E">
        <w:rPr>
          <w:rFonts w:ascii="Arial" w:hAnsi="Arial" w:cs="Arial"/>
          <w:i/>
          <w:color w:val="000000" w:themeColor="text1"/>
        </w:rPr>
        <w:t>reliability/security/privacy</w:t>
      </w:r>
      <w:r w:rsidRPr="0063079E">
        <w:rPr>
          <w:rFonts w:ascii="Arial" w:hAnsi="Arial" w:cs="Arial"/>
          <w:color w:val="000000" w:themeColor="text1"/>
        </w:rPr>
        <w:t xml:space="preserve">, and </w:t>
      </w:r>
      <w:r w:rsidRPr="0063079E">
        <w:rPr>
          <w:rFonts w:ascii="Arial" w:hAnsi="Arial" w:cs="Arial"/>
          <w:i/>
          <w:color w:val="000000" w:themeColor="text1"/>
        </w:rPr>
        <w:t>cost/energy efficiency</w:t>
      </w:r>
      <w:r w:rsidRPr="0063079E">
        <w:rPr>
          <w:rFonts w:ascii="Arial" w:hAnsi="Arial" w:cs="Arial"/>
          <w:color w:val="000000" w:themeColor="text1"/>
        </w:rPr>
        <w:t xml:space="preserve">, which are cornerstones of the 5G network. Then we enter in more advanced and recent requests made to the network, which include </w:t>
      </w:r>
      <w:r w:rsidRPr="0063079E">
        <w:rPr>
          <w:rFonts w:ascii="Arial" w:hAnsi="Arial" w:cs="Arial"/>
          <w:i/>
          <w:color w:val="000000" w:themeColor="text1"/>
        </w:rPr>
        <w:t>localisation and physical analytics</w:t>
      </w:r>
      <w:r w:rsidRPr="0063079E">
        <w:rPr>
          <w:rFonts w:ascii="Arial" w:hAnsi="Arial" w:cs="Arial"/>
          <w:color w:val="000000" w:themeColor="text1"/>
        </w:rPr>
        <w:t xml:space="preserve">, </w:t>
      </w:r>
      <w:r w:rsidRPr="0063079E">
        <w:rPr>
          <w:rFonts w:ascii="Arial" w:hAnsi="Arial" w:cs="Arial"/>
          <w:i/>
          <w:color w:val="000000" w:themeColor="text1"/>
        </w:rPr>
        <w:t>intelligent/adaptive functionality</w:t>
      </w:r>
      <w:r w:rsidRPr="0063079E">
        <w:rPr>
          <w:rFonts w:ascii="Arial" w:hAnsi="Arial" w:cs="Arial"/>
          <w:color w:val="000000" w:themeColor="text1"/>
        </w:rPr>
        <w:t xml:space="preserve">, </w:t>
      </w:r>
      <w:r w:rsidRPr="0063079E">
        <w:rPr>
          <w:rFonts w:ascii="Arial" w:hAnsi="Arial" w:cs="Arial"/>
          <w:i/>
          <w:color w:val="000000" w:themeColor="text1"/>
        </w:rPr>
        <w:t>data provision and exploitation</w:t>
      </w:r>
      <w:r w:rsidRPr="0063079E">
        <w:rPr>
          <w:rFonts w:ascii="Arial" w:hAnsi="Arial" w:cs="Arial"/>
          <w:color w:val="000000" w:themeColor="text1"/>
        </w:rPr>
        <w:t xml:space="preserve"> and finally the need of a tighter </w:t>
      </w:r>
      <w:r w:rsidRPr="0063079E">
        <w:rPr>
          <w:rFonts w:ascii="Arial" w:hAnsi="Arial" w:cs="Arial"/>
          <w:i/>
          <w:color w:val="000000" w:themeColor="text1"/>
        </w:rPr>
        <w:t>coupling and interactions between telecommunication services provided by the network and applications</w:t>
      </w:r>
      <w:r w:rsidRPr="0063079E">
        <w:rPr>
          <w:rFonts w:ascii="Arial" w:hAnsi="Arial" w:cs="Arial"/>
          <w:color w:val="000000" w:themeColor="text1"/>
        </w:rPr>
        <w:t xml:space="preserve"> and the opportunity arising from directly providing applications as a network service.</w:t>
      </w:r>
    </w:p>
    <w:p w14:paraId="3D5490D1" w14:textId="740C5D6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process leads quite naturally to the emergence of </w:t>
      </w:r>
      <w:r w:rsidRPr="0063079E">
        <w:rPr>
          <w:rFonts w:ascii="Arial" w:hAnsi="Arial" w:cs="Arial"/>
          <w:i/>
          <w:color w:val="000000" w:themeColor="text1"/>
        </w:rPr>
        <w:t>Living and Fluid Networks</w:t>
      </w:r>
      <w:r>
        <w:rPr>
          <w:rFonts w:ascii="Arial" w:hAnsi="Arial" w:cs="Arial"/>
          <w:color w:val="000000" w:themeColor="text1"/>
        </w:rPr>
        <w:t xml:space="preserve"> </w:t>
      </w:r>
      <w:r w:rsidR="00AC44CE">
        <w:rPr>
          <w:rFonts w:ascii="Arial" w:hAnsi="Arial" w:cs="Arial"/>
        </w:rPr>
        <w:t>[C11-2</w:t>
      </w:r>
      <w:r w:rsidR="00AC44CE" w:rsidRPr="00DA6395">
        <w:rPr>
          <w:rFonts w:ascii="Arial" w:hAnsi="Arial" w:cs="Arial"/>
        </w:rPr>
        <w:t>]</w:t>
      </w:r>
      <w:r w:rsidR="00AC44CE">
        <w:rPr>
          <w:rFonts w:ascii="Arial" w:hAnsi="Arial" w:cs="Arial"/>
        </w:rPr>
        <w:t xml:space="preserve"> </w:t>
      </w:r>
      <w:r w:rsidRPr="0063079E">
        <w:rPr>
          <w:rFonts w:ascii="Arial" w:hAnsi="Arial" w:cs="Arial"/>
          <w:color w:val="000000" w:themeColor="text1"/>
        </w:rPr>
        <w:t xml:space="preserve">namely network architectures holding the ability to autonomously change to best adapt to context. In </w:t>
      </w:r>
      <w:r w:rsidRPr="0063079E">
        <w:rPr>
          <w:rFonts w:ascii="Arial" w:hAnsi="Arial" w:cs="Arial"/>
          <w:i/>
          <w:color w:val="000000" w:themeColor="text1"/>
        </w:rPr>
        <w:t>Living and Fluid networks</w:t>
      </w:r>
      <w:r w:rsidRPr="0063079E">
        <w:rPr>
          <w:rFonts w:ascii="Arial" w:hAnsi="Arial" w:cs="Arial"/>
          <w:color w:val="000000" w:themeColor="text1"/>
        </w:rPr>
        <w:t xml:space="preserve">, algorithms and protocols will be capable of understanding what they are used for and will tailor their algorithms and parameters to best suit the requirements of the different applications, appearing in 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446CED"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the unprecedented modularisation and ”fluidification” of computing and networking building blocks brought about by modern programmable networking trends (i.e. the ”fluid” aspect), and</w:t>
      </w:r>
    </w:p>
    <w:p w14:paraId="0C13B97C"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the ability to take autonomous (or semi-automated) cognitive orientation strategies and reconfiguration decisions, as provided by the extremely effective and increasingly pervasive modern AI/ML approaches (i.e. the ”living” aspect), and the intertwining of data and functions inside the network.</w:t>
      </w:r>
    </w:p>
    <w:p w14:paraId="6BBF8769" w14:textId="783E8606"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lastRenderedPageBreak/>
        <w:t>However, the high softwarization that ICT technologies will experience has a counterpart in terms of energy consumption. In this regard</w:t>
      </w:r>
      <w:r w:rsidRPr="00847DD6">
        <w:rPr>
          <w:rFonts w:ascii="Arial" w:hAnsi="Arial" w:cs="Arial"/>
          <w:color w:val="000000" w:themeColor="text1"/>
        </w:rPr>
        <w:t>, data centres can increase their energy consumption from the actual 2% of worldwide  electricity, to up the 8% by 2030</w:t>
      </w:r>
      <w:r>
        <w:rPr>
          <w:rFonts w:ascii="Arial" w:hAnsi="Arial" w:cs="Arial"/>
          <w:color w:val="000000" w:themeColor="text1"/>
        </w:rPr>
        <w:t xml:space="preserve"> </w:t>
      </w:r>
      <w:r w:rsidR="00AC44CE">
        <w:rPr>
          <w:rFonts w:ascii="Arial" w:hAnsi="Arial" w:cs="Arial"/>
        </w:rPr>
        <w:t>[C11-3</w:t>
      </w:r>
      <w:r w:rsidR="00AC44CE" w:rsidRPr="00DA6395">
        <w:rPr>
          <w:rFonts w:ascii="Arial" w:hAnsi="Arial" w:cs="Arial"/>
        </w:rPr>
        <w:t>]</w:t>
      </w:r>
      <w:r w:rsidR="00AC44CE">
        <w:rPr>
          <w:rFonts w:ascii="Arial" w:hAnsi="Arial" w:cs="Arial"/>
        </w:rPr>
        <w:t xml:space="preserve"> </w:t>
      </w:r>
      <w:r>
        <w:rPr>
          <w:rFonts w:ascii="Arial" w:hAnsi="Arial" w:cs="Arial"/>
          <w:color w:val="000000" w:themeColor="text1"/>
        </w:rPr>
        <w:t xml:space="preserve"> Moreover, also autonomous cognitive strategies will further contribute to the energy budget, since AI based solutions are energy hungry. In fact, </w:t>
      </w:r>
      <w:r w:rsidRPr="00847DD6">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sidR="00AC44CE">
        <w:rPr>
          <w:rFonts w:ascii="Arial" w:hAnsi="Arial" w:cs="Arial"/>
        </w:rPr>
        <w:t>[C11-4.</w:t>
      </w:r>
      <w:r w:rsidR="00AC44CE" w:rsidRPr="00DA6395">
        <w:rPr>
          <w:rFonts w:ascii="Arial" w:hAnsi="Arial" w:cs="Arial"/>
        </w:rPr>
        <w:t>]</w:t>
      </w:r>
      <w:r w:rsidR="00AC44CE">
        <w:rPr>
          <w:rFonts w:ascii="Arial" w:hAnsi="Arial" w:cs="Arial"/>
        </w:rPr>
        <w:t xml:space="preserve"> </w:t>
      </w:r>
    </w:p>
    <w:p w14:paraId="2DBABE4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Key to this evolution is the availability of: i) better underlying technologies, drastically improving communication and computing performance; ii) new techniques for network softwarisation and related primitives and interfaces; iii) intelligent and autonomous algorithms; iv) data; v) applications integrated with the network, performing in part also networking functionality.</w:t>
      </w:r>
    </w:p>
    <w:p w14:paraId="7BCC79B8" w14:textId="037F3FF4" w:rsidR="000E7551" w:rsidRPr="0063079E" w:rsidRDefault="000E7551" w:rsidP="000E7551">
      <w:pPr>
        <w:spacing w:after="0" w:line="240" w:lineRule="auto"/>
        <w:rPr>
          <w:rFonts w:ascii="Arial" w:hAnsi="Arial" w:cs="Arial"/>
          <w:color w:val="000000" w:themeColor="text1"/>
        </w:rPr>
      </w:pPr>
      <w:r w:rsidRPr="0063079E">
        <w:rPr>
          <w:rFonts w:ascii="Arial" w:hAnsi="Arial" w:cs="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5948C29E" w14:textId="77777777" w:rsidR="000E7551" w:rsidRPr="00AC44CE" w:rsidRDefault="000E7551" w:rsidP="00AC44CE">
      <w:pPr>
        <w:pStyle w:val="ListParagraph"/>
      </w:pPr>
      <w:bookmarkStart w:id="393" w:name="_Toc40773219"/>
      <w:bookmarkStart w:id="394" w:name="_Toc40777739"/>
      <w:bookmarkStart w:id="395" w:name="_Toc40784173"/>
      <w:bookmarkStart w:id="396" w:name="_Toc40793010"/>
      <w:bookmarkStart w:id="397" w:name="_Toc41304113"/>
      <w:bookmarkStart w:id="398" w:name="_Toc41304597"/>
      <w:bookmarkStart w:id="399" w:name="_Toc41304786"/>
      <w:bookmarkStart w:id="400" w:name="_Toc41304975"/>
      <w:bookmarkStart w:id="401" w:name="_Toc41300296"/>
      <w:bookmarkStart w:id="402" w:name="_Toc41346745"/>
      <w:bookmarkStart w:id="403" w:name="_Toc42020913"/>
      <w:bookmarkStart w:id="404" w:name="_Toc42023645"/>
      <w:bookmarkStart w:id="405" w:name="_Toc42069291"/>
      <w:bookmarkStart w:id="406" w:name="_Toc42070511"/>
      <w:bookmarkStart w:id="407" w:name="_Toc42070696"/>
      <w:bookmarkStart w:id="408" w:name="_Toc42070882"/>
      <w:bookmarkStart w:id="409" w:name="_Toc42071067"/>
      <w:bookmarkStart w:id="410" w:name="_Toc42071251"/>
      <w:bookmarkStart w:id="411" w:name="_Toc42071435"/>
      <w:bookmarkStart w:id="412" w:name="_Toc42071619"/>
      <w:bookmarkStart w:id="413" w:name="_Toc42071804"/>
      <w:bookmarkStart w:id="414" w:name="_Toc42076933"/>
      <w:bookmarkStart w:id="415" w:name="_Toc42077627"/>
      <w:bookmarkStart w:id="416" w:name="_Toc42118756"/>
      <w:bookmarkStart w:id="417" w:name="_Toc509817923"/>
      <w:bookmarkStart w:id="418" w:name="_Toc525463887"/>
      <w:bookmarkStart w:id="419" w:name="_Toc40072053"/>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6E6693BB" w14:textId="5FCAB558" w:rsidR="000E7551" w:rsidRDefault="000E7551" w:rsidP="000E7551">
      <w:pPr>
        <w:pStyle w:val="Heading2"/>
        <w:rPr>
          <w:lang w:eastAsia="de-DE"/>
        </w:rPr>
      </w:pPr>
      <w:bookmarkStart w:id="420" w:name="_Toc42177369"/>
      <w:r w:rsidRPr="0063079E">
        <w:rPr>
          <w:lang w:eastAsia="de-DE"/>
        </w:rPr>
        <w:t>The Physical Stratum: Communication and Computing Resources</w:t>
      </w:r>
      <w:bookmarkEnd w:id="417"/>
      <w:bookmarkEnd w:id="418"/>
      <w:bookmarkEnd w:id="419"/>
      <w:bookmarkEnd w:id="420"/>
    </w:p>
    <w:p w14:paraId="7E9BC9D5" w14:textId="77777777" w:rsidR="005F6376" w:rsidRPr="005F6376" w:rsidRDefault="005F6376" w:rsidP="005F6376">
      <w:pPr>
        <w:rPr>
          <w:lang w:eastAsia="de-DE"/>
        </w:rPr>
      </w:pPr>
    </w:p>
    <w:p w14:paraId="703E71EE" w14:textId="77777777" w:rsidR="000E7551" w:rsidRPr="0063079E" w:rsidRDefault="000E7551" w:rsidP="00DA6395">
      <w:pPr>
        <w:pStyle w:val="Heading3"/>
      </w:pPr>
      <w:bookmarkStart w:id="421" w:name="_Toc42177370"/>
      <w:bookmarkStart w:id="422" w:name="_Toc509817924"/>
      <w:bookmarkStart w:id="423" w:name="_Ref520041094"/>
      <w:bookmarkStart w:id="424" w:name="_Toc525463888"/>
      <w:bookmarkStart w:id="425" w:name="_Toc40072054"/>
      <w:r w:rsidRPr="0063079E">
        <w:t>Nano-</w:t>
      </w:r>
      <w:r>
        <w:t xml:space="preserve"> and Bio-Nano </w:t>
      </w:r>
      <w:r w:rsidRPr="0063079E">
        <w:t>Things</w:t>
      </w:r>
      <w:bookmarkEnd w:id="421"/>
      <w:r w:rsidRPr="0063079E">
        <w:t xml:space="preserve"> </w:t>
      </w:r>
      <w:bookmarkEnd w:id="422"/>
      <w:bookmarkEnd w:id="423"/>
      <w:bookmarkEnd w:id="424"/>
      <w:bookmarkEnd w:id="425"/>
    </w:p>
    <w:p w14:paraId="26A5A130" w14:textId="3C097D18"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many ”Things” we are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00AC44CE">
        <w:rPr>
          <w:rFonts w:ascii="Arial" w:hAnsi="Arial" w:cs="Arial"/>
        </w:rPr>
        <w:t>[C11-5</w:t>
      </w:r>
      <w:r w:rsidR="00AC44CE" w:rsidRPr="00DA6395">
        <w:rPr>
          <w:rFonts w:ascii="Arial" w:hAnsi="Arial" w:cs="Arial"/>
        </w:rPr>
        <w:t>]</w:t>
      </w:r>
      <w:r w:rsidR="00AC44CE">
        <w:rPr>
          <w:rFonts w:ascii="Arial" w:hAnsi="Arial" w:cs="Arial"/>
        </w:rPr>
        <w:t>.</w:t>
      </w:r>
      <w:r w:rsidRPr="0012294F">
        <w:rPr>
          <w:rFonts w:ascii="Arial" w:hAnsi="Arial" w:cs="Arial"/>
          <w:color w:val="000000" w:themeColor="text1"/>
        </w:rPr>
        <w:t xml:space="preserve"> Combating diseases via autonomous nano</w:t>
      </w:r>
      <w:r w:rsidRPr="0063079E">
        <w:rPr>
          <w:rFonts w:ascii="Arial" w:hAnsi="Arial" w:cs="Arial"/>
          <w:color w:val="000000" w:themeColor="text1"/>
        </w:rPr>
        <w:t>-machines,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w:t>
      </w:r>
      <w:r>
        <w:rPr>
          <w:rFonts w:ascii="Arial" w:hAnsi="Arial" w:cs="Arial"/>
          <w:color w:val="000000" w:themeColor="text1"/>
        </w:rPr>
        <w:t xml:space="preserve"> </w:t>
      </w:r>
      <w:r w:rsidR="00AC44CE">
        <w:rPr>
          <w:rFonts w:ascii="Arial" w:hAnsi="Arial" w:cs="Arial"/>
        </w:rPr>
        <w:t>[C11-6</w:t>
      </w:r>
      <w:r w:rsidR="00AC44CE" w:rsidRPr="00DA6395">
        <w:rPr>
          <w:rFonts w:ascii="Arial" w:hAnsi="Arial" w:cs="Arial"/>
        </w:rPr>
        <w:t>]</w:t>
      </w:r>
      <w:r w:rsidR="00AC44CE">
        <w:rPr>
          <w:rFonts w:ascii="Arial" w:hAnsi="Arial" w:cs="Arial"/>
        </w:rPr>
        <w:t>.</w:t>
      </w:r>
    </w:p>
    <w:p w14:paraId="3B256D4E" w14:textId="02D7805F"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w:t>
      </w:r>
      <w:r>
        <w:rPr>
          <w:rFonts w:ascii="Arial" w:hAnsi="Arial" w:cs="Arial"/>
          <w:color w:val="000000" w:themeColor="text1"/>
        </w:rPr>
        <w:t xml:space="preserve"> </w:t>
      </w:r>
      <w:r w:rsidR="00AC44CE">
        <w:rPr>
          <w:rFonts w:ascii="Arial" w:hAnsi="Arial" w:cs="Arial"/>
        </w:rPr>
        <w:t>[C11-7</w:t>
      </w:r>
      <w:r w:rsidR="00AC44CE" w:rsidRPr="00DA6395">
        <w:rPr>
          <w:rFonts w:ascii="Arial" w:hAnsi="Arial" w:cs="Arial"/>
        </w:rPr>
        <w:t>]</w:t>
      </w:r>
      <w:r w:rsidR="00AC44CE">
        <w:rPr>
          <w:rFonts w:ascii="Arial" w:hAnsi="Arial" w:cs="Arial"/>
        </w:rPr>
        <w:t xml:space="preserve"> </w:t>
      </w:r>
      <w:r w:rsidRPr="0063079E">
        <w:rPr>
          <w:rFonts w:ascii="Arial" w:hAnsi="Arial" w:cs="Arial"/>
          <w:color w:val="000000" w:themeColor="text1"/>
        </w:rPr>
        <w:t xml:space="preserve"> </w:t>
      </w:r>
      <w:r w:rsidRPr="0012294F">
        <w:rPr>
          <w:rFonts w:ascii="Arial" w:hAnsi="Arial" w:cs="Arial"/>
          <w:color w:val="000000" w:themeColor="text1"/>
        </w:rPr>
        <w:t xml:space="preserve">and self-monitoring and adapting industrial </w:t>
      </w:r>
      <w:r w:rsidR="00AC44CE">
        <w:rPr>
          <w:rFonts w:ascii="Arial" w:hAnsi="Arial" w:cs="Arial"/>
        </w:rPr>
        <w:t>[C11-8</w:t>
      </w:r>
      <w:r w:rsidR="00AC44CE" w:rsidRPr="00DA6395">
        <w:rPr>
          <w:rFonts w:ascii="Arial" w:hAnsi="Arial" w:cs="Arial"/>
        </w:rPr>
        <w:t>]</w:t>
      </w:r>
      <w:r w:rsidR="00AC44CE">
        <w:rPr>
          <w:rFonts w:ascii="Arial" w:hAnsi="Arial" w:cs="Arial"/>
        </w:rPr>
        <w:t>.</w:t>
      </w:r>
    </w:p>
    <w:p w14:paraId="25DF0C0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energy-optimised nano-networks communications.</w:t>
      </w:r>
    </w:p>
    <w:p w14:paraId="78DD0EF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Critical research challenges to be addressed in the area of nano-networks include:</w:t>
      </w:r>
    </w:p>
    <w:p w14:paraId="539493FD"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Classifying nano-communication paradigms per application scenario. A generalised and unified nano-node architecture is difficult to be obtained. Specific hardware and protocol designs must be produced for each envisioned application, to ensure that the limited nano-node size is optimally exploited in terms of the specifically required functionalities.</w:t>
      </w:r>
    </w:p>
    <w:p w14:paraId="05FE44D4"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Experimentally validated, application-specific communication channels. Pivotal studies in nano-networks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06A32C6C"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Solving the power supply problem. Studies must address the power supply problem in the case of all nano-network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3CEBCF93"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Solving the battery problem with nano-electronics, fast charging, explosion proof batteries are a must for the future.</w:t>
      </w:r>
    </w:p>
    <w:p w14:paraId="3D8717EA"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02AD39DD" w14:textId="77777777" w:rsidR="000E7551" w:rsidRPr="0063079E" w:rsidRDefault="000E7551" w:rsidP="00124439">
      <w:pPr>
        <w:pStyle w:val="ListParagraph"/>
        <w:numPr>
          <w:ilvl w:val="0"/>
          <w:numId w:val="22"/>
        </w:numPr>
        <w:spacing w:after="120" w:line="240" w:lineRule="auto"/>
        <w:jc w:val="both"/>
        <w:rPr>
          <w:rFonts w:ascii="Arial" w:hAnsi="Arial" w:cs="Arial"/>
          <w:color w:val="000000" w:themeColor="text1"/>
        </w:rPr>
      </w:pPr>
      <w:r w:rsidRPr="0063079E">
        <w:rPr>
          <w:rFonts w:ascii="Arial" w:hAnsi="Arial" w:cs="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4A917C32" w14:textId="77777777" w:rsidR="000E7551" w:rsidRPr="0063079E" w:rsidRDefault="000E7551" w:rsidP="00124439">
      <w:pPr>
        <w:pStyle w:val="ListParagraph"/>
        <w:numPr>
          <w:ilvl w:val="0"/>
          <w:numId w:val="22"/>
        </w:numPr>
        <w:spacing w:after="0" w:line="240" w:lineRule="auto"/>
        <w:jc w:val="both"/>
        <w:rPr>
          <w:rFonts w:ascii="Arial" w:hAnsi="Arial" w:cs="Arial"/>
          <w:color w:val="000000" w:themeColor="text1"/>
        </w:rPr>
      </w:pPr>
      <w:r w:rsidRPr="0063079E">
        <w:rPr>
          <w:rFonts w:ascii="Arial" w:hAnsi="Arial" w:cs="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function in an undesired manner.</w:t>
      </w:r>
    </w:p>
    <w:p w14:paraId="4A566AC0" w14:textId="77777777" w:rsidR="000E7551" w:rsidRPr="0063079E" w:rsidRDefault="000E7551" w:rsidP="000E7551">
      <w:pPr>
        <w:spacing w:after="0" w:line="240" w:lineRule="auto"/>
        <w:jc w:val="both"/>
        <w:rPr>
          <w:rFonts w:ascii="Arial" w:hAnsi="Arial" w:cs="Arial"/>
          <w:color w:val="000000" w:themeColor="text1"/>
        </w:rPr>
      </w:pPr>
    </w:p>
    <w:p w14:paraId="704A1765" w14:textId="77777777" w:rsidR="000E7551" w:rsidRPr="0063079E" w:rsidRDefault="000E7551" w:rsidP="000E7551">
      <w:pPr>
        <w:pStyle w:val="paragrafo"/>
        <w:spacing w:after="120" w:line="240" w:lineRule="auto"/>
        <w:rPr>
          <w:rFonts w:ascii="Arial" w:hAnsi="Arial" w:cs="Arial"/>
          <w:color w:val="000000" w:themeColor="text1"/>
          <w:lang w:val="en-GB"/>
        </w:rPr>
      </w:pPr>
      <w:r>
        <w:rPr>
          <w:rFonts w:ascii="Arial" w:hAnsi="Arial" w:cs="Arial"/>
          <w:color w:val="000000" w:themeColor="text1"/>
          <w:lang w:val="en-GB"/>
        </w:rPr>
        <w:t>T</w:t>
      </w:r>
      <w:r w:rsidRPr="0063079E">
        <w:rPr>
          <w:rFonts w:ascii="Arial" w:hAnsi="Arial" w:cs="Arial"/>
          <w:color w:val="000000" w:themeColor="text1"/>
          <w:lang w:val="en-GB"/>
        </w:rPr>
        <w:t xml:space="preserve">he artificial nature of IoNT devices can be detrimental for some environments such as inside the body or in natural ecosystems, where the deployment of nano-things and the electromagnetic communication could result in undesirable </w:t>
      </w:r>
      <w:r>
        <w:rPr>
          <w:rFonts w:ascii="Arial" w:hAnsi="Arial" w:cs="Arial"/>
          <w:color w:val="000000" w:themeColor="text1"/>
          <w:lang w:val="en-GB"/>
        </w:rPr>
        <w:t xml:space="preserve">effects in health or pollution. </w:t>
      </w:r>
      <w:r w:rsidRPr="0063079E">
        <w:rPr>
          <w:rFonts w:ascii="Arial" w:hAnsi="Arial" w:cs="Arial"/>
          <w:color w:val="000000" w:themeColor="text1"/>
          <w:lang w:val="en-GB"/>
        </w:rPr>
        <w:t>The novel paradigm of Internet of Bio-Nano-Things (IoBNT) is introduced here by stemming from synthetic biology and nano-technology tools that allow the engineering of biological embedded computing devices. Bio-Nano-Things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realise 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should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6570811D"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 xml:space="preserve">Due to the very small size, previously described nano-things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w:t>
      </w:r>
      <w:r w:rsidRPr="0063079E">
        <w:rPr>
          <w:rFonts w:ascii="Arial" w:hAnsi="Arial" w:cs="Arial"/>
          <w:color w:val="000000" w:themeColor="text1"/>
          <w:lang w:val="en-GB"/>
        </w:rPr>
        <w:lastRenderedPageBreak/>
        <w:t>called molecular communication. In MC literature, many systems have been proposed such as calcium signalling based on Ca+2 exchange among neighbouring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28162674"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Bio-Nano-Things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based on these processes could effectively provide a set of genetic instructions that mimic the classical gateways between different subnets on the Internet.</w:t>
      </w:r>
    </w:p>
    <w:p w14:paraId="74CDFFB6"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Finally, the realisation 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characterised by electrical or electromagnetic properties that can be altered by the presence of specific molecules. Electronic tattoos or artificial cells encapsulating electromagnetic antennas can also be considered as potential bio-cyber interfaces.</w:t>
      </w:r>
    </w:p>
    <w:p w14:paraId="1DD7E593" w14:textId="77777777" w:rsidR="000E7551" w:rsidRPr="0063079E" w:rsidRDefault="000E7551" w:rsidP="000E7551">
      <w:pPr>
        <w:pStyle w:val="paragrafo"/>
        <w:spacing w:after="120" w:line="240" w:lineRule="auto"/>
        <w:rPr>
          <w:rFonts w:ascii="Arial" w:hAnsi="Arial" w:cs="Arial"/>
          <w:color w:val="000000" w:themeColor="text1"/>
          <w:lang w:val="en-GB"/>
        </w:rPr>
      </w:pPr>
      <w:r w:rsidRPr="0063079E">
        <w:rPr>
          <w:rFonts w:ascii="Arial" w:hAnsi="Arial" w:cs="Arial"/>
          <w:color w:val="000000" w:themeColor="text1"/>
          <w:lang w:val="en-GB"/>
        </w:rPr>
        <w:t>IoBNT can revolutionise 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Pr>
          <w:rFonts w:ascii="Arial" w:hAnsi="Arial" w:cs="Arial"/>
          <w:color w:val="000000" w:themeColor="text1"/>
          <w:lang w:val="en-GB"/>
        </w:rPr>
        <w:t>tically engineered cell-</w:t>
      </w:r>
      <w:r w:rsidRPr="0063079E">
        <w:rPr>
          <w:rFonts w:ascii="Arial" w:hAnsi="Arial" w:cs="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7E8F0700" w14:textId="77777777" w:rsidR="000E7551" w:rsidRPr="0063079E" w:rsidRDefault="000E7551" w:rsidP="000E7551">
      <w:pPr>
        <w:pStyle w:val="paragrafo"/>
        <w:spacing w:after="0" w:line="240" w:lineRule="auto"/>
        <w:rPr>
          <w:rFonts w:ascii="Arial" w:hAnsi="Arial" w:cs="Arial"/>
          <w:color w:val="000000" w:themeColor="text1"/>
          <w:lang w:val="en-GB"/>
        </w:rPr>
      </w:pPr>
      <w:r w:rsidRPr="0063079E">
        <w:rPr>
          <w:rFonts w:ascii="Arial" w:hAnsi="Arial" w:cs="Arial"/>
          <w:color w:val="000000" w:themeColor="text1"/>
          <w:lang w:val="en-GB"/>
        </w:rPr>
        <w:t>With the aim of realising 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the nervous system. Hence, MGBA can be considered as a IoBNT communication network infrastructure.</w:t>
      </w:r>
    </w:p>
    <w:p w14:paraId="500C7998" w14:textId="77777777" w:rsidR="000E7551" w:rsidRPr="0063079E" w:rsidRDefault="000E7551" w:rsidP="000E7551">
      <w:pPr>
        <w:pStyle w:val="paragrafo"/>
        <w:spacing w:after="0" w:line="240" w:lineRule="auto"/>
        <w:rPr>
          <w:rFonts w:ascii="Arial" w:hAnsi="Arial" w:cs="Arial"/>
          <w:color w:val="000000" w:themeColor="text1"/>
          <w:lang w:val="en-GB"/>
        </w:rPr>
      </w:pPr>
    </w:p>
    <w:p w14:paraId="09A199F5" w14:textId="77777777" w:rsidR="000E7551" w:rsidRPr="0063079E" w:rsidRDefault="000E7551" w:rsidP="00DA6395">
      <w:pPr>
        <w:pStyle w:val="Heading3"/>
      </w:pPr>
      <w:bookmarkStart w:id="426" w:name="_Toc509817926"/>
      <w:bookmarkStart w:id="427" w:name="_Toc525463890"/>
      <w:bookmarkStart w:id="428" w:name="_Toc40072056"/>
      <w:bookmarkStart w:id="429" w:name="_Toc42177371"/>
      <w:r w:rsidRPr="0063079E">
        <w:t>Quantum Networking</w:t>
      </w:r>
      <w:bookmarkEnd w:id="426"/>
      <w:bookmarkEnd w:id="427"/>
      <w:bookmarkEnd w:id="428"/>
      <w:bookmarkEnd w:id="429"/>
    </w:p>
    <w:p w14:paraId="179C0866" w14:textId="77777777" w:rsidR="000E7551" w:rsidRPr="0063079E" w:rsidRDefault="000E7551" w:rsidP="000E7551">
      <w:pPr>
        <w:spacing w:after="120" w:line="240" w:lineRule="auto"/>
        <w:jc w:val="both"/>
        <w:rPr>
          <w:rFonts w:ascii="Arial" w:hAnsi="Arial" w:cs="Arial"/>
          <w:color w:val="000000" w:themeColor="text1"/>
        </w:rPr>
      </w:pPr>
      <w:r w:rsidRPr="00FC4D69">
        <w:rPr>
          <w:rFonts w:ascii="Arial" w:hAnsi="Arial" w:cs="Arial"/>
          <w:color w:val="000000" w:themeColor="text1"/>
        </w:rPr>
        <w:t>In a global scenario where innovation will continue to drive the global economy into the next decade, Quantum Optical Communications are likely to disrupt Information and Communications Technology (ICT) and Telecommunications.</w:t>
      </w:r>
      <w:r>
        <w:rPr>
          <w:rFonts w:ascii="Arial" w:hAnsi="Arial" w:cs="Arial"/>
          <w:color w:val="000000" w:themeColor="text1"/>
        </w:rPr>
        <w:t xml:space="preserve"> </w:t>
      </w:r>
      <w:r w:rsidRPr="007A4D50">
        <w:rPr>
          <w:rFonts w:ascii="Arial" w:hAnsi="Arial" w:cs="Arial"/>
          <w:color w:val="000000" w:themeColor="text1"/>
        </w:rPr>
        <w:t xml:space="preserve">Future application scenarios where Quantum Optical Communications technologies are exploited will contribute providing innovative services such as: ultra-massive scale communications for ambient intelligence and </w:t>
      </w:r>
      <w:r w:rsidRPr="007A4D50">
        <w:rPr>
          <w:rFonts w:ascii="Arial" w:hAnsi="Arial" w:cs="Arial"/>
          <w:color w:val="000000" w:themeColor="text1"/>
        </w:rPr>
        <w:lastRenderedPageBreak/>
        <w:t>connected spaces, holographic telepresence, tactile Internet, new paradigms of brain computer interactions, new forms of communications….</w:t>
      </w:r>
    </w:p>
    <w:p w14:paraId="57FAF3F7" w14:textId="77777777"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This</w:t>
      </w:r>
      <w:r w:rsidRPr="0063079E">
        <w:rPr>
          <w:rFonts w:ascii="Arial" w:hAnsi="Arial" w:cs="Arial"/>
          <w:color w:val="000000" w:themeColor="text1"/>
        </w:rPr>
        <w:t xml:space="preserve"> new generation of systems based on the intrinsic quantum properties of the physical stratum has been progressively made available</w:t>
      </w:r>
      <w:r w:rsidRPr="007A4D50">
        <w:rPr>
          <w:rFonts w:ascii="Arial" w:hAnsi="Arial" w:cs="Arial"/>
          <w:color w:val="000000" w:themeColor="text1"/>
        </w:rPr>
        <w:t xml:space="preserve"> </w:t>
      </w:r>
      <w:r>
        <w:rPr>
          <w:rFonts w:ascii="Arial" w:hAnsi="Arial" w:cs="Arial"/>
          <w:color w:val="000000" w:themeColor="text1"/>
        </w:rPr>
        <w:t>d</w:t>
      </w:r>
      <w:r w:rsidRPr="0063079E">
        <w:rPr>
          <w:rFonts w:ascii="Arial" w:hAnsi="Arial" w:cs="Arial"/>
          <w:color w:val="000000" w:themeColor="text1"/>
        </w:rPr>
        <w:t>uring the last 20 years. Such systems consist of a classical interface communicating with the standard equipment on one side, and a quantum sub-system sufficiently decoupled from the environment that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stratum at the quantum limit allow encoding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516E2C7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0AAB992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(QKD) based on either single or entangled photons relies on the capability of detecting an intruder because of its effect on the quantum states used to encode the secure one-time-pad key. The physical stratum for quantum 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1 Gbps,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741E7C0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Key Distribution protocols are currently the most advanced among the secure quantum communication protocols. However, to be competitive with existing security technologies two main areas of development are identified.</w:t>
      </w:r>
    </w:p>
    <w:p w14:paraId="5088E7BE" w14:textId="2BB439C9" w:rsidR="000E7551" w:rsidRPr="0063079E" w:rsidRDefault="000E7551" w:rsidP="000E7551">
      <w:pPr>
        <w:pStyle w:val="ListParagraph"/>
        <w:spacing w:after="120" w:line="240" w:lineRule="auto"/>
        <w:ind w:left="0"/>
        <w:contextualSpacing w:val="0"/>
        <w:jc w:val="both"/>
        <w:rPr>
          <w:rFonts w:ascii="Arial" w:hAnsi="Arial" w:cs="Arial"/>
          <w:color w:val="000000" w:themeColor="text1"/>
        </w:rPr>
      </w:pPr>
      <w:r w:rsidRPr="0063079E">
        <w:rPr>
          <w:rFonts w:ascii="Arial" w:hAnsi="Arial" w:cs="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00056F84">
        <w:rPr>
          <w:rFonts w:ascii="Arial" w:hAnsi="Arial" w:cs="Arial"/>
          <w:color w:val="000000" w:themeColor="text1"/>
        </w:rPr>
        <w:t xml:space="preserve">[C11-9] </w:t>
      </w:r>
      <w:r w:rsidRPr="0012294F">
        <w:rPr>
          <w:rFonts w:ascii="Arial" w:hAnsi="Arial" w:cs="Arial"/>
          <w:color w:val="000000" w:themeColor="text1"/>
        </w:rPr>
        <w:t>should be developed and implemented. Short term (3 years) and medium term (6 years) targets are &gt;</w:t>
      </w:r>
      <w:r w:rsidRPr="0063079E">
        <w:rPr>
          <w:rFonts w:ascii="Arial" w:hAnsi="Arial" w:cs="Arial"/>
          <w:color w:val="000000" w:themeColor="text1"/>
        </w:rPr>
        <w:t xml:space="preserve"> 10 Mbps and &gt; 100 Mbps at metropolitan distance.</w:t>
      </w:r>
    </w:p>
    <w:p w14:paraId="2F2F3DB7" w14:textId="79015412" w:rsidR="000E7551" w:rsidRPr="0063079E" w:rsidRDefault="000E7551" w:rsidP="000E7551">
      <w:pPr>
        <w:pStyle w:val="ListParagraph"/>
        <w:spacing w:after="120" w:line="240" w:lineRule="auto"/>
        <w:ind w:left="0"/>
        <w:jc w:val="both"/>
        <w:rPr>
          <w:rFonts w:ascii="Arial" w:hAnsi="Arial" w:cs="Arial"/>
          <w:color w:val="000000" w:themeColor="text1"/>
        </w:rPr>
      </w:pPr>
      <w:r w:rsidRPr="0063079E">
        <w:rPr>
          <w:rFonts w:ascii="Arial" w:hAnsi="Arial" w:cs="Arial"/>
          <w:color w:val="000000" w:themeColor="text1"/>
        </w:rPr>
        <w:t xml:space="preserve">The second area concerns the performance and the application. Device independent protocols address security loopholes issues introduced by imperfect or untrusted systems. </w:t>
      </w:r>
      <w:r w:rsidRPr="0063079E">
        <w:rPr>
          <w:rFonts w:ascii="Arial" w:hAnsi="Arial" w:cs="Arial"/>
          <w:color w:val="000000" w:themeColor="text1"/>
        </w:rPr>
        <w:lastRenderedPageBreak/>
        <w:t xml:space="preserve">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sidR="00056F84">
        <w:rPr>
          <w:rFonts w:ascii="Arial" w:hAnsi="Arial" w:cs="Arial"/>
          <w:color w:val="000000" w:themeColor="text1"/>
        </w:rPr>
        <w:t xml:space="preserve">[C11-10] </w:t>
      </w:r>
      <w:r w:rsidRPr="0012294F">
        <w:rPr>
          <w:rFonts w:ascii="Arial" w:hAnsi="Arial" w:cs="Arial"/>
          <w:color w:val="000000" w:themeColor="text1"/>
        </w:rPr>
        <w:t>is a</w:t>
      </w:r>
      <w:r w:rsidRPr="0063079E">
        <w:rPr>
          <w:rFonts w:ascii="Arial" w:hAnsi="Arial" w:cs="Arial"/>
          <w:color w:val="000000" w:themeColor="text1"/>
        </w:rPr>
        <w:t xml:space="preserve"> way to increase the capacity and to enhance the robustness against eavesdropping. New challenges are to: i) propose different implementations, in particular different from those using orbital angular momentum of light to make the method compliant with existing single mode fibre networks, ii) Extend the transmission up to 10 km in fibre links.</w:t>
      </w:r>
    </w:p>
    <w:p w14:paraId="425F5937" w14:textId="44E9195C" w:rsidR="000E7551" w:rsidRPr="0012294F" w:rsidRDefault="000E7551" w:rsidP="000E7551">
      <w:pPr>
        <w:spacing w:after="120" w:line="240" w:lineRule="auto"/>
        <w:jc w:val="both"/>
        <w:rPr>
          <w:rFonts w:ascii="Arial" w:hAnsi="Arial" w:cs="Arial"/>
          <w:color w:val="000000" w:themeColor="text1"/>
          <w:lang w:eastAsia="fr-FR"/>
        </w:rPr>
      </w:pPr>
      <w:r w:rsidRPr="0063079E">
        <w:rPr>
          <w:rFonts w:ascii="Arial" w:hAnsi="Arial" w:cs="Arial"/>
          <w:color w:val="000000" w:themeColor="text1"/>
        </w:rPr>
        <w:t>Apart from the Quantum Key Distribution, other quantum secure communication protocols should be extended beyond laboratory proof-of-principle demonstrations. Here a non-exhaustive list is presented: quantum multiparty communication protocols</w:t>
      </w:r>
      <w:r>
        <w:rPr>
          <w:rFonts w:ascii="Arial" w:hAnsi="Arial" w:cs="Arial"/>
          <w:color w:val="000000" w:themeColor="text1"/>
        </w:rPr>
        <w:t xml:space="preserve"> </w:t>
      </w:r>
      <w:r w:rsidR="00056F84" w:rsidRPr="0063079E">
        <w:rPr>
          <w:rFonts w:ascii="Arial" w:hAnsi="Arial" w:cs="Arial"/>
          <w:color w:val="000000" w:themeColor="text1"/>
        </w:rPr>
        <w:t xml:space="preserve"> </w:t>
      </w:r>
      <w:r w:rsidR="00056F84">
        <w:rPr>
          <w:rFonts w:ascii="Arial" w:hAnsi="Arial" w:cs="Arial"/>
          <w:color w:val="000000" w:themeColor="text1"/>
        </w:rPr>
        <w:t>[C11-11]</w:t>
      </w:r>
      <w:r w:rsidRPr="0012294F">
        <w:rPr>
          <w:rFonts w:ascii="Arial" w:hAnsi="Arial" w:cs="Arial"/>
          <w:color w:val="000000" w:themeColor="text1"/>
        </w:rPr>
        <w:t>, quantum public-key cryptography</w:t>
      </w:r>
      <w:r w:rsidR="00056F84">
        <w:rPr>
          <w:rFonts w:ascii="Arial" w:hAnsi="Arial" w:cs="Arial"/>
          <w:color w:val="000000" w:themeColor="text1"/>
        </w:rPr>
        <w:t xml:space="preserve"> </w:t>
      </w:r>
      <w:r w:rsidR="00056F84" w:rsidRPr="0063079E">
        <w:rPr>
          <w:rFonts w:ascii="Arial" w:hAnsi="Arial" w:cs="Arial"/>
          <w:color w:val="000000" w:themeColor="text1"/>
        </w:rPr>
        <w:t xml:space="preserve"> </w:t>
      </w:r>
      <w:r w:rsidR="00056F84">
        <w:rPr>
          <w:rFonts w:ascii="Arial" w:hAnsi="Arial" w:cs="Arial"/>
          <w:color w:val="000000" w:themeColor="text1"/>
        </w:rPr>
        <w:t>[C11-12]</w:t>
      </w:r>
      <w:r w:rsidRPr="0012294F">
        <w:rPr>
          <w:rFonts w:ascii="Arial" w:hAnsi="Arial" w:cs="Arial"/>
          <w:color w:val="000000" w:themeColor="text1"/>
        </w:rPr>
        <w:t xml:space="preserve"> </w:t>
      </w:r>
      <w:r w:rsidRPr="0063079E">
        <w:rPr>
          <w:rFonts w:ascii="Arial" w:hAnsi="Arial" w:cs="Arial"/>
          <w:color w:val="000000" w:themeColor="text1"/>
          <w:lang w:eastAsia="fr-FR"/>
        </w:rPr>
        <w:t>quantum secure direct communication</w:t>
      </w:r>
      <w:r>
        <w:rPr>
          <w:rFonts w:ascii="Arial" w:hAnsi="Arial" w:cs="Arial"/>
          <w:color w:val="000000" w:themeColor="text1"/>
          <w:lang w:eastAsia="fr-FR"/>
        </w:rPr>
        <w:t xml:space="preserve"> </w:t>
      </w:r>
      <w:r w:rsidR="00056F84" w:rsidRPr="0063079E">
        <w:rPr>
          <w:rFonts w:ascii="Arial" w:hAnsi="Arial" w:cs="Arial"/>
          <w:color w:val="000000" w:themeColor="text1"/>
        </w:rPr>
        <w:t xml:space="preserve"> </w:t>
      </w:r>
      <w:r w:rsidR="00056F84">
        <w:rPr>
          <w:rFonts w:ascii="Arial" w:hAnsi="Arial" w:cs="Arial"/>
          <w:color w:val="000000" w:themeColor="text1"/>
        </w:rPr>
        <w:t>[C11-13]</w:t>
      </w:r>
      <w:r w:rsidRPr="0012294F">
        <w:rPr>
          <w:rFonts w:ascii="Arial" w:hAnsi="Arial" w:cs="Arial"/>
          <w:color w:val="000000" w:themeColor="text1"/>
          <w:lang w:eastAsia="fr-FR"/>
        </w:rPr>
        <w:t xml:space="preserve"> quantum digital signatures</w:t>
      </w:r>
      <w:r>
        <w:rPr>
          <w:rFonts w:ascii="Arial" w:hAnsi="Arial" w:cs="Arial"/>
          <w:color w:val="000000" w:themeColor="text1"/>
          <w:lang w:eastAsia="fr-FR"/>
        </w:rPr>
        <w:t xml:space="preserve"> </w:t>
      </w:r>
      <w:r w:rsidR="00056F84" w:rsidRPr="0063079E">
        <w:rPr>
          <w:rFonts w:ascii="Arial" w:hAnsi="Arial" w:cs="Arial"/>
          <w:color w:val="000000" w:themeColor="text1"/>
        </w:rPr>
        <w:t xml:space="preserve"> </w:t>
      </w:r>
      <w:r w:rsidR="00056F84">
        <w:rPr>
          <w:rFonts w:ascii="Arial" w:hAnsi="Arial" w:cs="Arial"/>
          <w:color w:val="000000" w:themeColor="text1"/>
        </w:rPr>
        <w:t>[C11-14]</w:t>
      </w:r>
      <w:r w:rsidRPr="0012294F">
        <w:rPr>
          <w:rFonts w:ascii="Arial" w:hAnsi="Arial" w:cs="Arial"/>
          <w:color w:val="000000" w:themeColor="text1"/>
          <w:lang w:eastAsia="fr-FR"/>
        </w:rPr>
        <w:t>.</w:t>
      </w:r>
    </w:p>
    <w:p w14:paraId="5EEE749C" w14:textId="38E4C3B3"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Free-space and optical fibre are the most commonly used transmission channels of QKD systems. Numerous proof of concept experiments has been performed demonstrating long distance transmission both in fibre </w:t>
      </w:r>
      <w:r w:rsidR="00056F84" w:rsidRPr="0063079E">
        <w:rPr>
          <w:rFonts w:ascii="Arial" w:hAnsi="Arial" w:cs="Arial"/>
          <w:color w:val="000000" w:themeColor="text1"/>
        </w:rPr>
        <w:t xml:space="preserve"> </w:t>
      </w:r>
      <w:r w:rsidR="00056F84">
        <w:rPr>
          <w:rFonts w:ascii="Arial" w:hAnsi="Arial" w:cs="Arial"/>
          <w:color w:val="000000" w:themeColor="text1"/>
        </w:rPr>
        <w:t xml:space="preserve">[C11-15] and </w:t>
      </w:r>
      <w:r w:rsidRPr="0012294F">
        <w:rPr>
          <w:rFonts w:ascii="Arial" w:hAnsi="Arial" w:cs="Arial"/>
          <w:color w:val="000000" w:themeColor="text1"/>
        </w:rPr>
        <w:t xml:space="preserve">in free-space links </w:t>
      </w:r>
      <w:r w:rsidR="00056F84" w:rsidRPr="0063079E">
        <w:rPr>
          <w:rFonts w:ascii="Arial" w:hAnsi="Arial" w:cs="Arial"/>
          <w:color w:val="000000" w:themeColor="text1"/>
        </w:rPr>
        <w:t xml:space="preserve"> </w:t>
      </w:r>
      <w:r w:rsidR="00056F84">
        <w:rPr>
          <w:rFonts w:ascii="Arial" w:hAnsi="Arial" w:cs="Arial"/>
          <w:color w:val="000000" w:themeColor="text1"/>
        </w:rPr>
        <w:t>[C11-16].</w:t>
      </w:r>
    </w:p>
    <w:p w14:paraId="7CFC788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Free-space QKD can address the increasing demand for security in handled devices for short distance applications, e.g. secure transmission to ATM terminals, or can allow the development of global scale QKD network using satellite communications. The development of on-chip and relatively low-cost devices operating at 810 nm for short distances, or 1550 nm for satellite communication (immunity against the daylight) would be a key enabler for the realistic implementation of QKD for free space applications.</w:t>
      </w:r>
    </w:p>
    <w:p w14:paraId="7CA80C6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fibre networks, extend the transmission distance beyond 400 km remains a challenge due to the intrinsic fibre loss. Two main strategies can circumvent this limitation. The first strategy would be the development of trusted backbones, which allow meshing the long distances. This strategy entails also the development of efficient, low cost, on chip sources, detectors and manipulating components operating at 1550 nm. The second strategy consists in implementing quantum repeaters, which is still challenging.</w:t>
      </w:r>
    </w:p>
    <w:p w14:paraId="55F000D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735E027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Quantum networking for quantum key distribution deals with the 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Internet. Such distributed quantum computing is also called networked quantum computing.</w:t>
      </w:r>
    </w:p>
    <w:p w14:paraId="78916372" w14:textId="50ABDB62" w:rsidR="000E7551" w:rsidRPr="0012294F"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centres in semiconductors from cryogenic to room temperature depending on the defect and the host material </w:t>
      </w:r>
      <w:r w:rsidR="00056F84" w:rsidRPr="0063079E">
        <w:rPr>
          <w:rFonts w:ascii="Arial" w:hAnsi="Arial" w:cs="Arial"/>
          <w:color w:val="000000" w:themeColor="text1"/>
        </w:rPr>
        <w:t xml:space="preserve"> </w:t>
      </w:r>
      <w:r w:rsidR="00056F84">
        <w:rPr>
          <w:rFonts w:ascii="Arial" w:hAnsi="Arial" w:cs="Arial"/>
          <w:color w:val="000000" w:themeColor="text1"/>
        </w:rPr>
        <w:t xml:space="preserve">[C11-17] </w:t>
      </w:r>
      <w:r w:rsidRPr="0012294F">
        <w:rPr>
          <w:rFonts w:ascii="Arial" w:hAnsi="Arial" w:cs="Arial"/>
          <w:color w:val="000000" w:themeColor="text1"/>
        </w:rPr>
        <w:t>or cryogenic ion traps or cavity quantum electrodynamics. The communication lines by eit</w:t>
      </w:r>
      <w:r w:rsidRPr="0063079E">
        <w:rPr>
          <w:rFonts w:ascii="Arial" w:hAnsi="Arial" w:cs="Arial"/>
          <w:color w:val="000000" w:themeColor="text1"/>
        </w:rPr>
        <w:t xml:space="preserve">her optical fibres or free space have been already discussed. Quantum switches may rely on the matter-radiation interaction such as single atom-photon based switches, capable for instance to switch the phase of the quantum state </w:t>
      </w:r>
      <w:r w:rsidR="00056F84" w:rsidRPr="0063079E">
        <w:rPr>
          <w:rFonts w:ascii="Arial" w:hAnsi="Arial" w:cs="Arial"/>
          <w:color w:val="000000" w:themeColor="text1"/>
        </w:rPr>
        <w:t xml:space="preserve"> </w:t>
      </w:r>
      <w:r w:rsidR="00056F84">
        <w:rPr>
          <w:rFonts w:ascii="Arial" w:hAnsi="Arial" w:cs="Arial"/>
          <w:color w:val="000000" w:themeColor="text1"/>
        </w:rPr>
        <w:t xml:space="preserve">[C11-18] </w:t>
      </w:r>
      <w:r w:rsidRPr="0012294F">
        <w:rPr>
          <w:rFonts w:ascii="Arial" w:hAnsi="Arial" w:cs="Arial"/>
          <w:color w:val="000000" w:themeColor="text1"/>
        </w:rPr>
        <w:t xml:space="preserve">In order to extend the communication range, which is limited by both decoherence and losses, quantum repeaters based on cryogenic rare earths-based </w:t>
      </w:r>
      <w:r w:rsidRPr="0063079E">
        <w:rPr>
          <w:rFonts w:ascii="Arial" w:hAnsi="Arial" w:cs="Arial"/>
          <w:color w:val="000000" w:themeColor="text1"/>
        </w:rPr>
        <w:t>components are required. Alternatively, a suitable protocol scheme applicable at room temperature has also been proposed, with the advantage of not involving cryogenic equipment</w:t>
      </w:r>
      <w:r w:rsidR="00056F84">
        <w:rPr>
          <w:rFonts w:ascii="Arial" w:hAnsi="Arial" w:cs="Arial"/>
          <w:color w:val="000000" w:themeColor="text1"/>
        </w:rPr>
        <w:t xml:space="preserve"> </w:t>
      </w:r>
      <w:r w:rsidR="00056F84" w:rsidRPr="0063079E">
        <w:rPr>
          <w:rFonts w:ascii="Arial" w:hAnsi="Arial" w:cs="Arial"/>
          <w:color w:val="000000" w:themeColor="text1"/>
        </w:rPr>
        <w:t xml:space="preserve"> </w:t>
      </w:r>
      <w:r w:rsidR="00056F84">
        <w:rPr>
          <w:rFonts w:ascii="Arial" w:hAnsi="Arial" w:cs="Arial"/>
          <w:color w:val="000000" w:themeColor="text1"/>
        </w:rPr>
        <w:lastRenderedPageBreak/>
        <w:t>[C11-19]</w:t>
      </w:r>
      <w:r w:rsidRPr="0012294F">
        <w:rPr>
          <w:rFonts w:ascii="Arial" w:hAnsi="Arial" w:cs="Arial"/>
          <w:color w:val="000000" w:themeColor="text1"/>
        </w:rPr>
        <w:t>. Another direction towa</w:t>
      </w:r>
      <w:r w:rsidRPr="0063079E">
        <w:rPr>
          <w:rFonts w:ascii="Arial" w:hAnsi="Arial" w:cs="Arial"/>
          <w:color w:val="000000" w:themeColor="text1"/>
        </w:rPr>
        <w:t>rds quantum simulation is the Ising-Hamiltonian model (</w:t>
      </w:r>
      <w:r w:rsidRPr="0063079E">
        <w:rPr>
          <w:rFonts w:ascii="Arial" w:hAnsi="Arial" w:cs="Arial"/>
        </w:rPr>
        <w:t>a mathematical model of ferromagnetism in statistical mechanics) that</w:t>
      </w:r>
      <w:r w:rsidRPr="0012294F">
        <w:rPr>
          <w:rFonts w:ascii="Arial" w:hAnsi="Arial" w:cs="Arial"/>
          <w:color w:val="000000" w:themeColor="text1"/>
        </w:rPr>
        <w:t xml:space="preserve"> is represented by room temperature networks of optical parametri</w:t>
      </w:r>
      <w:r w:rsidRPr="0063079E">
        <w:rPr>
          <w:rFonts w:ascii="Arial" w:hAnsi="Arial" w:cs="Arial"/>
          <w:color w:val="000000" w:themeColor="text1"/>
        </w:rPr>
        <w:t>c oscillators as coherent Ising-machines</w:t>
      </w:r>
      <w:r w:rsidR="00056F84">
        <w:rPr>
          <w:rFonts w:ascii="Arial" w:hAnsi="Arial" w:cs="Arial"/>
          <w:color w:val="000000" w:themeColor="text1"/>
        </w:rPr>
        <w:t xml:space="preserve"> </w:t>
      </w:r>
      <w:r w:rsidR="00056F84" w:rsidRPr="0063079E">
        <w:rPr>
          <w:rFonts w:ascii="Arial" w:hAnsi="Arial" w:cs="Arial"/>
          <w:color w:val="000000" w:themeColor="text1"/>
        </w:rPr>
        <w:t xml:space="preserve"> </w:t>
      </w:r>
      <w:r w:rsidR="00056F84">
        <w:rPr>
          <w:rFonts w:ascii="Arial" w:hAnsi="Arial" w:cs="Arial"/>
          <w:color w:val="000000" w:themeColor="text1"/>
        </w:rPr>
        <w:t>[C11-20]</w:t>
      </w:r>
      <w:r w:rsidRPr="0012294F">
        <w:rPr>
          <w:rFonts w:ascii="Arial" w:hAnsi="Arial" w:cs="Arial"/>
          <w:color w:val="000000" w:themeColor="text1"/>
        </w:rPr>
        <w:t>.</w:t>
      </w:r>
    </w:p>
    <w:p w14:paraId="7CA112E8"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Quantum systems have been demonstrated by several materials at cryogenic temperature. In order to spread their employment in standard telecommunication systems for a novel level of quantum-based security, an effort is required to integrate such quantum systems into silicon photonics and integrated photonic platforms from quasi-room to room temperature.</w:t>
      </w:r>
    </w:p>
    <w:p w14:paraId="4A5F5048" w14:textId="77777777" w:rsidR="000E7551" w:rsidRDefault="000E7551" w:rsidP="000E7551">
      <w:pPr>
        <w:spacing w:after="0" w:line="240" w:lineRule="auto"/>
        <w:jc w:val="both"/>
        <w:rPr>
          <w:rFonts w:ascii="Arial" w:hAnsi="Arial" w:cs="Arial"/>
          <w:color w:val="000000" w:themeColor="text1"/>
        </w:rPr>
      </w:pPr>
    </w:p>
    <w:p w14:paraId="4597B9B1" w14:textId="77777777" w:rsidR="000E7551" w:rsidRPr="006D7C17" w:rsidRDefault="000E7551" w:rsidP="00DA6395">
      <w:pPr>
        <w:pStyle w:val="Heading3"/>
      </w:pPr>
      <w:bookmarkStart w:id="430" w:name="_Toc40072057"/>
      <w:bookmarkStart w:id="431" w:name="_Toc42177372"/>
      <w:r w:rsidRPr="006D7C17">
        <w:t>AI/ML for the Physical Layer</w:t>
      </w:r>
      <w:bookmarkEnd w:id="430"/>
      <w:bookmarkEnd w:id="431"/>
    </w:p>
    <w:p w14:paraId="68BB857A" w14:textId="77777777" w:rsidR="000E7551" w:rsidRDefault="000E7551" w:rsidP="000E7551">
      <w:pPr>
        <w:jc w:val="both"/>
        <w:rPr>
          <w:rFonts w:ascii="Arial" w:hAnsi="Arial" w:cs="Arial"/>
          <w:color w:val="000000" w:themeColor="text1"/>
        </w:rPr>
      </w:pPr>
      <w:r>
        <w:rPr>
          <w:rFonts w:ascii="Arial" w:hAnsi="Arial" w:cs="Arial"/>
          <w:color w:val="000000" w:themeColor="text1"/>
        </w:rPr>
        <w:t>The ever increasing exigence of higher throughput, lower latency and extremely high density of connections is t</w:t>
      </w:r>
      <w:r w:rsidRPr="006D7C17">
        <w:rPr>
          <w:rFonts w:ascii="Arial" w:hAnsi="Arial" w:cs="Arial"/>
          <w:color w:val="000000" w:themeColor="text1"/>
        </w:rPr>
        <w:t xml:space="preserve">aking the Physical Layer to </w:t>
      </w:r>
      <w:r>
        <w:rPr>
          <w:rFonts w:ascii="Arial" w:hAnsi="Arial" w:cs="Arial"/>
          <w:color w:val="000000" w:themeColor="text1"/>
        </w:rPr>
        <w:t xml:space="preserve">approach its </w:t>
      </w:r>
      <w:r w:rsidRPr="006D7C17">
        <w:rPr>
          <w:rFonts w:ascii="Arial" w:hAnsi="Arial" w:cs="Arial"/>
          <w:color w:val="000000" w:themeColor="text1"/>
        </w:rPr>
        <w:t>ultimate performance limits</w:t>
      </w:r>
      <w:r>
        <w:rPr>
          <w:rFonts w:ascii="Arial" w:hAnsi="Arial" w:cs="Arial"/>
          <w:color w:val="000000" w:themeColor="text1"/>
        </w:rPr>
        <w:t>. This</w:t>
      </w:r>
      <w:r w:rsidRPr="006D7C17">
        <w:rPr>
          <w:rFonts w:ascii="Arial" w:hAnsi="Arial" w:cs="Arial"/>
          <w:color w:val="000000" w:themeColor="text1"/>
        </w:rPr>
        <w:t xml:space="preserve"> implies dealing with channel and transceiver impairments that were usually discarded in the interest of understandable and tractable models. </w:t>
      </w:r>
      <w:r>
        <w:rPr>
          <w:rFonts w:ascii="Arial" w:hAnsi="Arial" w:cs="Arial"/>
          <w:color w:val="000000" w:themeColor="text1"/>
        </w:rPr>
        <w:t>AI and ML can be very helpful tools, also for the design of new transmission and reception techniques, when we cannot rely on the classical models and optimization approaches.</w:t>
      </w:r>
    </w:p>
    <w:p w14:paraId="7CFC92C7" w14:textId="77777777" w:rsidR="000E7551" w:rsidRPr="006D7C17" w:rsidRDefault="000E7551" w:rsidP="000E7551">
      <w:pPr>
        <w:jc w:val="both"/>
        <w:rPr>
          <w:rFonts w:ascii="Arial" w:hAnsi="Arial" w:cs="Arial"/>
          <w:color w:val="000000" w:themeColor="text1"/>
        </w:rPr>
      </w:pPr>
      <w:r>
        <w:rPr>
          <w:rFonts w:ascii="Arial" w:hAnsi="Arial" w:cs="Arial"/>
          <w:color w:val="000000" w:themeColor="text1"/>
        </w:rPr>
        <w:t>In this regard, there are essentially two kinds of problems where AI/ML may help:</w:t>
      </w:r>
    </w:p>
    <w:p w14:paraId="0097C6FF" w14:textId="77777777" w:rsidR="000E7551" w:rsidRPr="006D7C17" w:rsidRDefault="000E7551" w:rsidP="00124439">
      <w:pPr>
        <w:pStyle w:val="ListParagraph"/>
        <w:numPr>
          <w:ilvl w:val="0"/>
          <w:numId w:val="27"/>
        </w:numPr>
        <w:spacing w:after="200" w:line="276" w:lineRule="auto"/>
        <w:jc w:val="both"/>
        <w:rPr>
          <w:rFonts w:ascii="Arial" w:hAnsi="Arial" w:cs="Arial"/>
          <w:color w:val="000000" w:themeColor="text1"/>
        </w:rPr>
      </w:pPr>
      <w:r w:rsidRPr="006D7C17">
        <w:rPr>
          <w:rFonts w:ascii="Arial" w:hAnsi="Arial" w:cs="Arial"/>
          <w:color w:val="000000" w:themeColor="text1"/>
        </w:rPr>
        <w:t>Offline</w:t>
      </w:r>
      <w:r>
        <w:rPr>
          <w:rFonts w:ascii="Arial" w:hAnsi="Arial" w:cs="Arial"/>
          <w:color w:val="000000" w:themeColor="text1"/>
        </w:rPr>
        <w:t xml:space="preserve"> design of elements or algorithms that may be possible to generalize to a wide variety of scenarios and used afterwards as building blocks of the transmit-receive chain.</w:t>
      </w:r>
    </w:p>
    <w:p w14:paraId="59B9CAED" w14:textId="77777777" w:rsidR="000E7551" w:rsidRPr="006D7C17" w:rsidRDefault="000E7551" w:rsidP="00124439">
      <w:pPr>
        <w:pStyle w:val="ListParagraph"/>
        <w:numPr>
          <w:ilvl w:val="0"/>
          <w:numId w:val="27"/>
        </w:numPr>
        <w:spacing w:after="200" w:line="276" w:lineRule="auto"/>
        <w:jc w:val="both"/>
        <w:rPr>
          <w:rFonts w:ascii="Arial" w:hAnsi="Arial" w:cs="Arial"/>
          <w:color w:val="000000" w:themeColor="text1"/>
        </w:rPr>
      </w:pPr>
      <w:r w:rsidRPr="006D7C17">
        <w:rPr>
          <w:rFonts w:ascii="Arial" w:hAnsi="Arial" w:cs="Arial"/>
          <w:color w:val="000000" w:themeColor="text1"/>
        </w:rPr>
        <w:t>Online</w:t>
      </w:r>
      <w:r>
        <w:rPr>
          <w:rFonts w:ascii="Arial" w:hAnsi="Arial" w:cs="Arial"/>
          <w:color w:val="000000" w:themeColor="text1"/>
        </w:rPr>
        <w:t xml:space="preserve"> optimization of some elements or even the whole transmit-receive approach, that may be able to adapt to the changing (and difficult to model) characteristics of the channel and interference.</w:t>
      </w:r>
    </w:p>
    <w:p w14:paraId="47AAB8F8" w14:textId="77777777" w:rsidR="000E7551" w:rsidRPr="009E0DB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Obviously the requirements for both are quite different. While offline optimization requires - but also withstands - training with a large amount of diverse-enough data, the convergence time and complexity are key requirements for the online optimization in real time. </w:t>
      </w:r>
      <w:r w:rsidRPr="009E0DB1">
        <w:rPr>
          <w:rFonts w:ascii="Arial" w:hAnsi="Arial" w:cs="Arial"/>
          <w:color w:val="000000" w:themeColor="text1"/>
        </w:rPr>
        <w:t xml:space="preserve">These may be achieved </w:t>
      </w:r>
      <w:r>
        <w:rPr>
          <w:rFonts w:ascii="Arial" w:hAnsi="Arial" w:cs="Arial"/>
          <w:color w:val="000000" w:themeColor="text1"/>
        </w:rPr>
        <w:t>by r</w:t>
      </w:r>
      <w:r w:rsidRPr="009E0DB1">
        <w:rPr>
          <w:rFonts w:ascii="Arial" w:hAnsi="Arial" w:cs="Arial"/>
          <w:color w:val="000000" w:themeColor="text1"/>
        </w:rPr>
        <w:t>einforcement learning (RL), a method that interacts with a dynamic environment by producing a series of actions and receives rewards according to the performance of such action with respect to the environment situation.</w:t>
      </w:r>
    </w:p>
    <w:p w14:paraId="7B86E359" w14:textId="11C073F9" w:rsidR="000E7551"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 xml:space="preserve">An example of the offline approach is the use of </w:t>
      </w:r>
      <w:r w:rsidRPr="001879FB">
        <w:rPr>
          <w:rFonts w:ascii="Arial" w:hAnsi="Arial" w:cs="Arial"/>
          <w:color w:val="000000" w:themeColor="text1"/>
        </w:rPr>
        <w:t>modern evolutionary computation</w:t>
      </w:r>
      <w:r>
        <w:rPr>
          <w:rFonts w:ascii="Arial" w:hAnsi="Arial" w:cs="Arial"/>
          <w:color w:val="000000" w:themeColor="text1"/>
        </w:rPr>
        <w:t xml:space="preserve"> </w:t>
      </w:r>
      <w:r w:rsidRPr="001879FB">
        <w:rPr>
          <w:rFonts w:ascii="Arial" w:hAnsi="Arial" w:cs="Arial"/>
          <w:color w:val="000000" w:themeColor="text1"/>
        </w:rPr>
        <w:t xml:space="preserve">techniques as solvers </w:t>
      </w:r>
      <w:r>
        <w:rPr>
          <w:rFonts w:ascii="Arial" w:hAnsi="Arial" w:cs="Arial"/>
          <w:color w:val="000000" w:themeColor="text1"/>
        </w:rPr>
        <w:t xml:space="preserve">of several complex optimization </w:t>
      </w:r>
      <w:r w:rsidRPr="001879FB">
        <w:rPr>
          <w:rFonts w:ascii="Arial" w:hAnsi="Arial" w:cs="Arial"/>
          <w:color w:val="000000" w:themeColor="text1"/>
        </w:rPr>
        <w:t>problems</w:t>
      </w:r>
      <w:r>
        <w:rPr>
          <w:rFonts w:ascii="Arial" w:hAnsi="Arial" w:cs="Arial"/>
          <w:color w:val="000000" w:themeColor="text1"/>
        </w:rPr>
        <w:t xml:space="preserve">. </w:t>
      </w:r>
      <w:r w:rsidRPr="001879FB">
        <w:rPr>
          <w:rFonts w:ascii="Arial" w:hAnsi="Arial" w:cs="Arial"/>
          <w:color w:val="000000" w:themeColor="text1"/>
        </w:rPr>
        <w:t>Evolut</w:t>
      </w:r>
      <w:r>
        <w:rPr>
          <w:rFonts w:ascii="Arial" w:hAnsi="Arial" w:cs="Arial"/>
          <w:color w:val="000000" w:themeColor="text1"/>
        </w:rPr>
        <w:t xml:space="preserve">ionary computation </w:t>
      </w:r>
      <w:r w:rsidR="00056F84" w:rsidRPr="0063079E">
        <w:rPr>
          <w:rFonts w:ascii="Arial" w:hAnsi="Arial" w:cs="Arial"/>
          <w:color w:val="000000" w:themeColor="text1"/>
        </w:rPr>
        <w:t xml:space="preserve"> </w:t>
      </w:r>
      <w:r w:rsidR="00056F84">
        <w:rPr>
          <w:rFonts w:ascii="Arial" w:hAnsi="Arial" w:cs="Arial"/>
          <w:color w:val="000000" w:themeColor="text1"/>
        </w:rPr>
        <w:t xml:space="preserve">[C11-21] </w:t>
      </w:r>
      <w:r w:rsidRPr="001879FB">
        <w:rPr>
          <w:rFonts w:ascii="Arial" w:hAnsi="Arial" w:cs="Arial"/>
          <w:color w:val="000000" w:themeColor="text1"/>
        </w:rPr>
        <w:t xml:space="preserve">is a subfield of </w:t>
      </w:r>
      <w:r>
        <w:rPr>
          <w:rFonts w:ascii="Arial" w:hAnsi="Arial" w:cs="Arial"/>
          <w:color w:val="000000" w:themeColor="text1"/>
        </w:rPr>
        <w:t>AI</w:t>
      </w:r>
      <w:r w:rsidRPr="001879FB">
        <w:rPr>
          <w:rFonts w:ascii="Arial" w:hAnsi="Arial" w:cs="Arial"/>
          <w:color w:val="000000" w:themeColor="text1"/>
        </w:rPr>
        <w:t xml:space="preserve"> and soft computing, which is composed of global optimization techniques based on mimicking biological evolution.</w:t>
      </w:r>
      <w:r>
        <w:rPr>
          <w:rFonts w:ascii="Arial" w:hAnsi="Arial" w:cs="Arial"/>
          <w:color w:val="000000" w:themeColor="text1"/>
        </w:rPr>
        <w:t xml:space="preserve"> In </w:t>
      </w:r>
      <w:r w:rsidR="00056F84">
        <w:rPr>
          <w:rFonts w:ascii="Arial" w:hAnsi="Arial" w:cs="Arial"/>
          <w:color w:val="000000" w:themeColor="text1"/>
        </w:rPr>
        <w:t xml:space="preserve"> [C11-22</w:t>
      </w:r>
      <w:r w:rsidR="00056F84" w:rsidRPr="00056F84">
        <w:rPr>
          <w:rFonts w:ascii="Arial" w:hAnsi="Arial" w:cs="Arial"/>
          <w:color w:val="000000" w:themeColor="text1"/>
        </w:rPr>
        <w:t>]</w:t>
      </w:r>
      <w:r w:rsidR="00056F84">
        <w:rPr>
          <w:rFonts w:ascii="Arial" w:hAnsi="Arial" w:cs="Arial"/>
          <w:color w:val="000000" w:themeColor="text1"/>
        </w:rPr>
        <w:t xml:space="preserve"> </w:t>
      </w:r>
      <w:r>
        <w:rPr>
          <w:rFonts w:ascii="Arial" w:hAnsi="Arial" w:cs="Arial"/>
          <w:color w:val="000000" w:themeColor="text1"/>
        </w:rPr>
        <w:t>it is used</w:t>
      </w:r>
      <w:r w:rsidRPr="001879FB">
        <w:rPr>
          <w:rFonts w:ascii="Arial" w:hAnsi="Arial" w:cs="Arial"/>
          <w:color w:val="000000" w:themeColor="text1"/>
        </w:rPr>
        <w:t xml:space="preserve"> to</w:t>
      </w:r>
      <w:r>
        <w:rPr>
          <w:rFonts w:ascii="Arial" w:hAnsi="Arial" w:cs="Arial"/>
          <w:color w:val="000000" w:themeColor="text1"/>
        </w:rPr>
        <w:t xml:space="preserve"> propose</w:t>
      </w:r>
      <w:r w:rsidRPr="001879FB">
        <w:rPr>
          <w:rFonts w:ascii="Arial" w:hAnsi="Arial" w:cs="Arial"/>
          <w:color w:val="000000" w:themeColor="text1"/>
        </w:rPr>
        <w:t xml:space="preserve"> novel co</w:t>
      </w:r>
      <w:r>
        <w:rPr>
          <w:rFonts w:ascii="Arial" w:hAnsi="Arial" w:cs="Arial"/>
          <w:color w:val="000000" w:themeColor="text1"/>
        </w:rPr>
        <w:t>nstellation designs</w:t>
      </w:r>
      <w:r w:rsidRPr="001879FB">
        <w:rPr>
          <w:rFonts w:ascii="Arial" w:hAnsi="Arial" w:cs="Arial"/>
          <w:color w:val="000000" w:themeColor="text1"/>
        </w:rPr>
        <w:t xml:space="preserve"> for</w:t>
      </w:r>
      <w:r>
        <w:rPr>
          <w:rFonts w:ascii="Arial" w:hAnsi="Arial" w:cs="Arial"/>
          <w:color w:val="000000" w:themeColor="text1"/>
        </w:rPr>
        <w:t xml:space="preserve"> non-coherent massive MIMO. A different approach is used in </w:t>
      </w:r>
      <w:r w:rsidR="00056F84" w:rsidRPr="0063079E">
        <w:rPr>
          <w:rFonts w:ascii="Arial" w:hAnsi="Arial" w:cs="Arial"/>
          <w:color w:val="000000" w:themeColor="text1"/>
        </w:rPr>
        <w:t xml:space="preserve"> </w:t>
      </w:r>
      <w:r w:rsidR="00056F84">
        <w:rPr>
          <w:rFonts w:ascii="Arial" w:hAnsi="Arial" w:cs="Arial"/>
          <w:color w:val="000000" w:themeColor="text1"/>
        </w:rPr>
        <w:t>[C11-23]</w:t>
      </w:r>
      <w:r>
        <w:rPr>
          <w:rFonts w:ascii="Arial" w:hAnsi="Arial" w:cs="Arial"/>
          <w:color w:val="000000" w:themeColor="text1"/>
        </w:rPr>
        <w:t xml:space="preserve"> where t</w:t>
      </w:r>
      <w:r w:rsidRPr="009E0DB1">
        <w:rPr>
          <w:rFonts w:ascii="Arial" w:hAnsi="Arial" w:cs="Arial"/>
          <w:color w:val="000000" w:themeColor="text1"/>
        </w:rPr>
        <w:t>he learned constellation with unsupervised ML mitigates nonli</w:t>
      </w:r>
      <w:r>
        <w:rPr>
          <w:rFonts w:ascii="Arial" w:hAnsi="Arial" w:cs="Arial"/>
          <w:color w:val="000000" w:themeColor="text1"/>
        </w:rPr>
        <w:t>near effects of the optical fib</w:t>
      </w:r>
      <w:r w:rsidRPr="009E0DB1">
        <w:rPr>
          <w:rFonts w:ascii="Arial" w:hAnsi="Arial" w:cs="Arial"/>
          <w:color w:val="000000" w:themeColor="text1"/>
        </w:rPr>
        <w:t>r</w:t>
      </w:r>
      <w:r>
        <w:rPr>
          <w:rFonts w:ascii="Arial" w:hAnsi="Arial" w:cs="Arial"/>
          <w:color w:val="000000" w:themeColor="text1"/>
        </w:rPr>
        <w:t>e</w:t>
      </w:r>
      <w:r w:rsidRPr="009E0DB1">
        <w:rPr>
          <w:rFonts w:ascii="Arial" w:hAnsi="Arial" w:cs="Arial"/>
          <w:color w:val="000000" w:themeColor="text1"/>
        </w:rPr>
        <w:t xml:space="preserve"> channel.</w:t>
      </w:r>
    </w:p>
    <w:p w14:paraId="00CCC4B2" w14:textId="5BEC80D9" w:rsidR="000E7551" w:rsidRPr="00783C42" w:rsidRDefault="000E7551" w:rsidP="000E7551">
      <w:pPr>
        <w:spacing w:after="120" w:line="240" w:lineRule="auto"/>
        <w:jc w:val="both"/>
        <w:rPr>
          <w:rFonts w:ascii="Arial" w:hAnsi="Arial" w:cs="Arial"/>
          <w:color w:val="000000" w:themeColor="text1"/>
        </w:rPr>
      </w:pPr>
      <w:r w:rsidRPr="00AA33F4">
        <w:rPr>
          <w:rFonts w:ascii="Arial" w:hAnsi="Arial" w:cs="Arial"/>
          <w:color w:val="000000" w:themeColor="text1"/>
        </w:rPr>
        <w:t>End-to-end learning aims to</w:t>
      </w:r>
      <w:r>
        <w:rPr>
          <w:rFonts w:ascii="Arial" w:hAnsi="Arial" w:cs="Arial"/>
          <w:color w:val="000000" w:themeColor="text1"/>
        </w:rPr>
        <w:t xml:space="preserve"> learn transmitter and receiver </w:t>
      </w:r>
      <w:r w:rsidRPr="00AA33F4">
        <w:rPr>
          <w:rFonts w:ascii="Arial" w:hAnsi="Arial" w:cs="Arial"/>
          <w:color w:val="000000" w:themeColor="text1"/>
        </w:rPr>
        <w:t>implementations optimized fo</w:t>
      </w:r>
      <w:r>
        <w:rPr>
          <w:rFonts w:ascii="Arial" w:hAnsi="Arial" w:cs="Arial"/>
          <w:color w:val="000000" w:themeColor="text1"/>
        </w:rPr>
        <w:t xml:space="preserve">r a specific performance metric </w:t>
      </w:r>
      <w:r w:rsidRPr="00AA33F4">
        <w:rPr>
          <w:rFonts w:ascii="Arial" w:hAnsi="Arial" w:cs="Arial"/>
          <w:color w:val="000000" w:themeColor="text1"/>
        </w:rPr>
        <w:t>and channel model. It was first pr</w:t>
      </w:r>
      <w:r>
        <w:rPr>
          <w:rFonts w:ascii="Arial" w:hAnsi="Arial" w:cs="Arial"/>
          <w:color w:val="000000" w:themeColor="text1"/>
        </w:rPr>
        <w:t xml:space="preserve">esented in </w:t>
      </w:r>
      <w:r w:rsidR="00056F84" w:rsidRPr="0063079E">
        <w:rPr>
          <w:rFonts w:ascii="Arial" w:hAnsi="Arial" w:cs="Arial"/>
          <w:color w:val="000000" w:themeColor="text1"/>
        </w:rPr>
        <w:t xml:space="preserve"> </w:t>
      </w:r>
      <w:r w:rsidR="00056F84">
        <w:rPr>
          <w:rFonts w:ascii="Arial" w:hAnsi="Arial" w:cs="Arial"/>
          <w:color w:val="000000" w:themeColor="text1"/>
        </w:rPr>
        <w:t>[C11-24</w:t>
      </w:r>
      <w:r>
        <w:rPr>
          <w:rFonts w:ascii="Arial" w:hAnsi="Arial" w:cs="Arial"/>
          <w:color w:val="000000" w:themeColor="text1"/>
        </w:rPr>
        <w:t xml:space="preserve">. The </w:t>
      </w:r>
      <w:r w:rsidRPr="00AA33F4">
        <w:rPr>
          <w:rFonts w:ascii="Arial" w:hAnsi="Arial" w:cs="Arial"/>
          <w:color w:val="000000" w:themeColor="text1"/>
        </w:rPr>
        <w:t xml:space="preserve">idea is to interpret the </w:t>
      </w:r>
      <w:r>
        <w:rPr>
          <w:rFonts w:ascii="Arial" w:hAnsi="Arial" w:cs="Arial"/>
          <w:color w:val="000000" w:themeColor="text1"/>
        </w:rPr>
        <w:t>whole communication chain as an “</w:t>
      </w:r>
      <w:r w:rsidRPr="00AA33F4">
        <w:rPr>
          <w:rFonts w:ascii="Arial" w:hAnsi="Arial" w:cs="Arial"/>
          <w:color w:val="000000" w:themeColor="text1"/>
        </w:rPr>
        <w:t>autoencoder</w:t>
      </w:r>
      <w:r>
        <w:rPr>
          <w:rFonts w:ascii="Arial" w:hAnsi="Arial" w:cs="Arial"/>
          <w:color w:val="000000" w:themeColor="text1"/>
        </w:rPr>
        <w:t>”</w:t>
      </w:r>
      <w:r w:rsidRPr="00AA33F4">
        <w:rPr>
          <w:rFonts w:ascii="Arial" w:hAnsi="Arial" w:cs="Arial"/>
          <w:color w:val="000000" w:themeColor="text1"/>
        </w:rPr>
        <w:t>, an unsupervised learning technique</w:t>
      </w:r>
      <w:r>
        <w:rPr>
          <w:rFonts w:ascii="Arial" w:hAnsi="Arial" w:cs="Arial"/>
          <w:color w:val="000000" w:themeColor="text1"/>
        </w:rPr>
        <w:t>. Here the</w:t>
      </w:r>
      <w:r w:rsidRPr="00783C42">
        <w:rPr>
          <w:rFonts w:ascii="Arial" w:hAnsi="Arial" w:cs="Arial"/>
          <w:lang w:val="en-US"/>
        </w:rPr>
        <w:t xml:space="preserve"> communications system</w:t>
      </w:r>
      <w:r>
        <w:rPr>
          <w:rFonts w:ascii="Arial" w:hAnsi="Arial" w:cs="Arial"/>
          <w:lang w:val="en-US"/>
        </w:rPr>
        <w:t xml:space="preserve"> </w:t>
      </w:r>
      <w:r w:rsidRPr="00783C42">
        <w:rPr>
          <w:rFonts w:ascii="Arial" w:hAnsi="Arial" w:cs="Arial"/>
          <w:lang w:val="en-US"/>
        </w:rPr>
        <w:t>design</w:t>
      </w:r>
      <w:r>
        <w:rPr>
          <w:rFonts w:ascii="Arial" w:hAnsi="Arial" w:cs="Arial"/>
          <w:lang w:val="en-US"/>
        </w:rPr>
        <w:t xml:space="preserve"> is conceived</w:t>
      </w:r>
      <w:r w:rsidRPr="00783C42">
        <w:rPr>
          <w:rFonts w:ascii="Arial" w:hAnsi="Arial" w:cs="Arial"/>
          <w:lang w:val="en-US"/>
        </w:rPr>
        <w:t xml:space="preserve"> as an end-to-end reconstruction task that seeks to jointly</w:t>
      </w:r>
      <w:r>
        <w:rPr>
          <w:rFonts w:ascii="Arial" w:hAnsi="Arial" w:cs="Arial"/>
          <w:lang w:val="en-US"/>
        </w:rPr>
        <w:t xml:space="preserve"> </w:t>
      </w:r>
      <w:r w:rsidRPr="00783C42">
        <w:rPr>
          <w:rFonts w:ascii="Arial" w:hAnsi="Arial" w:cs="Arial"/>
          <w:lang w:val="en-US"/>
        </w:rPr>
        <w:t>optimize transmitter and receiver components in a single process</w:t>
      </w:r>
      <w:r>
        <w:rPr>
          <w:rFonts w:ascii="Arial" w:hAnsi="Arial" w:cs="Arial"/>
          <w:lang w:val="en-US"/>
        </w:rPr>
        <w:t>.</w:t>
      </w:r>
    </w:p>
    <w:p w14:paraId="4AA2A1C7" w14:textId="7892E4D1" w:rsidR="000E7551" w:rsidRPr="00626CFB" w:rsidRDefault="000E7551" w:rsidP="000E7551">
      <w:pPr>
        <w:spacing w:after="120" w:line="240" w:lineRule="auto"/>
        <w:jc w:val="both"/>
        <w:rPr>
          <w:rFonts w:ascii="Arial" w:hAnsi="Arial" w:cs="Arial"/>
          <w:color w:val="000000" w:themeColor="text1"/>
        </w:rPr>
      </w:pPr>
      <w:r>
        <w:rPr>
          <w:rFonts w:ascii="Arial" w:hAnsi="Arial" w:cs="Arial"/>
          <w:color w:val="000000" w:themeColor="text1"/>
        </w:rPr>
        <w:t>ML may also allow us to understand and model channels for new applications, such as molecular communications. In</w:t>
      </w:r>
      <w:r w:rsidR="00056F84" w:rsidRPr="0063079E">
        <w:rPr>
          <w:rFonts w:ascii="Arial" w:hAnsi="Arial" w:cs="Arial"/>
          <w:color w:val="000000" w:themeColor="text1"/>
        </w:rPr>
        <w:t xml:space="preserve"> </w:t>
      </w:r>
      <w:r w:rsidR="00056F84">
        <w:rPr>
          <w:rFonts w:ascii="Arial" w:hAnsi="Arial" w:cs="Arial"/>
          <w:color w:val="000000" w:themeColor="text1"/>
        </w:rPr>
        <w:t xml:space="preserve">[C11-25] </w:t>
      </w:r>
      <w:r>
        <w:rPr>
          <w:rFonts w:ascii="Arial" w:hAnsi="Arial" w:cs="Arial"/>
          <w:color w:val="000000" w:themeColor="text1"/>
        </w:rPr>
        <w:t>the diffusion-based</w:t>
      </w:r>
      <w:r w:rsidRPr="00626CFB">
        <w:rPr>
          <w:rFonts w:ascii="Arial" w:hAnsi="Arial" w:cs="Arial"/>
          <w:color w:val="000000" w:themeColor="text1"/>
        </w:rPr>
        <w:t xml:space="preserve"> molecular MIMO channel is modeled with an artificial neural network (ANN).</w:t>
      </w:r>
    </w:p>
    <w:p w14:paraId="5C252336" w14:textId="77777777" w:rsidR="000E7551" w:rsidRDefault="000E7551" w:rsidP="000E7551">
      <w:pPr>
        <w:jc w:val="both"/>
        <w:rPr>
          <w:rFonts w:ascii="Arial" w:hAnsi="Arial" w:cs="Arial"/>
          <w:color w:val="000000" w:themeColor="text1"/>
        </w:rPr>
      </w:pPr>
      <w:r>
        <w:rPr>
          <w:rFonts w:ascii="Arial" w:hAnsi="Arial" w:cs="Arial"/>
          <w:color w:val="000000" w:themeColor="text1"/>
        </w:rPr>
        <w:t>Learning from the physical layer may also bring us a better knowledge and use of the channel state information, which may be helpful, for example, to locate people or detect their movement, gesture or activity.</w:t>
      </w:r>
    </w:p>
    <w:p w14:paraId="17C4C4B5" w14:textId="77777777" w:rsidR="000E7551" w:rsidRPr="00626CFB" w:rsidRDefault="000E7551" w:rsidP="000E7551">
      <w:pPr>
        <w:jc w:val="both"/>
        <w:rPr>
          <w:rFonts w:ascii="Arial" w:hAnsi="Arial" w:cs="Arial"/>
          <w:color w:val="000000" w:themeColor="text1"/>
        </w:rPr>
      </w:pPr>
      <w:r>
        <w:rPr>
          <w:rFonts w:ascii="Arial" w:hAnsi="Arial" w:cs="Arial"/>
          <w:color w:val="000000" w:themeColor="text1"/>
        </w:rPr>
        <w:lastRenderedPageBreak/>
        <w:t>Immediate problems to solve are the need for algorithms that have speed and complexity compatible with the real time data transmission. Also, the availability of large and representative data sets for training and benchmarks are less developed than in other current applications of AI/ML.</w:t>
      </w:r>
    </w:p>
    <w:p w14:paraId="72BB116B" w14:textId="77777777" w:rsidR="000E7551" w:rsidRPr="006D7C17" w:rsidRDefault="000E7551" w:rsidP="00DA6395">
      <w:pPr>
        <w:pStyle w:val="Heading3"/>
      </w:pPr>
      <w:bookmarkStart w:id="432" w:name="_Toc40072058"/>
      <w:bookmarkStart w:id="433" w:name="_Toc42177373"/>
      <w:r w:rsidRPr="006D7C17">
        <w:t>DSL</w:t>
      </w:r>
      <w:bookmarkEnd w:id="432"/>
      <w:bookmarkEnd w:id="433"/>
    </w:p>
    <w:p w14:paraId="0D982285" w14:textId="77777777" w:rsidR="000E7551" w:rsidRPr="009B16E1" w:rsidRDefault="000E7551" w:rsidP="000E7551">
      <w:pPr>
        <w:jc w:val="both"/>
        <w:rPr>
          <w:rFonts w:ascii="Arial" w:hAnsi="Arial" w:cs="Arial"/>
          <w:color w:val="000000" w:themeColor="text1"/>
        </w:rPr>
      </w:pPr>
      <w:r>
        <w:rPr>
          <w:rFonts w:ascii="Arial" w:hAnsi="Arial" w:cs="Arial"/>
          <w:color w:val="000000" w:themeColor="text1"/>
        </w:rPr>
        <w:t>The ideal of offering ubiquitous broadband for all requires a high capillarity of high speed wireline access, even to facilitate wireless connections. Today DSL is an alternative to the deployment of optical fibre. Will we be able to count on the already deployed copper wire infrastructure to support 5G and future networks? The possibility of reaching data rates in DSL comparable to fibre would be instrumental to providing universal broadband connectivity in a cost-effective and quick way.</w:t>
      </w:r>
      <w:r w:rsidRPr="009B16E1">
        <w:rPr>
          <w:rFonts w:ascii="Arial" w:hAnsi="Arial" w:cs="Arial"/>
          <w:color w:val="000000" w:themeColor="text1"/>
        </w:rPr>
        <w:t xml:space="preserve"> However, current DSL technologies seem to have achieved their maximum potentiality with downstream transmission rates of up to 100 Megabits per second at a range of 500 meters, and more than 1 Gigabit per second at shorter distances.</w:t>
      </w:r>
    </w:p>
    <w:p w14:paraId="20710A7B" w14:textId="07E334CF" w:rsidR="000E7551" w:rsidRDefault="000E7551" w:rsidP="000E7551">
      <w:pPr>
        <w:jc w:val="both"/>
        <w:rPr>
          <w:rFonts w:ascii="Arial" w:hAnsi="Arial" w:cs="Arial"/>
          <w:color w:val="000000" w:themeColor="text1"/>
        </w:rPr>
      </w:pPr>
      <w:r>
        <w:rPr>
          <w:rFonts w:ascii="Arial" w:hAnsi="Arial" w:cs="Arial"/>
          <w:color w:val="000000" w:themeColor="text1"/>
        </w:rPr>
        <w:t xml:space="preserve">In </w:t>
      </w:r>
      <w:r w:rsidR="00056F84" w:rsidRPr="0063079E">
        <w:rPr>
          <w:rFonts w:ascii="Arial" w:hAnsi="Arial" w:cs="Arial"/>
          <w:color w:val="000000" w:themeColor="text1"/>
        </w:rPr>
        <w:t xml:space="preserve"> </w:t>
      </w:r>
      <w:r w:rsidR="00056F84">
        <w:rPr>
          <w:rFonts w:ascii="Arial" w:hAnsi="Arial" w:cs="Arial"/>
          <w:color w:val="000000" w:themeColor="text1"/>
        </w:rPr>
        <w:t>[C11-26]</w:t>
      </w:r>
      <w:r>
        <w:rPr>
          <w:rFonts w:ascii="Arial" w:hAnsi="Arial" w:cs="Arial"/>
          <w:color w:val="000000" w:themeColor="text1"/>
        </w:rPr>
        <w:t xml:space="preserve"> the </w:t>
      </w:r>
      <w:r w:rsidRPr="00D67737">
        <w:rPr>
          <w:rFonts w:ascii="Arial" w:hAnsi="Arial" w:cs="Arial"/>
          <w:color w:val="000000" w:themeColor="text1"/>
        </w:rPr>
        <w:t>channel properties of a 200 GHz signal transmitted through a waveguide structure that is designed to approximately emulate the type of paired phone cable typically used for DSL transmissions</w:t>
      </w:r>
      <w:r>
        <w:rPr>
          <w:rFonts w:ascii="Arial" w:hAnsi="Arial" w:cs="Arial"/>
          <w:color w:val="000000" w:themeColor="text1"/>
        </w:rPr>
        <w:t xml:space="preserve"> are investigated.</w:t>
      </w:r>
      <w:r w:rsidRPr="00D67737">
        <w:rPr>
          <w:rFonts w:ascii="Arial" w:hAnsi="Arial" w:cs="Arial"/>
          <w:color w:val="000000" w:themeColor="text1"/>
        </w:rPr>
        <w:t xml:space="preserve"> They find that aggregate data rates on the order of Terabits per second are feasible over short distances.</w:t>
      </w:r>
    </w:p>
    <w:p w14:paraId="2BABD312" w14:textId="77777777" w:rsidR="000E7551" w:rsidRDefault="000E7551" w:rsidP="000E7551">
      <w:pPr>
        <w:jc w:val="both"/>
        <w:rPr>
          <w:rFonts w:ascii="Arial" w:hAnsi="Arial" w:cs="Arial"/>
          <w:color w:val="000000" w:themeColor="text1"/>
        </w:rPr>
      </w:pPr>
      <w:r>
        <w:rPr>
          <w:rFonts w:ascii="Arial" w:hAnsi="Arial" w:cs="Arial"/>
          <w:color w:val="000000" w:themeColor="text1"/>
        </w:rPr>
        <w:t>Transmitting Terabits per second through a copper pair’s sub-millimet</w:t>
      </w:r>
      <w:r w:rsidRPr="006D7C17">
        <w:rPr>
          <w:rFonts w:ascii="Arial" w:hAnsi="Arial" w:cs="Arial"/>
          <w:color w:val="000000" w:themeColor="text1"/>
        </w:rPr>
        <w:t>r</w:t>
      </w:r>
      <w:r>
        <w:rPr>
          <w:rFonts w:ascii="Arial" w:hAnsi="Arial" w:cs="Arial"/>
          <w:color w:val="000000" w:themeColor="text1"/>
        </w:rPr>
        <w:t>e</w:t>
      </w:r>
      <w:r w:rsidRPr="006D7C17">
        <w:rPr>
          <w:rFonts w:ascii="Arial" w:hAnsi="Arial" w:cs="Arial"/>
          <w:color w:val="000000" w:themeColor="text1"/>
        </w:rPr>
        <w:t xml:space="preserve"> </w:t>
      </w:r>
      <w:r>
        <w:rPr>
          <w:rFonts w:ascii="Arial" w:hAnsi="Arial" w:cs="Arial"/>
          <w:color w:val="000000" w:themeColor="text1"/>
        </w:rPr>
        <w:t>w</w:t>
      </w:r>
      <w:r w:rsidRPr="006D7C17">
        <w:rPr>
          <w:rFonts w:ascii="Arial" w:hAnsi="Arial" w:cs="Arial"/>
          <w:color w:val="000000" w:themeColor="text1"/>
        </w:rPr>
        <w:t>aveguide modes</w:t>
      </w:r>
      <w:r>
        <w:rPr>
          <w:rFonts w:ascii="Arial" w:hAnsi="Arial" w:cs="Arial"/>
          <w:color w:val="000000" w:themeColor="text1"/>
        </w:rPr>
        <w:t xml:space="preserve"> is an emerging technique that would allow us to continue leveraging the copper infrastructure for wireline access and also contribute to accelerate the deployment of small cells with reduced infrastructure cost.</w:t>
      </w:r>
      <w:r w:rsidRPr="00D67737">
        <w:rPr>
          <w:rFonts w:ascii="Arial" w:hAnsi="Arial" w:cs="Arial"/>
          <w:color w:val="000000" w:themeColor="text1"/>
        </w:rPr>
        <w:t xml:space="preserve"> Future research needs to </w:t>
      </w:r>
      <w:r>
        <w:rPr>
          <w:rFonts w:ascii="Arial" w:hAnsi="Arial" w:cs="Arial"/>
          <w:color w:val="000000" w:themeColor="text1"/>
        </w:rPr>
        <w:t>bring this idea from the lab to practical applications,</w:t>
      </w:r>
      <w:r w:rsidRPr="00D67737">
        <w:rPr>
          <w:rFonts w:ascii="Arial" w:hAnsi="Arial" w:cs="Arial"/>
          <w:color w:val="000000" w:themeColor="text1"/>
        </w:rPr>
        <w:t xml:space="preserve"> </w:t>
      </w:r>
      <w:r>
        <w:rPr>
          <w:rFonts w:ascii="Arial" w:hAnsi="Arial" w:cs="Arial"/>
          <w:color w:val="000000" w:themeColor="text1"/>
        </w:rPr>
        <w:t xml:space="preserve">solving issues such as </w:t>
      </w:r>
      <w:r w:rsidRPr="00D67737">
        <w:rPr>
          <w:rFonts w:ascii="Arial" w:hAnsi="Arial" w:cs="Arial"/>
          <w:color w:val="000000" w:themeColor="text1"/>
        </w:rPr>
        <w:t>how to extend the system to a larger range by reducing the amount of energy lost due to resistance.</w:t>
      </w:r>
    </w:p>
    <w:p w14:paraId="79CD30D4" w14:textId="77777777" w:rsidR="000E7551" w:rsidRPr="0063079E" w:rsidRDefault="000E7551" w:rsidP="00DA6395">
      <w:pPr>
        <w:pStyle w:val="Heading3"/>
      </w:pPr>
      <w:bookmarkStart w:id="434" w:name="_Toc40072059"/>
      <w:bookmarkStart w:id="435" w:name="_Toc42177374"/>
      <w:r>
        <w:t>The Air Mobility Network</w:t>
      </w:r>
      <w:bookmarkEnd w:id="434"/>
      <w:bookmarkEnd w:id="435"/>
    </w:p>
    <w:p w14:paraId="4FD7264E" w14:textId="77777777" w:rsidR="000E7551" w:rsidRPr="0063079E" w:rsidRDefault="000E7551" w:rsidP="000E7551">
      <w:pPr>
        <w:spacing w:after="0" w:line="240" w:lineRule="auto"/>
        <w:jc w:val="both"/>
        <w:rPr>
          <w:rFonts w:ascii="Arial" w:hAnsi="Arial" w:cs="Arial"/>
          <w:color w:val="000000" w:themeColor="text1"/>
        </w:rPr>
      </w:pPr>
    </w:p>
    <w:p w14:paraId="0BE570C1" w14:textId="77777777" w:rsidR="000E7551" w:rsidRPr="002B4862" w:rsidRDefault="000E7551" w:rsidP="000E7551">
      <w:pPr>
        <w:spacing w:after="240"/>
        <w:jc w:val="both"/>
        <w:rPr>
          <w:rFonts w:ascii="Arial" w:hAnsi="Arial" w:cs="Arial"/>
        </w:rPr>
      </w:pPr>
      <w:r>
        <w:rPr>
          <w:rFonts w:ascii="Arial" w:hAnsi="Arial" w:cs="Arial"/>
        </w:rPr>
        <w:t>The new Air Mobility Network is</w:t>
      </w:r>
      <w:r w:rsidRPr="002B4862">
        <w:rPr>
          <w:rFonts w:ascii="Arial" w:hAnsi="Arial" w:cs="Arial"/>
        </w:rPr>
        <w:t>the new network serving all the “things” between the ground and 20</w:t>
      </w:r>
      <w:r>
        <w:rPr>
          <w:rFonts w:ascii="Arial" w:hAnsi="Arial" w:cs="Arial"/>
        </w:rPr>
        <w:t xml:space="preserve"> </w:t>
      </w:r>
      <w:r w:rsidRPr="002B4862">
        <w:rPr>
          <w:rFonts w:ascii="Arial" w:hAnsi="Arial" w:cs="Arial"/>
        </w:rPr>
        <w:t>K</w:t>
      </w:r>
      <w:r>
        <w:rPr>
          <w:rFonts w:ascii="Arial" w:hAnsi="Arial" w:cs="Arial"/>
        </w:rPr>
        <w:t>m</w:t>
      </w:r>
      <w:r w:rsidRPr="002B4862">
        <w:rPr>
          <w:rFonts w:ascii="Arial" w:hAnsi="Arial" w:cs="Arial"/>
        </w:rPr>
        <w:t xml:space="preserve"> height. It provides control and communication services for the drone, urban air mobility (future urban transportation systems that move people by air), balloon, aircraft, etc. </w:t>
      </w:r>
    </w:p>
    <w:p w14:paraId="7C235D99" w14:textId="77777777" w:rsidR="000E7551" w:rsidRPr="002B4862" w:rsidRDefault="000E7551" w:rsidP="000E7551">
      <w:pPr>
        <w:spacing w:after="240"/>
        <w:jc w:val="both"/>
        <w:rPr>
          <w:rFonts w:ascii="Arial" w:hAnsi="Arial" w:cs="Arial"/>
        </w:rPr>
      </w:pPr>
      <w:r w:rsidRPr="002B4862">
        <w:rPr>
          <w:rFonts w:ascii="Arial" w:hAnsi="Arial" w:cs="Arial"/>
        </w:rPr>
        <w:t>Besides traditional Manned Vehicles, the number of flying things has (and will continue to) skyrocketed with the increasing adoption of Unmanned Aerial Vehicles (UAVs), and it is envisioned that this space (20</w:t>
      </w:r>
      <w:r>
        <w:rPr>
          <w:rFonts w:ascii="Arial" w:hAnsi="Arial" w:cs="Arial"/>
        </w:rPr>
        <w:t xml:space="preserve"> </w:t>
      </w:r>
      <w:r w:rsidRPr="002B4862">
        <w:rPr>
          <w:rFonts w:ascii="Arial" w:hAnsi="Arial" w:cs="Arial"/>
        </w:rPr>
        <w:t>K</w:t>
      </w:r>
      <w:r>
        <w:rPr>
          <w:rFonts w:ascii="Arial" w:hAnsi="Arial" w:cs="Arial"/>
        </w:rPr>
        <w:t>m</w:t>
      </w:r>
      <w:r w:rsidRPr="002B4862">
        <w:rPr>
          <w:rFonts w:ascii="Arial" w:hAnsi="Arial" w:cs="Arial"/>
        </w:rPr>
        <w:t xml:space="preserve"> above the ground) will be filled with flying things, which require to be connected in multiple scenarios. The flying things can be categorized into multiple categories, using different classifications, according to the speed of the flying thing, the altitude where they fly, the inter-distance expected between them, or the type of requested services and communications, just to name some examples. However, here, we can categorize the flying things into two main classes: i) aircrafts (airplanes), and ii) UAVs.</w:t>
      </w:r>
    </w:p>
    <w:p w14:paraId="73CAAD57" w14:textId="77777777" w:rsidR="000E7551" w:rsidRPr="002B4862" w:rsidRDefault="000E7551" w:rsidP="000E7551">
      <w:pPr>
        <w:spacing w:after="240"/>
        <w:jc w:val="both"/>
        <w:rPr>
          <w:rFonts w:ascii="Arial" w:hAnsi="Arial" w:cs="Arial"/>
        </w:rPr>
      </w:pPr>
      <w:r w:rsidRPr="002B4862">
        <w:rPr>
          <w:rFonts w:ascii="Arial" w:hAnsi="Arial" w:cs="Arial"/>
        </w:rPr>
        <w:t xml:space="preserve">Aircrafts have existed for multiple decades now. Airplanes fly at very high altitude being at the extreme limit of considered elevation, with high speed (around 900Km/h), also at the highest end of the considered speeds of </w:t>
      </w:r>
      <w:r>
        <w:rPr>
          <w:rFonts w:ascii="Arial" w:hAnsi="Arial" w:cs="Arial"/>
        </w:rPr>
        <w:t xml:space="preserve">civilian </w:t>
      </w:r>
      <w:r w:rsidRPr="002B4862">
        <w:rPr>
          <w:rFonts w:ascii="Arial" w:hAnsi="Arial" w:cs="Arial"/>
        </w:rPr>
        <w:t>flying things</w:t>
      </w:r>
      <w:r>
        <w:rPr>
          <w:rFonts w:ascii="Arial" w:hAnsi="Arial" w:cs="Arial"/>
        </w:rPr>
        <w:t xml:space="preserve"> on Earth</w:t>
      </w:r>
      <w:r w:rsidRPr="002B4862">
        <w:rPr>
          <w:rFonts w:ascii="Arial" w:hAnsi="Arial" w:cs="Arial"/>
        </w:rPr>
        <w:t>.  UAVs</w:t>
      </w:r>
      <w:r>
        <w:rPr>
          <w:rFonts w:ascii="Arial" w:hAnsi="Arial" w:cs="Arial"/>
        </w:rPr>
        <w:t xml:space="preserve"> reside</w:t>
      </w:r>
      <w:r w:rsidRPr="002B4862">
        <w:rPr>
          <w:rFonts w:ascii="Arial" w:hAnsi="Arial" w:cs="Arial"/>
        </w:rPr>
        <w:t xml:space="preserve"> at the other edge of the spectrum, when it comes to flying altitude and speeds, but with wider variation, when it comes to speeds and altitude, since UAVs vary widely in their speed and altitude capabilities. Note that popular expectations on urban mobility suggest private helicopters, or flying taxis/dispatching units. Nevertheless, these flying units will be essentially self-flying, and will be on the flight altitudes associated to these UAVs, so from the communications challenges perspective, they can be considered in the same class as “UAVs”.</w:t>
      </w:r>
    </w:p>
    <w:p w14:paraId="4168DF10" w14:textId="77777777" w:rsidR="000E7551" w:rsidRPr="002B4862" w:rsidRDefault="000E7551" w:rsidP="000E7551">
      <w:pPr>
        <w:spacing w:after="240"/>
        <w:jc w:val="both"/>
        <w:rPr>
          <w:rFonts w:ascii="Arial" w:hAnsi="Arial" w:cs="Arial"/>
        </w:rPr>
      </w:pPr>
      <w:r w:rsidRPr="002B4862">
        <w:rPr>
          <w:rFonts w:ascii="Arial" w:hAnsi="Arial" w:cs="Arial"/>
        </w:rPr>
        <w:lastRenderedPageBreak/>
        <w:t xml:space="preserve">The two classes differ much in their properties, when it comes to speed and altitude, but they still have common properties when it comes to their required communication capabilities. In both classes, the control service of each flying “thing” is critical and mandatory, while the data communication maybe more flexible, depending on the service requirements (Surveillance? Transportation? Logistics? Robotics?). Future communications and networking research should be able to provide the required reliable communications for both categories (control and data), in the most efficient way, while considering cost-effectiveness as a design criterion/requirement. </w:t>
      </w:r>
    </w:p>
    <w:p w14:paraId="6F423769" w14:textId="77777777" w:rsidR="000E7551" w:rsidRPr="002B4862" w:rsidRDefault="000E7551" w:rsidP="000E7551">
      <w:pPr>
        <w:spacing w:after="240"/>
        <w:jc w:val="both"/>
        <w:rPr>
          <w:rFonts w:ascii="Arial" w:hAnsi="Arial" w:cs="Arial"/>
        </w:rPr>
      </w:pPr>
      <w:r w:rsidRPr="002B4862">
        <w:rPr>
          <w:rFonts w:ascii="Arial" w:hAnsi="Arial" w:cs="Arial"/>
        </w:rPr>
        <w:t xml:space="preserve">A) The control service (which can also be referred to as control and nonpayload communication - CNPC - services) of airplanes is critical and mandatory, which defines the basic rules, forms the virtual paths in the air, avoids collision, and reserves passage for airplane/UAVs take-off and landing. The control service may be based on satellite (low earth orbit in most cases), ground base stations, and even among flying “things”, with dynamic multi or single connection, to guarantee the “control” with very high reliability. Passive radio sensing detection is also necessary for the “control”, since it is very dangerous to rely on the positioning reported by the flying “things” themselves in congested airspaces. </w:t>
      </w:r>
    </w:p>
    <w:p w14:paraId="5A54A5BD" w14:textId="77777777" w:rsidR="000E7551" w:rsidRPr="002B4862" w:rsidRDefault="000E7551" w:rsidP="000E7551">
      <w:pPr>
        <w:spacing w:after="240"/>
        <w:jc w:val="both"/>
        <w:rPr>
          <w:rFonts w:ascii="Arial" w:hAnsi="Arial" w:cs="Arial"/>
        </w:rPr>
      </w:pPr>
      <w:r w:rsidRPr="002B4862">
        <w:rPr>
          <w:rFonts w:ascii="Arial" w:hAnsi="Arial" w:cs="Arial"/>
        </w:rPr>
        <w:t>B) Data communications (which are used for non-control necessities, includi</w:t>
      </w:r>
      <w:r>
        <w:rPr>
          <w:rFonts w:ascii="Arial" w:hAnsi="Arial" w:cs="Arial"/>
        </w:rPr>
        <w:t>ng entertainment for passengers</w:t>
      </w:r>
      <w:r w:rsidRPr="002B4862">
        <w:rPr>
          <w:rFonts w:ascii="Arial" w:hAnsi="Arial" w:cs="Arial"/>
        </w:rPr>
        <w:t xml:space="preserve">) maybe rather flexible, depending on the service requirements, and it could be supported by somewhat traditional communication (for example, connect with a ground base station), or probabilistic communication (carry out data communication within a defined period of time, while each data transmission complies with a certain success probability) among the flying vehicles. </w:t>
      </w:r>
    </w:p>
    <w:p w14:paraId="7C672164" w14:textId="77777777" w:rsidR="000E7551" w:rsidRPr="002B4862" w:rsidRDefault="000E7551" w:rsidP="000E7551">
      <w:pPr>
        <w:spacing w:after="240"/>
        <w:jc w:val="both"/>
        <w:rPr>
          <w:rFonts w:ascii="Arial" w:hAnsi="Arial" w:cs="Arial"/>
        </w:rPr>
      </w:pPr>
      <w:r w:rsidRPr="002B4862">
        <w:rPr>
          <w:rFonts w:ascii="Arial" w:hAnsi="Arial" w:cs="Arial"/>
          <w:b/>
          <w:u w:val="single"/>
        </w:rPr>
        <w:t>Airplanes</w:t>
      </w:r>
      <w:r w:rsidRPr="002B4862">
        <w:rPr>
          <w:rFonts w:ascii="Arial" w:hAnsi="Arial" w:cs="Arial"/>
        </w:rPr>
        <w:t>: In recent years, we started seeing Internet services onboard of airplanes, and even live TV, with minimal quality. Future networking architectures are required to provide improved reliable broadband communications capabilities to aircrafts. The first type of communication services requires high-reliability, very low-latency, and mostly low data rates. On the other hand, the reliability of the second type may be a bit lower, but still depends on the type of service. We may have variable communication requirements, even ultra-low latency, if for instance gaming, video-conferencing, etc. services are to be offered onboard. However, it is important to differentiate between the criticality of both types of services. In other words, control services have to be guaranteed, and provide high-reliability, to secure the safety of the aircraft itself, while data communication may need the same requirements; however, losing such communications would not jeopardize the safety of the aircrafts.</w:t>
      </w:r>
    </w:p>
    <w:p w14:paraId="1B790273" w14:textId="77777777" w:rsidR="000E7551" w:rsidRPr="002B4862" w:rsidRDefault="000E7551" w:rsidP="000E7551">
      <w:pPr>
        <w:spacing w:after="240"/>
        <w:jc w:val="both"/>
        <w:rPr>
          <w:rFonts w:ascii="Arial" w:hAnsi="Arial" w:cs="Arial"/>
        </w:rPr>
      </w:pPr>
      <w:r w:rsidRPr="002B4862">
        <w:rPr>
          <w:rFonts w:ascii="Arial" w:hAnsi="Arial" w:cs="Arial"/>
        </w:rPr>
        <w:t xml:space="preserve">Communications to aircrafts, flying at very high altitude with ultra-high speed, face three major challenges, to meet their requirements: i) continuous (reliable) communications, even at high altitude; ii) low latency; and iii) high bitrates. </w:t>
      </w:r>
    </w:p>
    <w:p w14:paraId="0C5FB8D7" w14:textId="77777777" w:rsidR="000E7551" w:rsidRPr="002B4862" w:rsidRDefault="000E7551" w:rsidP="000E7551">
      <w:pPr>
        <w:spacing w:after="240"/>
        <w:jc w:val="both"/>
        <w:rPr>
          <w:rFonts w:ascii="Arial" w:hAnsi="Arial" w:cs="Arial"/>
        </w:rPr>
      </w:pPr>
      <w:r w:rsidRPr="002B4862">
        <w:rPr>
          <w:rFonts w:ascii="Arial" w:hAnsi="Arial" w:cs="Arial"/>
        </w:rPr>
        <w:t xml:space="preserve">For Air mobility new network, the wireless network architecture could be completely different from the “flat” ground cellular network. The network could be based in clusters of three- dimensional spheres, without interference between clusters if dedicated spectrum could be allocated. How to share spectrum between all these clusters, ground and satellite is a challenge. </w:t>
      </w:r>
    </w:p>
    <w:p w14:paraId="4F42D962" w14:textId="77777777" w:rsidR="000E7551" w:rsidRPr="002B4862" w:rsidRDefault="000E7551" w:rsidP="000E7551">
      <w:pPr>
        <w:spacing w:after="240"/>
        <w:jc w:val="both"/>
        <w:rPr>
          <w:rFonts w:ascii="Arial" w:hAnsi="Arial" w:cs="Arial"/>
        </w:rPr>
      </w:pPr>
      <w:r w:rsidRPr="002B4862">
        <w:rPr>
          <w:rFonts w:ascii="Arial" w:hAnsi="Arial" w:cs="Arial"/>
        </w:rPr>
        <w:t xml:space="preserve">One main direction will be how to design an integrated ecosystem, encompassing the multiple networking paradigms, including mobile cellular networks, satellite systems, in addition to even the very high frequency (VHF) spectrum. The future architecture will need to propose interference management and mitigation schemes, between the different systems. For this </w:t>
      </w:r>
      <w:r w:rsidRPr="002B4862">
        <w:rPr>
          <w:rFonts w:ascii="Arial" w:hAnsi="Arial" w:cs="Arial"/>
        </w:rPr>
        <w:lastRenderedPageBreak/>
        <w:t xml:space="preserve">requirement, channel modelling of cellular networks, towards such high altitude users, needs to be achieved. How cellular networking can provide such seamless continuous connectivity will be another challenge, required to be answered by the future networking generation. </w:t>
      </w:r>
    </w:p>
    <w:p w14:paraId="529A772B" w14:textId="77777777" w:rsidR="000E7551" w:rsidRPr="002B4862" w:rsidRDefault="000E7551" w:rsidP="000E7551">
      <w:pPr>
        <w:spacing w:after="240"/>
        <w:jc w:val="both"/>
        <w:rPr>
          <w:rFonts w:ascii="Arial" w:hAnsi="Arial" w:cs="Arial"/>
        </w:rPr>
      </w:pPr>
      <w:r w:rsidRPr="002B4862">
        <w:rPr>
          <w:rFonts w:ascii="Arial" w:hAnsi="Arial" w:cs="Arial"/>
        </w:rPr>
        <w:t xml:space="preserve">Finally, another dimension for communications will be ad hoc communications between multiple aircrafts, again for safety reasons, to avoid collisions between aircrafts. Ad hoc communications may require completely different networking protocol and architecture. </w:t>
      </w:r>
    </w:p>
    <w:p w14:paraId="0ADA7C0C" w14:textId="77777777" w:rsidR="000E7551" w:rsidRDefault="000E7551" w:rsidP="000E7551">
      <w:pPr>
        <w:spacing w:after="120"/>
        <w:jc w:val="both"/>
        <w:rPr>
          <w:rFonts w:ascii="Arial" w:hAnsi="Arial" w:cs="Arial"/>
        </w:rPr>
      </w:pPr>
      <w:r w:rsidRPr="002B4862">
        <w:rPr>
          <w:rFonts w:ascii="Arial" w:hAnsi="Arial" w:cs="Arial"/>
          <w:b/>
        </w:rPr>
        <w:t>Unmanned Aerial Vehicles</w:t>
      </w:r>
      <w:r w:rsidRPr="002B4862">
        <w:rPr>
          <w:rFonts w:ascii="Arial" w:hAnsi="Arial" w:cs="Arial"/>
        </w:rPr>
        <w:t>: UAVs are becoming critical these days, and is foreseen to be an essential part of our future ecosystem, especially in the era of IoT and smart city. A study by PricewaterhouseCoopers (PwC) estimates the business market of UAVs to be valued at over $127 billion.</w:t>
      </w:r>
      <w:r>
        <w:rPr>
          <w:rFonts w:ascii="Arial" w:hAnsi="Arial" w:cs="Arial"/>
        </w:rPr>
        <w:t xml:space="preserve"> </w:t>
      </w:r>
      <w:r w:rsidRPr="002B4862">
        <w:rPr>
          <w:rFonts w:ascii="Arial" w:hAnsi="Arial" w:cs="Arial"/>
        </w:rPr>
        <w:t>This huge market has opened new ch</w:t>
      </w:r>
      <w:r>
        <w:rPr>
          <w:rFonts w:ascii="Arial" w:hAnsi="Arial" w:cs="Arial"/>
        </w:rPr>
        <w:t>allenges for the communications.</w:t>
      </w:r>
    </w:p>
    <w:p w14:paraId="7AD5A083" w14:textId="77777777" w:rsidR="000E7551" w:rsidRPr="002B4862" w:rsidRDefault="000E7551" w:rsidP="000E7551">
      <w:pPr>
        <w:jc w:val="both"/>
        <w:rPr>
          <w:rFonts w:ascii="Arial" w:hAnsi="Arial" w:cs="Arial"/>
        </w:rPr>
      </w:pPr>
      <w:r w:rsidRPr="002B4862">
        <w:rPr>
          <w:rFonts w:ascii="Arial" w:hAnsi="Arial" w:cs="Arial"/>
        </w:rPr>
        <w:t xml:space="preserve">The first challenge is to guarantee reliable communications for all the flying “Things”. Most UAVs require continuous reliable communications, for the safe travel (flying). The challenge is how to provide such communications, within the random, high variable, high mobile environment of UAVs. It is clear that we will be entering a new domain, different from the plane cellular on the ground, but here, maybe with a huge number of things coexisting in a close environment. </w:t>
      </w:r>
    </w:p>
    <w:p w14:paraId="707BBEB8"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From this new perspective, new research challenges arise:</w:t>
      </w:r>
    </w:p>
    <w:p w14:paraId="56507FDE" w14:textId="77777777" w:rsidR="000E7551" w:rsidRPr="002B4862" w:rsidRDefault="000E7551" w:rsidP="00124439">
      <w:pPr>
        <w:pStyle w:val="ListParagraph"/>
        <w:numPr>
          <w:ilvl w:val="0"/>
          <w:numId w:val="30"/>
        </w:numPr>
        <w:autoSpaceDE w:val="0"/>
        <w:autoSpaceDN w:val="0"/>
        <w:adjustRightInd w:val="0"/>
        <w:spacing w:before="120" w:after="120" w:line="240" w:lineRule="auto"/>
        <w:ind w:left="360"/>
        <w:jc w:val="both"/>
        <w:rPr>
          <w:rFonts w:ascii="Arial" w:hAnsi="Arial" w:cs="Arial"/>
        </w:rPr>
      </w:pPr>
      <w:r w:rsidRPr="002B4862">
        <w:rPr>
          <w:rFonts w:ascii="Arial" w:hAnsi="Arial" w:cs="Arial"/>
        </w:rPr>
        <w:t>How to share the spectrum between different networks, and avoid interference to maximize resource utilization and increase quality and reliability?</w:t>
      </w:r>
    </w:p>
    <w:p w14:paraId="69465E8F" w14:textId="77777777" w:rsidR="000E7551" w:rsidRPr="002B4862" w:rsidRDefault="000E7551" w:rsidP="00124439">
      <w:pPr>
        <w:pStyle w:val="ListParagraph"/>
        <w:numPr>
          <w:ilvl w:val="0"/>
          <w:numId w:val="30"/>
        </w:numPr>
        <w:autoSpaceDE w:val="0"/>
        <w:autoSpaceDN w:val="0"/>
        <w:adjustRightInd w:val="0"/>
        <w:spacing w:before="120" w:after="120" w:line="240" w:lineRule="auto"/>
        <w:ind w:left="360"/>
        <w:jc w:val="both"/>
        <w:rPr>
          <w:rFonts w:ascii="Arial" w:hAnsi="Arial" w:cs="Arial"/>
        </w:rPr>
      </w:pPr>
      <w:r w:rsidRPr="002B4862">
        <w:rPr>
          <w:rFonts w:ascii="Arial" w:hAnsi="Arial" w:cs="Arial"/>
        </w:rPr>
        <w:t>What would be the real-life propagation models in the new 3D environment?</w:t>
      </w:r>
    </w:p>
    <w:p w14:paraId="4BA677E7" w14:textId="77777777" w:rsidR="000E7551" w:rsidRPr="002B4862" w:rsidRDefault="000E7551" w:rsidP="00124439">
      <w:pPr>
        <w:pStyle w:val="ListParagraph"/>
        <w:numPr>
          <w:ilvl w:val="0"/>
          <w:numId w:val="30"/>
        </w:numPr>
        <w:autoSpaceDE w:val="0"/>
        <w:autoSpaceDN w:val="0"/>
        <w:adjustRightInd w:val="0"/>
        <w:spacing w:before="120" w:after="120" w:line="240" w:lineRule="auto"/>
        <w:ind w:left="360"/>
        <w:jc w:val="both"/>
        <w:rPr>
          <w:rFonts w:ascii="Arial" w:hAnsi="Arial" w:cs="Arial"/>
        </w:rPr>
      </w:pPr>
      <w:r w:rsidRPr="002B4862">
        <w:rPr>
          <w:rFonts w:ascii="Arial" w:hAnsi="Arial" w:cs="Arial"/>
        </w:rPr>
        <w:t>Study of the effect of low/high mobility of drones on the UAVs communication and how to design communication networks to provide reliable communications in such challenging environment</w:t>
      </w:r>
    </w:p>
    <w:p w14:paraId="4C52BE98" w14:textId="77777777" w:rsidR="000E7551" w:rsidRPr="002B4862" w:rsidRDefault="000E7551" w:rsidP="00124439">
      <w:pPr>
        <w:pStyle w:val="ListParagraph"/>
        <w:numPr>
          <w:ilvl w:val="0"/>
          <w:numId w:val="30"/>
        </w:numPr>
        <w:autoSpaceDE w:val="0"/>
        <w:autoSpaceDN w:val="0"/>
        <w:adjustRightInd w:val="0"/>
        <w:spacing w:before="120" w:after="120" w:line="240" w:lineRule="auto"/>
        <w:ind w:left="360"/>
        <w:jc w:val="both"/>
        <w:rPr>
          <w:rFonts w:ascii="Arial" w:hAnsi="Arial" w:cs="Arial"/>
        </w:rPr>
      </w:pPr>
      <w:r w:rsidRPr="002B4862">
        <w:rPr>
          <w:rFonts w:ascii="Arial" w:hAnsi="Arial" w:cs="Arial"/>
        </w:rPr>
        <w:t>Energy efficiency will be another challenge. UAVs are power-limited; hence, minimizing of energy consumption is a priority, to allow extended periods of flying, hence service, specially on swarm scenarios.</w:t>
      </w:r>
    </w:p>
    <w:p w14:paraId="1D66B9B8"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 xml:space="preserve">The second challenge is to answer the question of how the UAVs can be integrated in the overall networking ecosystem. The use of UAVs within the mobile cellular ecosystem has attracted lots of attention from the academic and industrial entities: The use of UAVs as relays (in particular as small cells), to provide cellular coverage in certain situation has been seen as a high beneficial solution, in the future networks. UAVs can provide networking in emergency situation; to remote areas; temporarily during events with expected large number of devices, etc. </w:t>
      </w:r>
    </w:p>
    <w:p w14:paraId="08EF7BEC" w14:textId="77777777" w:rsidR="000E7551" w:rsidRPr="002B4862" w:rsidRDefault="000E7551" w:rsidP="000E7551">
      <w:pPr>
        <w:autoSpaceDE w:val="0"/>
        <w:autoSpaceDN w:val="0"/>
        <w:adjustRightInd w:val="0"/>
        <w:spacing w:before="120" w:after="120"/>
        <w:jc w:val="both"/>
        <w:rPr>
          <w:rFonts w:ascii="Arial" w:hAnsi="Arial" w:cs="Arial"/>
        </w:rPr>
      </w:pPr>
      <w:r w:rsidRPr="002B4862">
        <w:rPr>
          <w:rFonts w:ascii="Arial" w:hAnsi="Arial" w:cs="Arial"/>
        </w:rPr>
        <w:t>The concept of UAVs as an integral part of the mobile cellular network opens a plethora of challenges for the future networks:</w:t>
      </w:r>
    </w:p>
    <w:p w14:paraId="6671C96D" w14:textId="77777777" w:rsidR="000E7551" w:rsidRPr="002B4862" w:rsidRDefault="000E7551" w:rsidP="00124439">
      <w:pPr>
        <w:pStyle w:val="ListParagraph"/>
        <w:numPr>
          <w:ilvl w:val="0"/>
          <w:numId w:val="30"/>
        </w:numPr>
        <w:autoSpaceDE w:val="0"/>
        <w:autoSpaceDN w:val="0"/>
        <w:adjustRightInd w:val="0"/>
        <w:spacing w:before="120" w:after="120" w:line="240" w:lineRule="auto"/>
        <w:jc w:val="both"/>
        <w:rPr>
          <w:rFonts w:ascii="Arial" w:hAnsi="Arial" w:cs="Arial"/>
        </w:rPr>
      </w:pPr>
      <w:r w:rsidRPr="002B4862">
        <w:rPr>
          <w:rFonts w:ascii="Arial" w:hAnsi="Arial" w:cs="Arial"/>
        </w:rPr>
        <w:t>What frequency should UAVs use? For fronthaul towards the UAVs? For cellular service provisioning to end-users?</w:t>
      </w:r>
    </w:p>
    <w:p w14:paraId="36493962" w14:textId="77777777" w:rsidR="000E7551" w:rsidRPr="002B4862" w:rsidRDefault="000E7551" w:rsidP="00124439">
      <w:pPr>
        <w:pStyle w:val="ListParagraph"/>
        <w:numPr>
          <w:ilvl w:val="0"/>
          <w:numId w:val="30"/>
        </w:numPr>
        <w:autoSpaceDE w:val="0"/>
        <w:autoSpaceDN w:val="0"/>
        <w:adjustRightInd w:val="0"/>
        <w:spacing w:before="120" w:after="120" w:line="240" w:lineRule="auto"/>
        <w:jc w:val="both"/>
        <w:rPr>
          <w:rFonts w:ascii="Arial" w:hAnsi="Arial" w:cs="Arial"/>
        </w:rPr>
      </w:pPr>
      <w:r w:rsidRPr="002B4862">
        <w:rPr>
          <w:rFonts w:ascii="Arial" w:hAnsi="Arial" w:cs="Arial"/>
        </w:rPr>
        <w:t>How to coordinate between UAVs, legacy BSs, small cells (which are randomly setup) etc.? Dynamic interference management in such scenario will be highly challenging</w:t>
      </w:r>
    </w:p>
    <w:p w14:paraId="322B35D3" w14:textId="77777777" w:rsidR="000E7551" w:rsidRPr="002B4862" w:rsidRDefault="000E7551" w:rsidP="00124439">
      <w:pPr>
        <w:pStyle w:val="ListParagraph"/>
        <w:numPr>
          <w:ilvl w:val="0"/>
          <w:numId w:val="30"/>
        </w:numPr>
        <w:autoSpaceDE w:val="0"/>
        <w:autoSpaceDN w:val="0"/>
        <w:adjustRightInd w:val="0"/>
        <w:spacing w:before="120" w:after="120" w:line="240" w:lineRule="auto"/>
        <w:jc w:val="both"/>
        <w:rPr>
          <w:rFonts w:ascii="Arial" w:hAnsi="Arial" w:cs="Arial"/>
        </w:rPr>
      </w:pPr>
      <w:r w:rsidRPr="002B4862">
        <w:rPr>
          <w:rFonts w:ascii="Arial" w:hAnsi="Arial" w:cs="Arial"/>
        </w:rPr>
        <w:t>Management of attached, detachment and re-attachment of UAVs will also be challenging, especially with mobility (if allowed in case of UAVs as small cells or relays).</w:t>
      </w:r>
    </w:p>
    <w:p w14:paraId="3EBCB598" w14:textId="77777777" w:rsidR="000E7551" w:rsidRPr="002B4862" w:rsidRDefault="000E7551" w:rsidP="00124439">
      <w:pPr>
        <w:pStyle w:val="ListParagraph"/>
        <w:numPr>
          <w:ilvl w:val="0"/>
          <w:numId w:val="30"/>
        </w:numPr>
        <w:autoSpaceDE w:val="0"/>
        <w:autoSpaceDN w:val="0"/>
        <w:adjustRightInd w:val="0"/>
        <w:spacing w:before="120" w:after="120" w:line="240" w:lineRule="auto"/>
        <w:jc w:val="both"/>
        <w:rPr>
          <w:rFonts w:ascii="Arial" w:hAnsi="Arial" w:cs="Arial"/>
        </w:rPr>
      </w:pPr>
      <w:r w:rsidRPr="002B4862">
        <w:rPr>
          <w:rFonts w:ascii="Arial" w:hAnsi="Arial" w:cs="Arial"/>
        </w:rPr>
        <w:t>Energy efficiency will definitely be a high priority, due to the limited power capacity of UAVs.</w:t>
      </w:r>
    </w:p>
    <w:p w14:paraId="688F6F2B" w14:textId="77777777" w:rsidR="000E7551" w:rsidRPr="002B4862" w:rsidRDefault="000E7551" w:rsidP="000E7551">
      <w:pPr>
        <w:jc w:val="both"/>
        <w:rPr>
          <w:rFonts w:ascii="Arial" w:hAnsi="Arial" w:cs="Arial"/>
        </w:rPr>
      </w:pPr>
      <w:r w:rsidRPr="002B4862">
        <w:rPr>
          <w:rFonts w:ascii="Arial" w:hAnsi="Arial" w:cs="Arial"/>
        </w:rPr>
        <w:t xml:space="preserve">Similar to how 5G networks revolutionized how communications were handled, so will the next generations further push the envelope beyond just performance enhancements solely based on radio and core architecture evolutions. Whole system rethinking allied to the integration of </w:t>
      </w:r>
      <w:r w:rsidRPr="002B4862">
        <w:rPr>
          <w:rFonts w:ascii="Arial" w:hAnsi="Arial" w:cs="Arial"/>
        </w:rPr>
        <w:lastRenderedPageBreak/>
        <w:t>new enablers (e.g., as SDN, NFV, SBA, Cloud-native were thought for 5G), will transform and create new opportunities for Air Mobility New Network. As the amount of devices with link capabilities increases, due to the decrease in electronics size and price, more connected flying entities will occupy our skies and space. This means that a greater amount of simultaneous connectivity opportunities will present themselves to each individual connected flying thing. By coupling them with multiple network interfaces, air multihoming scenarios will surface, allowing such devices to pick the best connectivity path according to the specific needs of the application (or network control) services traversing those air link channels. This mandates a closer integration with Machine Learning techniques in order to optimize link connectivity choice, as communications will not only scale laterally but also upwards, and become 3D. This will also give birth to new kinds of delay-tolerant / relaying operations and protocols, where the dynamic connectivity opportunities need to be anticipated by learning algorithms, in order to minimize losses or misguided overutilization of air links that do not successfully deliver the information towards the intended target (as needed for reliable communications mandated by verticals or response teams in serious situations). As autonomy is a serious matter in unmanned air vehicles, the added complexity of this type of per-flow optimization (where each flying node can have different applicational flows going through different links in the sky and/or ground) demands greater computational power, new offloading mechanisms towards the edge of the ground network (or flying nodes with greater flight autonomy and even remote battery charge sharing between nodes), will allow such processing to become fully distributed. Obviously, the operational capability for the abovementioned scenarios emphasizes the need for thorough secure operations, deployed both at the control and data paths.</w:t>
      </w:r>
    </w:p>
    <w:p w14:paraId="61A8B47D" w14:textId="77777777" w:rsidR="000E7551" w:rsidRPr="0063079E" w:rsidRDefault="000E7551" w:rsidP="000E7551">
      <w:pPr>
        <w:spacing w:after="0" w:line="240" w:lineRule="auto"/>
        <w:jc w:val="both"/>
        <w:rPr>
          <w:rFonts w:ascii="Arial" w:hAnsi="Arial" w:cs="Arial"/>
          <w:color w:val="000000" w:themeColor="text1"/>
        </w:rPr>
      </w:pPr>
    </w:p>
    <w:p w14:paraId="20210085" w14:textId="77777777" w:rsidR="000E7551" w:rsidRPr="0063079E" w:rsidRDefault="000E7551" w:rsidP="000E7551">
      <w:pPr>
        <w:pStyle w:val="Heading2"/>
        <w:spacing w:before="0" w:after="120"/>
        <w:ind w:left="578" w:hanging="578"/>
        <w:jc w:val="both"/>
        <w:rPr>
          <w:rFonts w:cs="Arial"/>
          <w:color w:val="000000" w:themeColor="text1"/>
          <w:lang w:eastAsia="de-DE"/>
        </w:rPr>
      </w:pPr>
      <w:bookmarkStart w:id="436" w:name="_Toc509817927"/>
      <w:bookmarkStart w:id="437" w:name="_Toc525463891"/>
      <w:bookmarkStart w:id="438" w:name="_Toc40072060"/>
      <w:bookmarkStart w:id="439" w:name="_Toc42177375"/>
      <w:r>
        <w:rPr>
          <w:rFonts w:cs="Arial"/>
          <w:color w:val="000000" w:themeColor="text1"/>
          <w:lang w:eastAsia="de-DE"/>
        </w:rPr>
        <w:t xml:space="preserve">Protocols, </w:t>
      </w:r>
      <w:r w:rsidRPr="0063079E">
        <w:rPr>
          <w:rFonts w:cs="Arial"/>
          <w:color w:val="000000" w:themeColor="text1"/>
          <w:lang w:eastAsia="de-DE"/>
        </w:rPr>
        <w:t>Algorithms and Data</w:t>
      </w:r>
      <w:bookmarkEnd w:id="436"/>
      <w:bookmarkEnd w:id="437"/>
      <w:bookmarkEnd w:id="438"/>
      <w:bookmarkEnd w:id="439"/>
    </w:p>
    <w:p w14:paraId="2D1DB16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Softwarisation/cloud and security concepts are assumed as already included in the current network architecture.</w:t>
      </w:r>
    </w:p>
    <w:p w14:paraId="672A9F84" w14:textId="77777777" w:rsidR="000E7551" w:rsidRPr="0063079E" w:rsidRDefault="000E7551" w:rsidP="000E7551">
      <w:pPr>
        <w:spacing w:after="0" w:line="240" w:lineRule="auto"/>
        <w:rPr>
          <w:rFonts w:ascii="Arial" w:hAnsi="Arial" w:cs="Arial"/>
          <w:color w:val="000000" w:themeColor="text1"/>
        </w:rPr>
      </w:pPr>
    </w:p>
    <w:p w14:paraId="69367D84" w14:textId="77777777" w:rsidR="000E7551" w:rsidRPr="0063079E" w:rsidRDefault="000E7551" w:rsidP="00DA6395">
      <w:pPr>
        <w:pStyle w:val="Heading3"/>
      </w:pPr>
      <w:bookmarkStart w:id="440" w:name="_Toc509817928"/>
      <w:bookmarkStart w:id="441" w:name="_Toc525463892"/>
      <w:bookmarkStart w:id="442" w:name="_Toc40072061"/>
      <w:bookmarkStart w:id="443" w:name="_Toc42177376"/>
      <w:r w:rsidRPr="0063079E">
        <w:t>Impact of AI/ML on the Network</w:t>
      </w:r>
      <w:bookmarkEnd w:id="440"/>
      <w:bookmarkEnd w:id="441"/>
      <w:bookmarkEnd w:id="442"/>
      <w:bookmarkEnd w:id="443"/>
    </w:p>
    <w:p w14:paraId="6A7A26B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During the last years, the use of AI/ML solutions has reached a great popularity, attracting several innovation activities and growing investments. As a matter of fact, since a few years we have been witnessing that AI/ML is one of the key enabling technologies capable of paving the way to the Digital Transformation of Telecommunications. In fact, AI/ML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”complexity”, dynamisms and pervasivity of the infrastructures.</w:t>
      </w:r>
    </w:p>
    <w:p w14:paraId="6B2D0F2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Examples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3AAC2E7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For example, services such as autonomous cars have latencies requirements that are so strict (e.g., order of ms) that it is not possible </w:t>
      </w:r>
      <w:r>
        <w:rPr>
          <w:rFonts w:ascii="Arial" w:hAnsi="Arial" w:cs="Arial"/>
          <w:color w:val="000000" w:themeColor="text1"/>
        </w:rPr>
        <w:t>“</w:t>
      </w:r>
      <w:r w:rsidRPr="0063079E">
        <w:rPr>
          <w:rFonts w:ascii="Arial" w:hAnsi="Arial" w:cs="Arial"/>
          <w:color w:val="000000" w:themeColor="text1"/>
        </w:rPr>
        <w:t xml:space="preserve">to close the loop” executing them with cloud computing solutions. The deployment of local processing and MEC (Multi-Access Edge) solutions can help mitigating this problem, but it requires management/control and orchestration capabilities </w:t>
      </w:r>
      <w:r w:rsidRPr="0063079E">
        <w:rPr>
          <w:rFonts w:ascii="Arial" w:hAnsi="Arial" w:cs="Arial"/>
          <w:color w:val="000000" w:themeColor="text1"/>
        </w:rPr>
        <w:lastRenderedPageBreak/>
        <w:t>capable of integrating on-device, edge-based and cloud-based AI/ML-systems.</w:t>
      </w:r>
      <w:r>
        <w:rPr>
          <w:rFonts w:ascii="Arial" w:hAnsi="Arial" w:cs="Arial"/>
          <w:color w:val="000000" w:themeColor="text1"/>
        </w:rPr>
        <w:t xml:space="preserve"> </w:t>
      </w:r>
      <w:r w:rsidRPr="002B4862">
        <w:rPr>
          <w:rFonts w:ascii="Arial" w:hAnsi="Arial" w:cs="Arial"/>
          <w:color w:val="000000" w:themeColor="text1"/>
        </w:rPr>
        <w:t>The intelligence will progressively migrate towards the edge of the network, requiring research that goes beyond traditional approaches and moves towards novel federated learning solutions, to enable multiple edge devices to build a common, robust ML model without sharing dat</w:t>
      </w:r>
      <w:r>
        <w:rPr>
          <w:rFonts w:ascii="Arial" w:hAnsi="Arial" w:cs="Arial"/>
          <w:color w:val="000000" w:themeColor="text1"/>
        </w:rPr>
        <w:t>a;</w:t>
      </w:r>
      <w:r w:rsidRPr="002B4862">
        <w:rPr>
          <w:rFonts w:ascii="Arial" w:hAnsi="Arial" w:cs="Arial"/>
          <w:color w:val="000000" w:themeColor="text1"/>
        </w:rPr>
        <w:t xml:space="preserve"> multi-task learning, to learn from multiple related tasks, simultaneousl</w:t>
      </w:r>
      <w:r>
        <w:rPr>
          <w:rFonts w:ascii="Arial" w:hAnsi="Arial" w:cs="Arial"/>
          <w:color w:val="000000" w:themeColor="text1"/>
        </w:rPr>
        <w:t>y;</w:t>
      </w:r>
      <w:r w:rsidRPr="002B4862">
        <w:rPr>
          <w:rFonts w:ascii="Arial" w:hAnsi="Arial" w:cs="Arial"/>
          <w:color w:val="000000" w:themeColor="text1"/>
        </w:rPr>
        <w:t xml:space="preserve"> deep transfer learning to solve a particular task using a pre-trained model on a different task</w:t>
      </w:r>
      <w:r>
        <w:rPr>
          <w:rFonts w:ascii="Arial" w:hAnsi="Arial" w:cs="Arial"/>
          <w:color w:val="000000" w:themeColor="text1"/>
        </w:rPr>
        <w:t>;</w:t>
      </w:r>
      <w:r w:rsidRPr="002B4862">
        <w:rPr>
          <w:rFonts w:ascii="Arial" w:hAnsi="Arial" w:cs="Arial"/>
          <w:color w:val="000000" w:themeColor="text1"/>
        </w:rPr>
        <w:t xml:space="preserve"> multi-agent reinforcement learning, to distributively learn</w:t>
      </w:r>
      <w:r>
        <w:t xml:space="preserve"> decision making policies</w:t>
      </w:r>
      <w:r w:rsidRPr="002B4862">
        <w:rPr>
          <w:rFonts w:ascii="Arial" w:hAnsi="Arial" w:cs="Arial"/>
          <w:color w:val="000000" w:themeColor="text1"/>
        </w:rPr>
        <w:t>, facing the game theoretic dynamics that appear due to the non-stationarity of the environment.</w:t>
      </w:r>
    </w:p>
    <w:p w14:paraId="7A7FE558"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On the other hand, the management complexity of such future infrastructures (e.g., for FCAPS (</w:t>
      </w:r>
      <w:r w:rsidRPr="0063079E">
        <w:rPr>
          <w:rStyle w:val="y0nh2b"/>
          <w:rFonts w:ascii="Arial" w:hAnsi="Arial" w:cs="Arial"/>
          <w:color w:val="000000" w:themeColor="text1"/>
        </w:rPr>
        <w:t>Fault, Configuration, Accounting, Performance, Security</w:t>
      </w:r>
      <w:r w:rsidRPr="0063079E">
        <w:rPr>
          <w:rFonts w:ascii="Arial" w:hAnsi="Arial" w:cs="Arial"/>
          <w:color w:val="000000" w:themeColor="text1"/>
        </w:rPr>
        <w:t>) and orchestration of virtual resources and services will overwhelm human-made operations, thus posing urgent needs of designing and deploying OSS/BSS with AI/ML features. At the same time, the use of AI for the network will reduce the amount of person-power needed to deploy and operate the infrastructure, thus reducing the operational costs. Moreover, AI/ML can fuel the generation of new services that may lead to improved sustainability models for the network operators.</w:t>
      </w:r>
    </w:p>
    <w:p w14:paraId="178E57CF" w14:textId="49CB0460" w:rsidR="000E7551" w:rsidRPr="00581F44"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Nevertheless, the massive adoption of </w:t>
      </w:r>
      <w:r w:rsidRPr="00581F44">
        <w:rPr>
          <w:rFonts w:ascii="Arial" w:hAnsi="Arial" w:cs="Arial"/>
          <w:color w:val="000000" w:themeColor="text1"/>
        </w:rPr>
        <w:t xml:space="preserve">AI tools </w:t>
      </w:r>
      <w:r>
        <w:rPr>
          <w:rFonts w:ascii="Arial" w:hAnsi="Arial" w:cs="Arial"/>
          <w:color w:val="000000" w:themeColor="text1"/>
        </w:rPr>
        <w:t xml:space="preserve">will exacerbate </w:t>
      </w:r>
      <w:r w:rsidRPr="00581F44">
        <w:rPr>
          <w:rFonts w:ascii="Arial" w:hAnsi="Arial" w:cs="Arial"/>
          <w:color w:val="000000" w:themeColor="text1"/>
        </w:rPr>
        <w:t xml:space="preserve">the </w:t>
      </w:r>
      <w:r>
        <w:rPr>
          <w:rFonts w:ascii="Arial" w:hAnsi="Arial" w:cs="Arial"/>
          <w:color w:val="000000" w:themeColor="text1"/>
        </w:rPr>
        <w:t xml:space="preserve">problem of energy consumption of the ICT infrastructure. As introduced before, </w:t>
      </w:r>
      <w:r w:rsidRPr="00581F44">
        <w:rPr>
          <w:rFonts w:ascii="Arial" w:hAnsi="Arial" w:cs="Arial"/>
          <w:color w:val="000000" w:themeColor="text1"/>
        </w:rPr>
        <w:t>training a single AI is equivalent to 284 tonnes of carbon dioxide equivalent, i.e., five times the lifetime emissions of an average car</w:t>
      </w:r>
      <w:r>
        <w:rPr>
          <w:rFonts w:ascii="Arial" w:hAnsi="Arial" w:cs="Arial"/>
          <w:color w:val="000000" w:themeColor="text1"/>
        </w:rPr>
        <w:t xml:space="preserve"> </w:t>
      </w:r>
      <w:r w:rsidR="00EA4B7A">
        <w:rPr>
          <w:rFonts w:ascii="Arial" w:hAnsi="Arial" w:cs="Arial"/>
          <w:color w:val="000000" w:themeColor="text1"/>
        </w:rPr>
        <w:t>[C5-3]</w:t>
      </w:r>
      <w:r w:rsidRPr="00581F44">
        <w:rPr>
          <w:rFonts w:ascii="Arial" w:hAnsi="Arial" w:cs="Arial"/>
          <w:color w:val="000000" w:themeColor="text1"/>
        </w:rPr>
        <w:t>.</w:t>
      </w:r>
      <w:r>
        <w:rPr>
          <w:rFonts w:ascii="Arial" w:hAnsi="Arial" w:cs="Arial"/>
          <w:color w:val="000000" w:themeColor="text1"/>
        </w:rPr>
        <w:t xml:space="preserve"> Therefore, it will be </w:t>
      </w:r>
      <w:r w:rsidRPr="00581F44">
        <w:rPr>
          <w:rFonts w:ascii="Arial" w:hAnsi="Arial" w:cs="Arial"/>
          <w:color w:val="000000" w:themeColor="text1"/>
        </w:rPr>
        <w:t xml:space="preserve">crucial to devise energy efficient </w:t>
      </w:r>
      <w:r>
        <w:rPr>
          <w:rFonts w:ascii="Arial" w:hAnsi="Arial" w:cs="Arial"/>
          <w:color w:val="000000" w:themeColor="text1"/>
        </w:rPr>
        <w:t xml:space="preserve">architectures and </w:t>
      </w:r>
      <w:r w:rsidRPr="00581F44">
        <w:rPr>
          <w:rFonts w:ascii="Arial" w:hAnsi="Arial" w:cs="Arial"/>
          <w:color w:val="000000" w:themeColor="text1"/>
        </w:rPr>
        <w:t>com</w:t>
      </w:r>
      <w:r>
        <w:rPr>
          <w:rFonts w:ascii="Arial" w:hAnsi="Arial" w:cs="Arial"/>
          <w:color w:val="000000" w:themeColor="text1"/>
        </w:rPr>
        <w:t>putation algorithms in order to</w:t>
      </w:r>
      <w:r w:rsidRPr="00581F44">
        <w:rPr>
          <w:rFonts w:ascii="Arial" w:hAnsi="Arial" w:cs="Arial"/>
          <w:color w:val="000000" w:themeColor="text1"/>
        </w:rPr>
        <w:t xml:space="preserve"> </w:t>
      </w:r>
      <w:r>
        <w:rPr>
          <w:rFonts w:ascii="Arial" w:hAnsi="Arial" w:cs="Arial"/>
          <w:color w:val="000000" w:themeColor="text1"/>
        </w:rPr>
        <w:t>have</w:t>
      </w:r>
      <w:r w:rsidRPr="00DF63C9">
        <w:rPr>
          <w:rFonts w:ascii="Arial" w:hAnsi="Arial" w:cs="Arial"/>
          <w:color w:val="000000" w:themeColor="text1"/>
        </w:rPr>
        <w:t xml:space="preserve"> energetically sustainable communication and computing paradigms for future mobile networks</w:t>
      </w:r>
      <w:r>
        <w:rPr>
          <w:rFonts w:ascii="Arial" w:hAnsi="Arial" w:cs="Arial"/>
          <w:color w:val="000000" w:themeColor="text1"/>
        </w:rPr>
        <w:t>. For doing so, networks may exploit</w:t>
      </w:r>
      <w:r w:rsidRPr="00DF63C9">
        <w:rPr>
          <w:rFonts w:ascii="Arial" w:hAnsi="Arial" w:cs="Arial"/>
          <w:color w:val="000000" w:themeColor="text1"/>
        </w:rPr>
        <w:t xml:space="preserve"> </w:t>
      </w:r>
      <w:r w:rsidRPr="00581F44">
        <w:rPr>
          <w:rFonts w:ascii="Arial" w:hAnsi="Arial" w:cs="Arial"/>
          <w:color w:val="000000" w:themeColor="text1"/>
        </w:rPr>
        <w:t>distributed energy generation and energy harvesting</w:t>
      </w:r>
      <w:r>
        <w:rPr>
          <w:rFonts w:ascii="Arial" w:hAnsi="Arial" w:cs="Arial"/>
          <w:color w:val="000000" w:themeColor="text1"/>
        </w:rPr>
        <w:t>/</w:t>
      </w:r>
      <w:r w:rsidRPr="00581F44">
        <w:rPr>
          <w:rFonts w:ascii="Arial" w:hAnsi="Arial" w:cs="Arial"/>
          <w:color w:val="000000" w:themeColor="text1"/>
        </w:rPr>
        <w:t xml:space="preserve"> storage hardware</w:t>
      </w:r>
      <w:r>
        <w:rPr>
          <w:rFonts w:ascii="Arial" w:hAnsi="Arial" w:cs="Arial"/>
          <w:color w:val="000000" w:themeColor="text1"/>
        </w:rPr>
        <w:t xml:space="preserve"> which have to be included in the design of the network solutions in order to efficiently operate.</w:t>
      </w:r>
    </w:p>
    <w:p w14:paraId="4ACB56F9" w14:textId="77777777" w:rsidR="000E7551" w:rsidRPr="0063079E" w:rsidRDefault="000E7551" w:rsidP="000E7551">
      <w:pPr>
        <w:spacing w:after="0" w:line="240" w:lineRule="auto"/>
        <w:jc w:val="both"/>
        <w:rPr>
          <w:rFonts w:ascii="Arial" w:hAnsi="Arial" w:cs="Arial"/>
          <w:color w:val="000000" w:themeColor="text1"/>
        </w:rPr>
      </w:pPr>
    </w:p>
    <w:p w14:paraId="75D45FD4"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Changing Network Design</w:t>
      </w:r>
    </w:p>
    <w:p w14:paraId="6F6D2BE4"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From the today’s perspective AI/ML will enable innovative features when provisioning future digital cognitive services for homes, businesses, transportation, manufacturing, and other industry verticals, including the smart cities. In future scenarios, the increasing usage of End-Users’ devices (i.e., smart-phones or tablets) together with the centralised and distributed computational resources will encourage the move of the computational and memory/storage resources from huge data centres towards the edge of the network (e.g., MEC).</w:t>
      </w:r>
    </w:p>
    <w:p w14:paraId="4A39CEF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Moreover, the huge amount of data sent by new AI/ML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 centres.</w:t>
      </w:r>
      <w:r>
        <w:rPr>
          <w:rFonts w:ascii="Arial" w:hAnsi="Arial" w:cs="Arial"/>
          <w:color w:val="000000" w:themeColor="text1"/>
        </w:rPr>
        <w:t xml:space="preserve"> </w:t>
      </w:r>
    </w:p>
    <w:p w14:paraId="26C61E1F"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Furthermore, we expect a significant increase in the amount of machine-to-machine communications </w:t>
      </w:r>
      <w:r>
        <w:rPr>
          <w:rFonts w:ascii="Arial" w:hAnsi="Arial" w:cs="Arial"/>
          <w:color w:val="000000" w:themeColor="text1"/>
        </w:rPr>
        <w:t xml:space="preserve">and of correspondent data to be processed </w:t>
      </w:r>
      <w:r w:rsidRPr="0063079E">
        <w:rPr>
          <w:rFonts w:ascii="Arial" w:hAnsi="Arial" w:cs="Arial"/>
          <w:color w:val="000000" w:themeColor="text1"/>
        </w:rPr>
        <w:t>with an increasing number of sensors and other IoT devices continuously monitoring smart cities, Industry 4.0, smart energy, etc.</w:t>
      </w:r>
    </w:p>
    <w:p w14:paraId="197E41D0" w14:textId="77777777" w:rsidR="000E7551" w:rsidRPr="0063079E" w:rsidRDefault="000E7551" w:rsidP="000E7551">
      <w:pPr>
        <w:spacing w:after="0" w:line="240" w:lineRule="auto"/>
        <w:jc w:val="both"/>
        <w:rPr>
          <w:rFonts w:ascii="Arial" w:hAnsi="Arial" w:cs="Arial"/>
          <w:color w:val="000000" w:themeColor="text1"/>
        </w:rPr>
      </w:pPr>
    </w:p>
    <w:p w14:paraId="1BAF8508"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Automated Operations and Network Intelligence</w:t>
      </w:r>
    </w:p>
    <w:p w14:paraId="378F4DC9"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AI/ML can automate the management, control and orchestration (e.g. MCO) processes of physical pieces of equipment, which today are mostly carried out by humans, introducing control loops acting on virtual/logical entities (e.g., Virtual Machines, Containers, appliances etc.). In this direction, AI/ML promises to deliver scalable OSS/BSS functions based on AI/ML models capable of seeing and interpreting the state of millions of </w:t>
      </w:r>
      <w:r w:rsidRPr="0063079E">
        <w:rPr>
          <w:rFonts w:ascii="Arial" w:hAnsi="Arial" w:cs="Arial"/>
          <w:color w:val="000000" w:themeColor="text1"/>
        </w:rPr>
        <w:lastRenderedPageBreak/>
        <w:t>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optimising the use of resources.</w:t>
      </w:r>
    </w:p>
    <w:p w14:paraId="0FA7F59C" w14:textId="77777777" w:rsidR="000E7551" w:rsidRPr="0063079E" w:rsidRDefault="000E7551" w:rsidP="000E7551">
      <w:pPr>
        <w:spacing w:after="0" w:line="240" w:lineRule="auto"/>
        <w:jc w:val="both"/>
        <w:rPr>
          <w:rFonts w:ascii="Arial" w:hAnsi="Arial" w:cs="Arial"/>
          <w:color w:val="000000" w:themeColor="text1"/>
        </w:rPr>
      </w:pPr>
    </w:p>
    <w:p w14:paraId="39861021"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Reducing Network Costs and Smart OPEX</w:t>
      </w:r>
    </w:p>
    <w:p w14:paraId="67258D24"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general, the use of AI/ML methods and algorithms will decrease both the costs of deployment and the costs of operations of the network in the following years. This technology will learn the correct network behaviour, being able, in a first step, to help understand possible problems and anomalies, and finally, autonomously acting over the network to correct those problems. For example, to reduce the cost of deployment, the AI/ML will be able to offer zero-touch network configuration for the most common network deployments. This will reduce both the time needed for new deployments and the manpower needed to achieve a proper configuration.</w:t>
      </w:r>
    </w:p>
    <w:p w14:paraId="26A47F0A"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Moreover, different learning techniques will be used to predict the behaviour of the network. This will lead to better provisioning of resources in the network, avoiding the nowadays-typical situation where the networks are over-dimensioned. For example, AI/ML will also enable the adoption of ”QoE” models and indicators to support investment and design processes based on a data-drive approach (e.g., selection of deployment regions, strategic priorities, etc).</w:t>
      </w:r>
    </w:p>
    <w:p w14:paraId="0FAA57C3"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Eventually, regarding OPEX optimisation, it is well known that energy consumption is one of the major cost items for Network Operators: AI/ML methods and systems will allow using the data lake for implementing performance analysis and optimisation methods for energy consumption versus quality of service.</w:t>
      </w:r>
    </w:p>
    <w:p w14:paraId="14F57F00" w14:textId="77777777" w:rsidR="000E7551" w:rsidRPr="0063079E" w:rsidRDefault="000E7551" w:rsidP="000E7551">
      <w:pPr>
        <w:spacing w:after="0" w:line="240" w:lineRule="auto"/>
        <w:jc w:val="both"/>
        <w:rPr>
          <w:rFonts w:ascii="Arial" w:hAnsi="Arial" w:cs="Arial"/>
          <w:color w:val="000000" w:themeColor="text1"/>
        </w:rPr>
      </w:pPr>
    </w:p>
    <w:p w14:paraId="2915EE74"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Creating new Services Using Network Data</w:t>
      </w:r>
    </w:p>
    <w:p w14:paraId="4969AE9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It is likely that the appearance of new services powered by AI/ML will bring significant socio-economic impacts, together with improved sustainability models for Network Operators. Among these services, those ones able to improve </w:t>
      </w:r>
      <w:r>
        <w:rPr>
          <w:rFonts w:ascii="Arial" w:hAnsi="Arial" w:cs="Arial"/>
          <w:color w:val="000000" w:themeColor="text1"/>
        </w:rPr>
        <w:t xml:space="preserve">mobility, </w:t>
      </w:r>
      <w:r w:rsidRPr="0063079E">
        <w:rPr>
          <w:rFonts w:ascii="Arial" w:hAnsi="Arial" w:cs="Arial"/>
          <w:color w:val="000000" w:themeColor="text1"/>
        </w:rPr>
        <w:t>privacy and security levels will be of great importance.</w:t>
      </w:r>
    </w:p>
    <w:p w14:paraId="765C61AC"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appearance of personal data platform (tightly connected with the network service) is also expected that will allow Internet users </w:t>
      </w:r>
      <w:r>
        <w:rPr>
          <w:rFonts w:ascii="Arial" w:hAnsi="Arial" w:cs="Arial"/>
          <w:color w:val="000000" w:themeColor="text1"/>
        </w:rPr>
        <w:t xml:space="preserve">to </w:t>
      </w:r>
      <w:r w:rsidRPr="0063079E">
        <w:rPr>
          <w:rFonts w:ascii="Arial" w:hAnsi="Arial" w:cs="Arial"/>
          <w:color w:val="000000" w:themeColor="text1"/>
        </w:rPr>
        <w:t xml:space="preserve"> control their data. To this end, solutions will appear to analyse the network traffic in a privacy preserving and controlled way.</w:t>
      </w:r>
    </w:p>
    <w:p w14:paraId="511BFCDE" w14:textId="77777777" w:rsidR="000E7551" w:rsidRDefault="000E7551" w:rsidP="000E7551">
      <w:pPr>
        <w:spacing w:after="0" w:line="240" w:lineRule="auto"/>
        <w:jc w:val="both"/>
        <w:rPr>
          <w:rFonts w:ascii="Arial" w:hAnsi="Arial" w:cs="Arial"/>
          <w:color w:val="000000" w:themeColor="text1"/>
        </w:rPr>
      </w:pPr>
    </w:p>
    <w:p w14:paraId="39C0B461" w14:textId="40FE464F" w:rsidR="000E7551" w:rsidRPr="0063079E" w:rsidRDefault="000E7551" w:rsidP="000E7551">
      <w:pPr>
        <w:spacing w:after="0" w:line="240" w:lineRule="auto"/>
        <w:jc w:val="both"/>
        <w:rPr>
          <w:rFonts w:ascii="Arial" w:hAnsi="Arial" w:cs="Arial"/>
          <w:color w:val="000000" w:themeColor="text1"/>
        </w:rPr>
      </w:pPr>
      <w:r>
        <w:rPr>
          <w:rFonts w:ascii="Arial" w:hAnsi="Arial" w:cs="Arial"/>
          <w:color w:val="000000" w:themeColor="text1"/>
        </w:rPr>
        <w:t>M</w:t>
      </w:r>
      <w:r w:rsidRPr="00B23222">
        <w:rPr>
          <w:rFonts w:ascii="Arial" w:hAnsi="Arial" w:cs="Arial"/>
          <w:color w:val="000000" w:themeColor="text1"/>
        </w:rPr>
        <w:t xml:space="preserve">obile networks </w:t>
      </w:r>
      <w:r>
        <w:rPr>
          <w:rFonts w:ascii="Arial" w:hAnsi="Arial" w:cs="Arial"/>
          <w:color w:val="000000" w:themeColor="text1"/>
        </w:rPr>
        <w:t>can be used a</w:t>
      </w:r>
      <w:r w:rsidRPr="00B23222">
        <w:rPr>
          <w:rFonts w:ascii="Arial" w:hAnsi="Arial" w:cs="Arial"/>
          <w:color w:val="000000" w:themeColor="text1"/>
        </w:rPr>
        <w:t>s additional</w:t>
      </w:r>
      <w:r>
        <w:rPr>
          <w:rFonts w:ascii="Arial" w:hAnsi="Arial" w:cs="Arial"/>
          <w:color w:val="000000" w:themeColor="text1"/>
        </w:rPr>
        <w:t xml:space="preserve"> </w:t>
      </w:r>
      <w:r w:rsidRPr="00B23222">
        <w:rPr>
          <w:rFonts w:ascii="Arial" w:hAnsi="Arial" w:cs="Arial"/>
          <w:color w:val="000000" w:themeColor="text1"/>
        </w:rPr>
        <w:t>sensing platforms. Indeed, the extreme pervasiveness of the</w:t>
      </w:r>
      <w:r>
        <w:rPr>
          <w:rFonts w:ascii="Arial" w:hAnsi="Arial" w:cs="Arial"/>
          <w:color w:val="000000" w:themeColor="text1"/>
        </w:rPr>
        <w:t xml:space="preserve"> </w:t>
      </w:r>
      <w:r w:rsidRPr="00B23222">
        <w:rPr>
          <w:rFonts w:ascii="Arial" w:hAnsi="Arial" w:cs="Arial"/>
          <w:color w:val="000000" w:themeColor="text1"/>
        </w:rPr>
        <w:t>mobile telecommunication sector within the urban population</w:t>
      </w:r>
      <w:r>
        <w:rPr>
          <w:rFonts w:ascii="Arial" w:hAnsi="Arial" w:cs="Arial"/>
          <w:color w:val="000000" w:themeColor="text1"/>
        </w:rPr>
        <w:t xml:space="preserve"> </w:t>
      </w:r>
      <w:r w:rsidRPr="00B23222">
        <w:rPr>
          <w:rFonts w:ascii="Arial" w:hAnsi="Arial" w:cs="Arial"/>
          <w:color w:val="000000" w:themeColor="text1"/>
        </w:rPr>
        <w:t>together with its ubiquitous coverage may be exploited to</w:t>
      </w:r>
      <w:r>
        <w:rPr>
          <w:rFonts w:ascii="Arial" w:hAnsi="Arial" w:cs="Arial"/>
          <w:color w:val="000000" w:themeColor="text1"/>
        </w:rPr>
        <w:t xml:space="preserve"> </w:t>
      </w:r>
      <w:r w:rsidRPr="00B23222">
        <w:rPr>
          <w:rFonts w:ascii="Arial" w:hAnsi="Arial" w:cs="Arial"/>
          <w:color w:val="000000" w:themeColor="text1"/>
        </w:rPr>
        <w:t xml:space="preserve">monitor large metropolitan areas. </w:t>
      </w:r>
      <w:r>
        <w:rPr>
          <w:rFonts w:ascii="Arial" w:hAnsi="Arial" w:cs="Arial"/>
          <w:color w:val="000000" w:themeColor="text1"/>
        </w:rPr>
        <w:t>The services that can be generated are manifold (</w:t>
      </w:r>
      <w:r w:rsidRPr="00B23222">
        <w:rPr>
          <w:rFonts w:ascii="Arial" w:hAnsi="Arial" w:cs="Arial"/>
          <w:color w:val="000000" w:themeColor="text1"/>
        </w:rPr>
        <w:t>housing, transportation, energy systems, education</w:t>
      </w:r>
      <w:r>
        <w:rPr>
          <w:rFonts w:ascii="Arial" w:hAnsi="Arial" w:cs="Arial"/>
          <w:color w:val="000000" w:themeColor="text1"/>
        </w:rPr>
        <w:t xml:space="preserve"> </w:t>
      </w:r>
      <w:r w:rsidRPr="00B23222">
        <w:rPr>
          <w:rFonts w:ascii="Arial" w:hAnsi="Arial" w:cs="Arial"/>
          <w:color w:val="000000" w:themeColor="text1"/>
        </w:rPr>
        <w:t>and health care</w:t>
      </w:r>
      <w:r>
        <w:rPr>
          <w:rFonts w:ascii="Arial" w:hAnsi="Arial" w:cs="Arial"/>
          <w:color w:val="000000" w:themeColor="text1"/>
        </w:rPr>
        <w:t>). For instance, the detection of critical anomal</w:t>
      </w:r>
      <w:r w:rsidRPr="00B23222">
        <w:rPr>
          <w:rFonts w:ascii="Arial" w:hAnsi="Arial" w:cs="Arial"/>
          <w:color w:val="000000" w:themeColor="text1"/>
        </w:rPr>
        <w:t>ies</w:t>
      </w:r>
      <w:r>
        <w:rPr>
          <w:rFonts w:ascii="Arial" w:hAnsi="Arial" w:cs="Arial"/>
          <w:color w:val="000000" w:themeColor="text1"/>
        </w:rPr>
        <w:t xml:space="preserve"> </w:t>
      </w:r>
      <w:r w:rsidRPr="009C1B62">
        <w:rPr>
          <w:rFonts w:ascii="Arial" w:hAnsi="Arial" w:cs="Arial"/>
          <w:color w:val="000000" w:themeColor="text1"/>
        </w:rPr>
        <w:t>caused by unexpected crowd gathering in metropolitan areas</w:t>
      </w:r>
      <w:r>
        <w:rPr>
          <w:rFonts w:ascii="Arial" w:hAnsi="Arial" w:cs="Arial"/>
          <w:color w:val="000000" w:themeColor="text1"/>
        </w:rPr>
        <w:t xml:space="preserve"> </w:t>
      </w:r>
      <w:r w:rsidRPr="009C1B62">
        <w:rPr>
          <w:rFonts w:ascii="Arial" w:hAnsi="Arial" w:cs="Arial"/>
          <w:color w:val="000000" w:themeColor="text1"/>
        </w:rPr>
        <w:t>(e.g., concerts, football matches)</w:t>
      </w:r>
      <w:r w:rsidRPr="00B23222">
        <w:rPr>
          <w:rFonts w:ascii="Arial" w:hAnsi="Arial" w:cs="Arial"/>
          <w:color w:val="000000" w:themeColor="text1"/>
        </w:rPr>
        <w:t xml:space="preserve"> can be achieved through the collection of information</w:t>
      </w:r>
      <w:r>
        <w:rPr>
          <w:rFonts w:ascii="Arial" w:hAnsi="Arial" w:cs="Arial"/>
          <w:color w:val="000000" w:themeColor="text1"/>
        </w:rPr>
        <w:t xml:space="preserve"> </w:t>
      </w:r>
      <w:r w:rsidRPr="00B23222">
        <w:rPr>
          <w:rFonts w:ascii="Arial" w:hAnsi="Arial" w:cs="Arial"/>
          <w:color w:val="000000" w:themeColor="text1"/>
        </w:rPr>
        <w:t>that the different network elements (e.g., base stations, mobile</w:t>
      </w:r>
      <w:r>
        <w:rPr>
          <w:rFonts w:ascii="Arial" w:hAnsi="Arial" w:cs="Arial"/>
          <w:color w:val="000000" w:themeColor="text1"/>
        </w:rPr>
        <w:t xml:space="preserve"> </w:t>
      </w:r>
      <w:r w:rsidRPr="00B23222">
        <w:rPr>
          <w:rFonts w:ascii="Arial" w:hAnsi="Arial" w:cs="Arial"/>
          <w:color w:val="000000" w:themeColor="text1"/>
        </w:rPr>
        <w:t>terminals) are exchanging over time</w:t>
      </w:r>
      <w:r>
        <w:rPr>
          <w:rFonts w:ascii="Arial" w:hAnsi="Arial" w:cs="Arial"/>
          <w:color w:val="000000" w:themeColor="text1"/>
        </w:rPr>
        <w:t xml:space="preserve"> through the control channel </w:t>
      </w:r>
      <w:r w:rsidR="00EA4B7A" w:rsidRPr="0063079E">
        <w:rPr>
          <w:rFonts w:ascii="Arial" w:hAnsi="Arial" w:cs="Arial"/>
          <w:color w:val="000000" w:themeColor="text1"/>
        </w:rPr>
        <w:t xml:space="preserve"> </w:t>
      </w:r>
      <w:r w:rsidR="00EA4B7A">
        <w:rPr>
          <w:rFonts w:ascii="Arial" w:hAnsi="Arial" w:cs="Arial"/>
          <w:color w:val="000000" w:themeColor="text1"/>
        </w:rPr>
        <w:t>[C11-27]</w:t>
      </w:r>
      <w:r>
        <w:rPr>
          <w:rFonts w:ascii="Arial" w:hAnsi="Arial" w:cs="Arial"/>
          <w:color w:val="000000" w:themeColor="text1"/>
        </w:rPr>
        <w:t>.</w:t>
      </w:r>
    </w:p>
    <w:p w14:paraId="30D4BE03" w14:textId="77777777" w:rsidR="000E7551" w:rsidRPr="0063079E" w:rsidRDefault="000E7551" w:rsidP="000E7551">
      <w:pPr>
        <w:spacing w:after="0" w:line="240" w:lineRule="auto"/>
        <w:jc w:val="both"/>
        <w:rPr>
          <w:rFonts w:ascii="Arial" w:hAnsi="Arial" w:cs="Arial"/>
          <w:color w:val="000000" w:themeColor="text1"/>
        </w:rPr>
      </w:pPr>
    </w:p>
    <w:p w14:paraId="6C8A4B95"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Cybersecurity</w:t>
      </w:r>
    </w:p>
    <w:p w14:paraId="108292CF" w14:textId="2A4547C5"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Future Networks and 5G will have to face all the security challenges typical of today’s 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3EDF1773" w14:textId="77777777" w:rsidR="00A06FBC" w:rsidRPr="0063079E" w:rsidRDefault="00A06FBC" w:rsidP="000E7551">
      <w:pPr>
        <w:spacing w:after="0" w:line="240" w:lineRule="auto"/>
        <w:jc w:val="both"/>
        <w:rPr>
          <w:rFonts w:ascii="Arial" w:hAnsi="Arial" w:cs="Arial"/>
          <w:color w:val="000000" w:themeColor="text1"/>
        </w:rPr>
      </w:pPr>
    </w:p>
    <w:p w14:paraId="7C46D674" w14:textId="77777777" w:rsidR="000E7551" w:rsidRPr="0063079E" w:rsidRDefault="000E7551" w:rsidP="000E7551">
      <w:pPr>
        <w:spacing w:after="0" w:line="240" w:lineRule="auto"/>
        <w:jc w:val="both"/>
        <w:rPr>
          <w:rFonts w:ascii="Arial" w:hAnsi="Arial" w:cs="Arial"/>
          <w:color w:val="000000" w:themeColor="text1"/>
        </w:rPr>
      </w:pPr>
    </w:p>
    <w:p w14:paraId="449E1661"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lastRenderedPageBreak/>
        <w:t>Conclusions</w:t>
      </w:r>
    </w:p>
    <w:p w14:paraId="7FCD52F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effective applications of AI/ML methods and systems in future 5G scenarios are likely to require multi-domain orchestration of distributed processing in the terminals/devices (could be e.g., Fog Computing), at the edge of the network (e.g., MEC) and in the cloud computing facilities.</w:t>
      </w:r>
    </w:p>
    <w:p w14:paraId="02F5A64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In this direction, the end-to-end interoperability is a must and it requires more standardisation efforts and further achievements. First of all, it is necessary to consider the impact of current, and future, AI/ML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standardisation bodies, including collaborations with Open Source communities (e.g., Linux Foundation, ONF, OCP-TIP).</w:t>
      </w:r>
    </w:p>
    <w:p w14:paraId="24F7C649" w14:textId="77777777" w:rsidR="000E7551" w:rsidRPr="0063079E" w:rsidRDefault="000E7551" w:rsidP="000E7551">
      <w:pPr>
        <w:spacing w:after="0" w:line="240" w:lineRule="auto"/>
        <w:rPr>
          <w:rFonts w:ascii="Arial" w:hAnsi="Arial" w:cs="Arial"/>
        </w:rPr>
      </w:pPr>
    </w:p>
    <w:p w14:paraId="507E9A9D" w14:textId="77777777" w:rsidR="000E7551" w:rsidRPr="0063079E" w:rsidRDefault="000E7551" w:rsidP="00DA6395">
      <w:pPr>
        <w:pStyle w:val="Heading3"/>
      </w:pPr>
      <w:bookmarkStart w:id="444" w:name="_Toc509817930"/>
      <w:bookmarkStart w:id="445" w:name="_Toc525463893"/>
      <w:bookmarkStart w:id="446" w:name="_Toc40072062"/>
      <w:bookmarkStart w:id="447" w:name="_Toc42177377"/>
      <w:r w:rsidRPr="0063079E">
        <w:t>Impact of IoT on the Network</w:t>
      </w:r>
      <w:bookmarkEnd w:id="444"/>
      <w:bookmarkEnd w:id="445"/>
      <w:bookmarkEnd w:id="446"/>
      <w:bookmarkEnd w:id="447"/>
    </w:p>
    <w:p w14:paraId="23FE5D7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realisation of the Internet of Things vision has already gone through several profound transformations in recent years. In this context, we can clearly identify:</w:t>
      </w:r>
    </w:p>
    <w:p w14:paraId="70537ACF" w14:textId="54ED2829" w:rsidR="000E7551" w:rsidRPr="0063079E" w:rsidRDefault="000E7551" w:rsidP="00124439">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a first generation of communication and network architectures and protocols, such as those proposed in the context of EPCglobal (</w:t>
      </w:r>
      <w:hyperlink r:id="rId36" w:history="1">
        <w:r w:rsidRPr="0063079E">
          <w:rPr>
            <w:rStyle w:val="Hyperlink"/>
            <w:rFonts w:ascii="Arial" w:hAnsi="Arial" w:cs="Arial"/>
          </w:rPr>
          <w:t>https://www.gs1.org/epcglobal</w:t>
        </w:r>
      </w:hyperlink>
      <w:r w:rsidRPr="0012294F">
        <w:rPr>
          <w:rFonts w:ascii="Arial" w:hAnsi="Arial" w:cs="Arial"/>
          <w:color w:val="000000" w:themeColor="text1"/>
        </w:rPr>
        <w:t>)</w:t>
      </w:r>
      <w:r w:rsidRPr="0063079E">
        <w:rPr>
          <w:rFonts w:ascii="Arial" w:hAnsi="Arial" w:cs="Arial"/>
          <w:color w:val="000000" w:themeColor="text1"/>
        </w:rPr>
        <w:t>, mostly aimed at supporting the exchange of data produced by RFID systems;</w:t>
      </w:r>
    </w:p>
    <w:p w14:paraId="4D9B5155" w14:textId="77777777" w:rsidR="000E7551" w:rsidRPr="0063079E" w:rsidRDefault="000E7551" w:rsidP="00124439">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second generation of networking solutions (6LoWPAN – </w:t>
      </w:r>
      <w:r w:rsidRPr="0063079E">
        <w:rPr>
          <w:rFonts w:ascii="Arial" w:hAnsi="Arial" w:cs="Arial"/>
        </w:rPr>
        <w:t>for „IPv6 over low power Wireless Personal Area Network</w:t>
      </w:r>
      <w:r w:rsidRPr="0063079E">
        <w:rPr>
          <w:rFonts w:ascii="Arial" w:hAnsi="Arial" w:cs="Arial"/>
          <w:color w:val="000000" w:themeColor="text1"/>
        </w:rPr>
        <w:t xml:space="preserve"> and CoAP), mostly aimed at making </w:t>
      </w:r>
      <w:r w:rsidRPr="0063079E">
        <w:rPr>
          <w:rFonts w:ascii="Arial" w:hAnsi="Arial" w:cs="Arial"/>
          <w:i/>
          <w:color w:val="000000" w:themeColor="text1"/>
        </w:rPr>
        <w:t xml:space="preserve">things </w:t>
      </w:r>
      <w:r w:rsidRPr="0063079E">
        <w:rPr>
          <w:rFonts w:ascii="Arial" w:hAnsi="Arial" w:cs="Arial"/>
          <w:color w:val="000000" w:themeColor="text1"/>
        </w:rPr>
        <w:t>equipped with low capability devices reachable through the Internet and enabling web programming in the resulting environment; and</w:t>
      </w:r>
    </w:p>
    <w:p w14:paraId="5A8C06B7" w14:textId="77777777" w:rsidR="000E7551" w:rsidRPr="0063079E" w:rsidRDefault="000E7551" w:rsidP="00124439">
      <w:pPr>
        <w:pStyle w:val="ListParagraph"/>
        <w:numPr>
          <w:ilvl w:val="0"/>
          <w:numId w:val="23"/>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third (the current) generation of solutions (e.g., NB-IoT, LoRaWAN, virtualisation technologies) aimed at supporting the interactions between </w:t>
      </w:r>
      <w:r w:rsidRPr="0063079E">
        <w:rPr>
          <w:rFonts w:ascii="Arial" w:hAnsi="Arial" w:cs="Arial"/>
          <w:i/>
          <w:color w:val="000000" w:themeColor="text1"/>
        </w:rPr>
        <w:t xml:space="preserve">things </w:t>
      </w:r>
      <w:r w:rsidRPr="0063079E">
        <w:rPr>
          <w:rFonts w:ascii="Arial" w:hAnsi="Arial" w:cs="Arial"/>
          <w:color w:val="000000" w:themeColor="text1"/>
        </w:rPr>
        <w:t xml:space="preserve">and some service running in the cloud within silo-ed </w:t>
      </w:r>
      <w:r w:rsidRPr="0063079E">
        <w:rPr>
          <w:rFonts w:ascii="Arial" w:hAnsi="Arial" w:cs="Arial"/>
          <w:i/>
          <w:color w:val="000000" w:themeColor="text1"/>
        </w:rPr>
        <w:t>platforms</w:t>
      </w:r>
      <w:r w:rsidRPr="0063079E">
        <w:rPr>
          <w:rFonts w:ascii="Arial" w:hAnsi="Arial" w:cs="Arial"/>
          <w:color w:val="000000" w:themeColor="text1"/>
        </w:rPr>
        <w:t>.</w:t>
      </w:r>
    </w:p>
    <w:p w14:paraId="48EA765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63079E">
        <w:rPr>
          <w:rFonts w:ascii="Arial" w:hAnsi="Arial" w:cs="Arial"/>
          <w:i/>
          <w:color w:val="000000" w:themeColor="text1"/>
        </w:rPr>
        <w:t xml:space="preserve">Internet of Platforms </w:t>
      </w:r>
      <w:r w:rsidRPr="0063079E">
        <w:rPr>
          <w:rFonts w:ascii="Arial" w:hAnsi="Arial" w:cs="Arial"/>
          <w:color w:val="000000" w:themeColor="text1"/>
        </w:rPr>
        <w:t>model. Therefore, we will analyse here the impact of IoT on the network based on what we expect it is happening and is going to happen shortly.</w:t>
      </w:r>
    </w:p>
    <w:p w14:paraId="65CADBF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layer, but we can expect that they will become major components of the network itself. Such services should be distributed, should not be under the control of a single (or a few) player(s), should support resource discovery enriched with means for reputation management.</w:t>
      </w:r>
    </w:p>
    <w:p w14:paraId="3265964E"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We expect that such solutions will start from the work carried out within EPCglobal in the context of the so-called </w:t>
      </w:r>
      <w:r w:rsidRPr="0063079E">
        <w:rPr>
          <w:rFonts w:ascii="Arial" w:hAnsi="Arial" w:cs="Arial"/>
          <w:i/>
          <w:color w:val="000000" w:themeColor="text1"/>
        </w:rPr>
        <w:t>Object Name Service</w:t>
      </w:r>
      <w:r w:rsidRPr="0063079E">
        <w:rPr>
          <w:rFonts w:ascii="Arial" w:hAnsi="Arial" w:cs="Arial"/>
          <w:color w:val="000000" w:themeColor="text1"/>
        </w:rPr>
        <w:t xml:space="preserve"> and within the IRTF group ”ICNRG” for what concerns the application of Information 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7E4406AC" w14:textId="77777777" w:rsidR="000E7551" w:rsidRPr="0063079E" w:rsidRDefault="000E7551" w:rsidP="000E7551">
      <w:pPr>
        <w:spacing w:after="120" w:line="240" w:lineRule="auto"/>
        <w:jc w:val="both"/>
        <w:rPr>
          <w:rFonts w:ascii="Arial" w:eastAsia="Times New Roman" w:hAnsi="Arial" w:cs="Arial"/>
          <w:color w:val="000000" w:themeColor="text1"/>
          <w:shd w:val="clear" w:color="auto" w:fill="FFFFFF"/>
        </w:rPr>
      </w:pPr>
      <w:r w:rsidRPr="0063079E">
        <w:rPr>
          <w:rFonts w:ascii="Arial" w:hAnsi="Arial" w:cs="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63079E">
        <w:rPr>
          <w:rFonts w:ascii="Arial" w:hAnsi="Arial" w:cs="Arial"/>
          <w:i/>
          <w:color w:val="000000" w:themeColor="text1"/>
        </w:rPr>
        <w:t>prosumers</w:t>
      </w:r>
      <w:r w:rsidRPr="0063079E">
        <w:rPr>
          <w:rFonts w:ascii="Arial" w:hAnsi="Arial" w:cs="Arial"/>
          <w:color w:val="000000" w:themeColor="text1"/>
        </w:rPr>
        <w:t xml:space="preserve"> of IoT services which requires appropriate new authentication and accounting solutions. Starting point in this context will be the ongoing activities within the </w:t>
      </w:r>
      <w:r w:rsidRPr="0063079E">
        <w:rPr>
          <w:rFonts w:ascii="Arial" w:eastAsia="Times New Roman" w:hAnsi="Arial" w:cs="Arial"/>
          <w:color w:val="000000" w:themeColor="text1"/>
          <w:shd w:val="clear" w:color="auto" w:fill="FFFFFF"/>
        </w:rPr>
        <w:t xml:space="preserve">IETF </w:t>
      </w:r>
      <w:r w:rsidRPr="0063079E">
        <w:rPr>
          <w:rFonts w:ascii="Arial" w:eastAsia="Times New Roman" w:hAnsi="Arial" w:cs="Arial"/>
          <w:color w:val="000000" w:themeColor="text1"/>
          <w:shd w:val="clear" w:color="auto" w:fill="FFFFFF"/>
        </w:rPr>
        <w:lastRenderedPageBreak/>
        <w:t>Authentication and Authorisation for Constrained Environments (ACE) WG which is working on authenticated authorisation mechanisms for accessing resources hosted on servers in constrained environments and has completed a comprehensive use case document (RFC 7744).</w:t>
      </w:r>
    </w:p>
    <w:p w14:paraId="12C0FA9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In any case, the major feature of such context will be heterogeneity</w:t>
      </w:r>
      <w:r w:rsidRPr="0063079E">
        <w:rPr>
          <w:rFonts w:ascii="Arial" w:hAnsi="Arial" w:cs="Arial"/>
          <w:b/>
          <w:color w:val="000000" w:themeColor="text1"/>
        </w:rPr>
        <w:t xml:space="preserve"> </w:t>
      </w:r>
      <w:r w:rsidRPr="0063079E">
        <w:rPr>
          <w:rFonts w:ascii="Arial" w:hAnsi="Arial" w:cs="Arial"/>
          <w:color w:val="000000" w:themeColor="text1"/>
        </w:rPr>
        <w:t>along several dimensions: access technology, identification/naming/addressing scheme, traffic patterns, deployment extension, device capabilities, etc. Such heterogeneity calls for a network which is highly flexible</w:t>
      </w:r>
      <w:r w:rsidRPr="0063079E">
        <w:rPr>
          <w:rFonts w:ascii="Arial" w:hAnsi="Arial" w:cs="Arial"/>
          <w:b/>
          <w:color w:val="000000" w:themeColor="text1"/>
        </w:rPr>
        <w:t xml:space="preserve"> </w:t>
      </w:r>
      <w:r w:rsidRPr="0063079E">
        <w:rPr>
          <w:rFonts w:ascii="Arial" w:hAnsi="Arial" w:cs="Arial"/>
          <w:color w:val="000000" w:themeColor="text1"/>
        </w:rPr>
        <w:t>in all its segments</w:t>
      </w:r>
      <w:r w:rsidRPr="0063079E">
        <w:rPr>
          <w:rFonts w:ascii="Arial" w:hAnsi="Arial" w:cs="Arial"/>
          <w:b/>
          <w:color w:val="000000" w:themeColor="text1"/>
        </w:rPr>
        <w:t>,</w:t>
      </w:r>
      <w:r w:rsidRPr="0063079E">
        <w:rPr>
          <w:rFonts w:ascii="Arial" w:hAnsi="Arial" w:cs="Arial"/>
          <w:color w:val="000000" w:themeColor="text1"/>
        </w:rPr>
        <w:t xml:space="preserve"> well beyond what is possible to achieve with current software defined networking and network function virtualisation 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the IoT contexts. In fact, in several IoT scenarios the same piece of information transported by the same packet can be of interest of several applications with very different QoS requirements. Such a frequent case cannot be supported by the current implementation of slices</w:t>
      </w:r>
      <w:r w:rsidRPr="0063079E">
        <w:rPr>
          <w:rFonts w:ascii="Arial" w:hAnsi="Arial" w:cs="Arial"/>
          <w:b/>
          <w:color w:val="000000" w:themeColor="text1"/>
        </w:rPr>
        <w:t xml:space="preserve"> </w:t>
      </w:r>
      <w:r w:rsidRPr="0063079E">
        <w:rPr>
          <w:rFonts w:ascii="Arial" w:hAnsi="Arial" w:cs="Arial"/>
          <w:color w:val="000000" w:themeColor="text1"/>
        </w:rPr>
        <w:t>that are partitions of the packet space.</w:t>
      </w:r>
    </w:p>
    <w:p w14:paraId="105AEB8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Also, the amount of data generated by the IoT is expected to increase with the number of devices at a pace that is orders of magnitude higher than the available data rates. This trend is not sustainable unless radical changes in the Internet infrastructure are introduced. This means that the Internet, which is mostly a communication infrastructure today, must turn into a </w:t>
      </w:r>
      <w:r w:rsidRPr="0063079E">
        <w:rPr>
          <w:rFonts w:ascii="Arial" w:hAnsi="Arial" w:cs="Arial"/>
          <w:i/>
          <w:color w:val="000000" w:themeColor="text1"/>
        </w:rPr>
        <w:t xml:space="preserve">computing and communication </w:t>
      </w:r>
      <w:r w:rsidRPr="0063079E">
        <w:rPr>
          <w:rFonts w:ascii="Arial" w:hAnsi="Arial" w:cs="Arial"/>
          <w:color w:val="000000" w:themeColor="text1"/>
        </w:rPr>
        <w:t>infrastructure capable of executing data processing and fusion in any of its components.</w:t>
      </w:r>
    </w:p>
    <w:p w14:paraId="0B0B082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63079E">
        <w:rPr>
          <w:rFonts w:ascii="Arial" w:hAnsi="Arial" w:cs="Arial"/>
          <w:i/>
          <w:color w:val="000000" w:themeColor="text1"/>
        </w:rPr>
        <w:t xml:space="preserve">middleboxes </w:t>
      </w:r>
      <w:r w:rsidRPr="0063079E">
        <w:rPr>
          <w:rFonts w:ascii="Arial" w:hAnsi="Arial" w:cs="Arial"/>
          <w:color w:val="000000" w:themeColor="text1"/>
        </w:rPr>
        <w:t>and several assumptions that are at the very basis of the TCP/IP protocol stack will not be valid anymore.</w:t>
      </w:r>
    </w:p>
    <w:p w14:paraId="414516D6"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Finally, it is clear that the true IoT revolution will happen only if a reasonable level of security can be guaranteed. In this context, work is needed to go beyond the work carried out by the ”</w:t>
      </w:r>
      <w:r w:rsidRPr="0063079E">
        <w:rPr>
          <w:rFonts w:ascii="Arial" w:hAnsi="Arial" w:cs="Arial"/>
          <w:i/>
          <w:color w:val="000000" w:themeColor="text1"/>
        </w:rPr>
        <w:t>DTLS In Constrained Environment”</w:t>
      </w:r>
      <w:r w:rsidRPr="0063079E">
        <w:rPr>
          <w:rFonts w:ascii="Arial" w:hAnsi="Arial" w:cs="Arial"/>
          <w:color w:val="000000" w:themeColor="text1"/>
        </w:rPr>
        <w:t xml:space="preserve"> (DICE) WG that has produced a TLS/DTLS profile that is suitable for constrained devices. In fact, a recent Internet Draft has been produced by the IRTF ”Thing to Thing Research Group” (T2TRG) which provides an overview of open security issues in the IoT domain.</w:t>
      </w:r>
    </w:p>
    <w:p w14:paraId="1289F8F2" w14:textId="77777777" w:rsidR="000E7551" w:rsidRDefault="000E7551" w:rsidP="000E7551">
      <w:pPr>
        <w:spacing w:after="0" w:line="240" w:lineRule="auto"/>
        <w:jc w:val="both"/>
        <w:rPr>
          <w:rFonts w:ascii="Arial" w:hAnsi="Arial" w:cs="Arial"/>
          <w:color w:val="000000" w:themeColor="text1"/>
        </w:rPr>
      </w:pPr>
    </w:p>
    <w:p w14:paraId="5220104A" w14:textId="77777777" w:rsidR="000E7551" w:rsidRDefault="000E7551" w:rsidP="000E7551">
      <w:pPr>
        <w:spacing w:after="0" w:line="240" w:lineRule="auto"/>
        <w:jc w:val="both"/>
        <w:rPr>
          <w:rFonts w:ascii="Arial" w:hAnsi="Arial" w:cs="Arial"/>
          <w:b/>
          <w:color w:val="000000" w:themeColor="text1"/>
        </w:rPr>
      </w:pPr>
    </w:p>
    <w:p w14:paraId="331DBF73" w14:textId="77777777" w:rsidR="000E7551" w:rsidRDefault="000E7551" w:rsidP="000E7551">
      <w:pPr>
        <w:spacing w:after="0" w:line="240" w:lineRule="auto"/>
        <w:jc w:val="both"/>
        <w:rPr>
          <w:rFonts w:ascii="Arial" w:hAnsi="Arial" w:cs="Arial"/>
          <w:b/>
          <w:color w:val="000000" w:themeColor="text1"/>
        </w:rPr>
      </w:pPr>
      <w:r w:rsidRPr="00592456">
        <w:rPr>
          <w:rFonts w:ascii="Arial" w:hAnsi="Arial" w:cs="Arial"/>
          <w:b/>
          <w:color w:val="000000" w:themeColor="text1"/>
        </w:rPr>
        <w:t xml:space="preserve">Emerging industrial IoT applications, </w:t>
      </w:r>
    </w:p>
    <w:p w14:paraId="17466D15" w14:textId="02B646DD" w:rsidR="000E7551" w:rsidRPr="0055574B" w:rsidRDefault="000E7551" w:rsidP="000E7551">
      <w:pPr>
        <w:jc w:val="both"/>
        <w:rPr>
          <w:rFonts w:ascii="Arial" w:hAnsi="Arial" w:cs="Arial"/>
        </w:rPr>
      </w:pPr>
      <w:r>
        <w:rPr>
          <w:rFonts w:ascii="Arial" w:hAnsi="Arial" w:cs="Arial"/>
        </w:rPr>
        <w:t>It is expected that n</w:t>
      </w:r>
      <w:r w:rsidRPr="00A80273">
        <w:rPr>
          <w:rFonts w:ascii="Arial" w:hAnsi="Arial" w:cs="Arial"/>
        </w:rPr>
        <w:t xml:space="preserve">ew emerging applications based on Tactile IoT/IIoT, will be developed in the </w:t>
      </w:r>
      <w:r>
        <w:rPr>
          <w:rFonts w:ascii="Arial" w:hAnsi="Arial" w:cs="Arial"/>
        </w:rPr>
        <w:t xml:space="preserve">near </w:t>
      </w:r>
      <w:r w:rsidRPr="00A80273">
        <w:rPr>
          <w:rFonts w:ascii="Arial" w:hAnsi="Arial" w:cs="Arial"/>
        </w:rPr>
        <w:t>future, see e.g.,</w:t>
      </w:r>
      <w:r w:rsidR="00543667">
        <w:rPr>
          <w:rFonts w:ascii="Arial" w:hAnsi="Arial" w:cs="Arial"/>
        </w:rPr>
        <w:t xml:space="preserve"> [C11-28</w:t>
      </w:r>
      <w:r w:rsidR="00543667" w:rsidRPr="00543667">
        <w:rPr>
          <w:rFonts w:ascii="Arial" w:hAnsi="Arial" w:cs="Arial"/>
        </w:rPr>
        <w:t>]</w:t>
      </w:r>
      <w:r>
        <w:rPr>
          <w:rFonts w:ascii="Arial" w:hAnsi="Arial" w:cs="Arial"/>
        </w:rPr>
        <w:t>.</w:t>
      </w:r>
      <w:r w:rsidRPr="00A80273">
        <w:rPr>
          <w:rFonts w:ascii="Arial" w:hAnsi="Arial" w:cs="Arial"/>
        </w:rPr>
        <w:t xml:space="preserve"> </w:t>
      </w:r>
      <w:r w:rsidRPr="0055574B">
        <w:rPr>
          <w:rFonts w:ascii="Arial" w:hAnsi="Arial" w:cs="Arial"/>
        </w:rPr>
        <w:t xml:space="preserve">Examples of Emerging applications using tactile IoT/IIoT, described in </w:t>
      </w:r>
      <w:r w:rsidR="00543667">
        <w:rPr>
          <w:rFonts w:ascii="Arial" w:hAnsi="Arial" w:cs="Arial"/>
        </w:rPr>
        <w:t xml:space="preserve"> [C11-28</w:t>
      </w:r>
      <w:r w:rsidR="00543667" w:rsidRPr="00543667">
        <w:rPr>
          <w:rFonts w:ascii="Arial" w:hAnsi="Arial" w:cs="Arial"/>
        </w:rPr>
        <w:t>]</w:t>
      </w:r>
      <w:r w:rsidR="00543667">
        <w:rPr>
          <w:rFonts w:ascii="Arial" w:hAnsi="Arial" w:cs="Arial"/>
        </w:rPr>
        <w:t xml:space="preserve"> </w:t>
      </w:r>
      <w:r w:rsidRPr="0055574B">
        <w:rPr>
          <w:rFonts w:ascii="Arial" w:hAnsi="Arial" w:cs="Arial"/>
        </w:rPr>
        <w:t>are:</w:t>
      </w:r>
    </w:p>
    <w:p w14:paraId="03D36AFE" w14:textId="77777777" w:rsidR="000E7551" w:rsidRDefault="000E7551" w:rsidP="00124439">
      <w:pPr>
        <w:pStyle w:val="ListParagraph"/>
        <w:numPr>
          <w:ilvl w:val="0"/>
          <w:numId w:val="28"/>
        </w:numPr>
        <w:spacing w:after="0" w:line="240" w:lineRule="auto"/>
        <w:jc w:val="both"/>
        <w:rPr>
          <w:rFonts w:ascii="Arial" w:hAnsi="Arial" w:cs="Arial"/>
          <w:color w:val="000000" w:themeColor="text1"/>
        </w:rPr>
      </w:pPr>
      <w:r>
        <w:rPr>
          <w:rFonts w:ascii="Arial" w:hAnsi="Arial" w:cs="Arial"/>
          <w:color w:val="000000" w:themeColor="text1"/>
        </w:rPr>
        <w:t xml:space="preserve">Tactile IoT: </w:t>
      </w:r>
      <w:r w:rsidRPr="00764DAC">
        <w:rPr>
          <w:rFonts w:ascii="Arial" w:hAnsi="Arial" w:cs="Arial"/>
          <w:color w:val="000000" w:themeColor="text1"/>
        </w:rPr>
        <w:t>R</w:t>
      </w:r>
      <w:r w:rsidRPr="00592456">
        <w:rPr>
          <w:rFonts w:ascii="Arial" w:hAnsi="Arial" w:cs="Arial"/>
          <w:color w:val="000000" w:themeColor="text1"/>
        </w:rPr>
        <w:t xml:space="preserve">esearch priorities in this area </w:t>
      </w:r>
      <w:r w:rsidRPr="00764DAC">
        <w:rPr>
          <w:rFonts w:ascii="Arial" w:hAnsi="Arial" w:cs="Arial"/>
          <w:color w:val="000000" w:themeColor="text1"/>
        </w:rPr>
        <w:t>focus on</w:t>
      </w:r>
      <w:r w:rsidRPr="00592456">
        <w:rPr>
          <w:rFonts w:ascii="Arial" w:hAnsi="Arial" w:cs="Arial"/>
          <w:color w:val="000000" w:themeColor="text1"/>
        </w:rPr>
        <w:t xml:space="preserve"> real-time sensing/actuating using haptic interaction with visual feedback, and </w:t>
      </w:r>
      <w:r w:rsidRPr="00764DAC">
        <w:rPr>
          <w:rFonts w:ascii="Arial" w:hAnsi="Arial" w:cs="Arial"/>
          <w:color w:val="000000" w:themeColor="text1"/>
        </w:rPr>
        <w:t xml:space="preserve">the </w:t>
      </w:r>
      <w:r w:rsidRPr="00592456">
        <w:rPr>
          <w:rFonts w:ascii="Arial" w:hAnsi="Arial" w:cs="Arial"/>
          <w:color w:val="000000" w:themeColor="text1"/>
        </w:rPr>
        <w:t xml:space="preserve">integration of IoT systems supporting not </w:t>
      </w:r>
      <w:r w:rsidRPr="00764DAC">
        <w:rPr>
          <w:rFonts w:ascii="Arial" w:hAnsi="Arial" w:cs="Arial"/>
          <w:color w:val="000000" w:themeColor="text1"/>
        </w:rPr>
        <w:t>only</w:t>
      </w:r>
      <w:r w:rsidRPr="00592456">
        <w:rPr>
          <w:rFonts w:ascii="Arial" w:hAnsi="Arial" w:cs="Arial"/>
          <w:color w:val="000000" w:themeColor="text1"/>
        </w:rPr>
        <w:t xml:space="preserve"> audio-visual interaction</w:t>
      </w:r>
      <w:r w:rsidRPr="00764DAC">
        <w:rPr>
          <w:rFonts w:ascii="Arial" w:hAnsi="Arial" w:cs="Arial"/>
          <w:color w:val="000000" w:themeColor="text1"/>
        </w:rPr>
        <w:t>s</w:t>
      </w:r>
      <w:r w:rsidRPr="00592456">
        <w:rPr>
          <w:rFonts w:ascii="Arial" w:hAnsi="Arial" w:cs="Arial"/>
          <w:color w:val="000000" w:themeColor="text1"/>
        </w:rPr>
        <w:t xml:space="preserve"> but also involving robotic systems to be controlled with a real-time response.</w:t>
      </w:r>
    </w:p>
    <w:p w14:paraId="60BC33C4" w14:textId="77777777" w:rsidR="000E7551" w:rsidRPr="004E44EE" w:rsidRDefault="000E7551" w:rsidP="00124439">
      <w:pPr>
        <w:pStyle w:val="ListParagraph"/>
        <w:numPr>
          <w:ilvl w:val="0"/>
          <w:numId w:val="28"/>
        </w:numPr>
        <w:spacing w:after="0" w:line="240" w:lineRule="auto"/>
        <w:jc w:val="both"/>
        <w:rPr>
          <w:rFonts w:ascii="Arial" w:hAnsi="Arial" w:cs="Arial"/>
          <w:color w:val="000000" w:themeColor="text1"/>
        </w:rPr>
      </w:pPr>
      <w:r w:rsidRPr="004E44EE">
        <w:rPr>
          <w:rFonts w:ascii="Arial" w:hAnsi="Arial" w:cs="Arial"/>
          <w:color w:val="000000" w:themeColor="text1"/>
        </w:rPr>
        <w:t>Holographic media applications: involve not only the local rendering of holograms but networking aspects, specifically the ability to transmit and stream holographic data from remote sites,</w:t>
      </w:r>
    </w:p>
    <w:p w14:paraId="2F1AC776" w14:textId="77777777" w:rsidR="000E7551" w:rsidRPr="004E44EE" w:rsidRDefault="000E7551" w:rsidP="00124439">
      <w:pPr>
        <w:pStyle w:val="ListParagraph"/>
        <w:numPr>
          <w:ilvl w:val="0"/>
          <w:numId w:val="28"/>
        </w:numPr>
        <w:spacing w:after="0" w:line="240" w:lineRule="auto"/>
        <w:jc w:val="both"/>
        <w:rPr>
          <w:rFonts w:ascii="Arial" w:hAnsi="Arial" w:cs="Arial"/>
          <w:color w:val="000000" w:themeColor="text1"/>
        </w:rPr>
      </w:pPr>
      <w:r w:rsidRPr="004E44EE">
        <w:rPr>
          <w:rFonts w:ascii="Arial" w:hAnsi="Arial" w:cs="Arial"/>
          <w:color w:val="000000" w:themeColor="text1"/>
        </w:rPr>
        <w:t>Multi-Sense Networks: include emerging applications that involve not only optical (video, holograms) and acoustic (audio) senses, but as well smell and taste senses.</w:t>
      </w:r>
    </w:p>
    <w:p w14:paraId="3162CADE" w14:textId="77777777" w:rsidR="000E7551" w:rsidRPr="004E44EE" w:rsidRDefault="000E7551" w:rsidP="00124439">
      <w:pPr>
        <w:pStyle w:val="ListParagraph"/>
        <w:numPr>
          <w:ilvl w:val="0"/>
          <w:numId w:val="28"/>
        </w:numPr>
        <w:spacing w:after="0" w:line="240" w:lineRule="auto"/>
        <w:jc w:val="both"/>
        <w:rPr>
          <w:rFonts w:ascii="Arial" w:hAnsi="Arial" w:cs="Arial"/>
          <w:color w:val="000000" w:themeColor="text1"/>
        </w:rPr>
      </w:pPr>
      <w:r w:rsidRPr="004E44EE">
        <w:rPr>
          <w:rFonts w:ascii="Arial" w:hAnsi="Arial" w:cs="Arial"/>
          <w:color w:val="000000" w:themeColor="text1"/>
        </w:rPr>
        <w:lastRenderedPageBreak/>
        <w:t>Time Engineered Applications: uses a communication system that can coordinate between different sources of information such that all the parties involved have synchronized view of the application.</w:t>
      </w:r>
    </w:p>
    <w:p w14:paraId="360D67B0" w14:textId="77777777" w:rsidR="000E7551" w:rsidRPr="004E44EE" w:rsidRDefault="000E7551" w:rsidP="00124439">
      <w:pPr>
        <w:pStyle w:val="ListParagraph"/>
        <w:numPr>
          <w:ilvl w:val="0"/>
          <w:numId w:val="28"/>
        </w:numPr>
        <w:spacing w:after="0" w:line="240" w:lineRule="auto"/>
        <w:jc w:val="both"/>
        <w:rPr>
          <w:rFonts w:ascii="Arial" w:hAnsi="Arial" w:cs="Arial"/>
          <w:color w:val="000000" w:themeColor="text1"/>
        </w:rPr>
      </w:pPr>
      <w:r w:rsidRPr="004E44EE">
        <w:rPr>
          <w:rFonts w:ascii="Arial" w:hAnsi="Arial" w:cs="Arial"/>
          <w:color w:val="000000" w:themeColor="text1"/>
        </w:rPr>
        <w:t>Critical Infrastructure support applications: support of critical infrastructures that refer to those essential assets that are considered vital to the continued smooth functioning of the society as an integrated entity.</w:t>
      </w:r>
    </w:p>
    <w:p w14:paraId="3B4F97E4" w14:textId="77777777" w:rsidR="000E7551" w:rsidRDefault="000E7551" w:rsidP="000E7551">
      <w:pPr>
        <w:spacing w:after="0" w:line="240" w:lineRule="auto"/>
        <w:jc w:val="both"/>
        <w:rPr>
          <w:rFonts w:ascii="Arial" w:hAnsi="Arial" w:cs="Arial"/>
          <w:color w:val="000000" w:themeColor="text1"/>
        </w:rPr>
      </w:pPr>
    </w:p>
    <w:p w14:paraId="7782CE35" w14:textId="77777777" w:rsidR="000E7551"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Emerging industrial IoT applications, </w:t>
      </w:r>
      <w:r w:rsidRPr="00336A64">
        <w:rPr>
          <w:rFonts w:ascii="Arial" w:hAnsi="Arial" w:cs="Arial"/>
          <w:color w:val="000000" w:themeColor="text1"/>
        </w:rPr>
        <w:t>Tactile Internet and</w:t>
      </w:r>
      <w:r w:rsidRPr="00592456">
        <w:rPr>
          <w:rFonts w:ascii="Arial" w:hAnsi="Arial" w:cs="Arial"/>
          <w:color w:val="000000" w:themeColor="text1"/>
        </w:rPr>
        <w:t xml:space="preserve"> </w:t>
      </w:r>
      <w:r w:rsidRPr="00336A64">
        <w:rPr>
          <w:rFonts w:ascii="Arial" w:hAnsi="Arial" w:cs="Arial"/>
          <w:color w:val="000000" w:themeColor="text1"/>
        </w:rPr>
        <w:t>autonomous/robotic systems solutions will require far</w:t>
      </w:r>
      <w:r>
        <w:rPr>
          <w:rFonts w:ascii="Arial" w:hAnsi="Arial" w:cs="Arial" w:hint="eastAsia"/>
          <w:color w:val="000000" w:themeColor="text1"/>
        </w:rPr>
        <w:t xml:space="preserve"> </w:t>
      </w:r>
      <w:r>
        <w:rPr>
          <w:rFonts w:ascii="Arial" w:hAnsi="Arial" w:cs="Arial"/>
          <w:color w:val="000000" w:themeColor="text1"/>
        </w:rPr>
        <w:t xml:space="preserve">faster reactivity at </w:t>
      </w:r>
      <w:r w:rsidRPr="00336A64">
        <w:rPr>
          <w:rFonts w:ascii="Arial" w:hAnsi="Arial" w:cs="Arial"/>
          <w:color w:val="000000" w:themeColor="text1"/>
        </w:rPr>
        <w:t>the edges of the networks as it becomes</w:t>
      </w:r>
      <w:r>
        <w:rPr>
          <w:rFonts w:ascii="Arial" w:hAnsi="Arial" w:cs="Arial" w:hint="eastAsia"/>
          <w:color w:val="000000" w:themeColor="text1"/>
        </w:rPr>
        <w:t xml:space="preserve"> </w:t>
      </w:r>
      <w:r w:rsidRPr="00336A64">
        <w:rPr>
          <w:rFonts w:ascii="Arial" w:hAnsi="Arial" w:cs="Arial"/>
          <w:color w:val="000000" w:themeColor="text1"/>
        </w:rPr>
        <w:t>increasingly inefficient to extract insights from the cloud</w:t>
      </w:r>
      <w:r>
        <w:rPr>
          <w:rFonts w:ascii="Arial" w:hAnsi="Arial" w:cs="Arial" w:hint="eastAsia"/>
          <w:color w:val="000000" w:themeColor="text1"/>
        </w:rPr>
        <w:t xml:space="preserve"> </w:t>
      </w:r>
      <w:r w:rsidRPr="00336A64">
        <w:rPr>
          <w:rFonts w:ascii="Arial" w:hAnsi="Arial" w:cs="Arial"/>
          <w:color w:val="000000" w:themeColor="text1"/>
        </w:rPr>
        <w:t>with growing numbers of IoT devices. Research priorities</w:t>
      </w:r>
      <w:r>
        <w:rPr>
          <w:rFonts w:ascii="Arial" w:hAnsi="Arial" w:cs="Arial" w:hint="eastAsia"/>
          <w:color w:val="000000" w:themeColor="text1"/>
        </w:rPr>
        <w:t xml:space="preserve"> </w:t>
      </w:r>
      <w:r w:rsidRPr="00336A64">
        <w:rPr>
          <w:rFonts w:ascii="Arial" w:hAnsi="Arial" w:cs="Arial"/>
          <w:color w:val="000000" w:themeColor="text1"/>
        </w:rPr>
        <w:t>include the development of new open integrated horizontal</w:t>
      </w:r>
      <w:r>
        <w:rPr>
          <w:rFonts w:ascii="Arial" w:hAnsi="Arial" w:cs="Arial" w:hint="eastAsia"/>
          <w:color w:val="000000" w:themeColor="text1"/>
        </w:rPr>
        <w:t xml:space="preserve"> </w:t>
      </w:r>
      <w:r w:rsidRPr="00336A64">
        <w:rPr>
          <w:rFonts w:ascii="Arial" w:hAnsi="Arial" w:cs="Arial"/>
          <w:color w:val="000000" w:themeColor="text1"/>
        </w:rPr>
        <w:t>platforms for mobile edge computing and edge analytics</w:t>
      </w:r>
      <w:r>
        <w:rPr>
          <w:rFonts w:ascii="Arial" w:hAnsi="Arial" w:cs="Arial" w:hint="eastAsia"/>
          <w:color w:val="000000" w:themeColor="text1"/>
        </w:rPr>
        <w:t xml:space="preserve"> </w:t>
      </w:r>
      <w:r w:rsidRPr="00336A64">
        <w:rPr>
          <w:rFonts w:ascii="Arial" w:hAnsi="Arial" w:cs="Arial"/>
          <w:color w:val="000000" w:themeColor="text1"/>
        </w:rPr>
        <w:t>solutions.</w:t>
      </w:r>
    </w:p>
    <w:p w14:paraId="702DB2EC" w14:textId="77777777" w:rsidR="000E7551" w:rsidRDefault="000E7551" w:rsidP="000E7551">
      <w:pPr>
        <w:spacing w:after="0" w:line="240" w:lineRule="auto"/>
        <w:jc w:val="both"/>
        <w:rPr>
          <w:rFonts w:ascii="Arial" w:hAnsi="Arial" w:cs="Arial"/>
          <w:color w:val="000000" w:themeColor="text1"/>
        </w:rPr>
      </w:pPr>
    </w:p>
    <w:p w14:paraId="243608B0" w14:textId="77777777" w:rsidR="000E7551" w:rsidRPr="00764DAC" w:rsidRDefault="000E7551" w:rsidP="000E7551">
      <w:pPr>
        <w:spacing w:after="0" w:line="240" w:lineRule="auto"/>
        <w:jc w:val="both"/>
        <w:rPr>
          <w:rFonts w:ascii="Arial" w:hAnsi="Arial" w:cs="Arial"/>
          <w:color w:val="000000" w:themeColor="text1"/>
        </w:rPr>
      </w:pPr>
      <w:bookmarkStart w:id="448" w:name="_Toc12788319"/>
      <w:r w:rsidRPr="00764DAC">
        <w:rPr>
          <w:rFonts w:ascii="Arial" w:hAnsi="Arial" w:cs="Arial"/>
          <w:b/>
          <w:bCs/>
          <w:color w:val="000000" w:themeColor="text1"/>
        </w:rPr>
        <w:t>Extreme Automation and Real-Time Zero-Touch - Service Orchestration</w:t>
      </w:r>
      <w:bookmarkEnd w:id="448"/>
      <w:r w:rsidRPr="00764DAC">
        <w:rPr>
          <w:rFonts w:ascii="Arial" w:hAnsi="Arial" w:cs="Arial"/>
          <w:b/>
          <w:bCs/>
          <w:color w:val="000000" w:themeColor="text1"/>
        </w:rPr>
        <w:t>:</w:t>
      </w:r>
      <w:r w:rsidRPr="00764DAC">
        <w:rPr>
          <w:rFonts w:ascii="Arial" w:hAnsi="Arial" w:cs="Arial"/>
          <w:color w:val="000000" w:themeColor="text1"/>
        </w:rPr>
        <w:t xml:space="preserve"> In a few years, social machines, smart contracts and other types of more advanced interaction will be a reality. Some machines will be indistinguishable from people from the perspective of business processes and interactions, with higher capacity of decisions, the ability to orchestrate common actions, make requests, etc. Future networks will therefore require higher demands on real-time network service management and a high degree of automation. The challenge is how, without breaking overall end user experience. Several topics are to be addressed, including:</w:t>
      </w:r>
    </w:p>
    <w:p w14:paraId="47F812A4" w14:textId="77777777" w:rsidR="000E7551" w:rsidRPr="00764DAC" w:rsidRDefault="000E7551" w:rsidP="000E7551">
      <w:pPr>
        <w:spacing w:after="0" w:line="240" w:lineRule="auto"/>
        <w:jc w:val="both"/>
        <w:rPr>
          <w:rFonts w:ascii="Arial" w:hAnsi="Arial" w:cs="Arial"/>
          <w:color w:val="000000" w:themeColor="text1"/>
        </w:rPr>
      </w:pPr>
    </w:p>
    <w:p w14:paraId="12EFFB17" w14:textId="77777777" w:rsidR="000E7551" w:rsidRPr="00764DAC" w:rsidRDefault="000E7551" w:rsidP="00124439">
      <w:pPr>
        <w:numPr>
          <w:ilvl w:val="0"/>
          <w:numId w:val="29"/>
        </w:numPr>
        <w:spacing w:after="0" w:line="240" w:lineRule="auto"/>
        <w:jc w:val="both"/>
        <w:rPr>
          <w:rFonts w:ascii="Arial" w:hAnsi="Arial" w:cs="Arial"/>
          <w:color w:val="000000" w:themeColor="text1"/>
        </w:rPr>
      </w:pPr>
      <w:r w:rsidRPr="00764DAC">
        <w:rPr>
          <w:rFonts w:ascii="Arial" w:hAnsi="Arial" w:cs="Arial"/>
          <w:color w:val="000000" w:themeColor="text1"/>
        </w:rPr>
        <w:t>Enhanced policy management including huge data analytics</w:t>
      </w:r>
    </w:p>
    <w:p w14:paraId="1B806F35" w14:textId="77777777" w:rsidR="000E7551" w:rsidRPr="00764DAC" w:rsidRDefault="000E7551" w:rsidP="00124439">
      <w:pPr>
        <w:numPr>
          <w:ilvl w:val="0"/>
          <w:numId w:val="29"/>
        </w:numPr>
        <w:spacing w:after="0" w:line="240" w:lineRule="auto"/>
        <w:jc w:val="both"/>
        <w:rPr>
          <w:rFonts w:ascii="Arial" w:hAnsi="Arial" w:cs="Arial"/>
          <w:color w:val="000000" w:themeColor="text1"/>
        </w:rPr>
      </w:pPr>
      <w:r w:rsidRPr="00764DAC">
        <w:rPr>
          <w:rFonts w:ascii="Arial" w:hAnsi="Arial" w:cs="Arial"/>
          <w:color w:val="000000" w:themeColor="text1"/>
        </w:rPr>
        <w:t>Artificial intelligence driven orchestration</w:t>
      </w:r>
    </w:p>
    <w:p w14:paraId="29371388" w14:textId="77777777" w:rsidR="000E7551" w:rsidRPr="00764DAC" w:rsidRDefault="000E7551" w:rsidP="00124439">
      <w:pPr>
        <w:numPr>
          <w:ilvl w:val="0"/>
          <w:numId w:val="29"/>
        </w:numPr>
        <w:spacing w:after="0" w:line="240" w:lineRule="auto"/>
        <w:jc w:val="both"/>
        <w:rPr>
          <w:rFonts w:ascii="Arial" w:hAnsi="Arial" w:cs="Arial"/>
          <w:color w:val="000000" w:themeColor="text1"/>
        </w:rPr>
      </w:pPr>
      <w:r w:rsidRPr="00764DAC">
        <w:rPr>
          <w:rFonts w:ascii="Arial" w:hAnsi="Arial" w:cs="Arial"/>
          <w:color w:val="000000" w:themeColor="text1"/>
        </w:rPr>
        <w:t>Cloud-native management applied to Network Function Virtualization orchestration</w:t>
      </w:r>
    </w:p>
    <w:p w14:paraId="40F502A0" w14:textId="77777777" w:rsidR="000E7551" w:rsidRDefault="000E7551" w:rsidP="000E7551">
      <w:pPr>
        <w:spacing w:after="0" w:line="240" w:lineRule="auto"/>
        <w:jc w:val="both"/>
        <w:rPr>
          <w:rFonts w:ascii="Arial" w:hAnsi="Arial" w:cs="Arial"/>
          <w:color w:val="000000" w:themeColor="text1"/>
        </w:rPr>
      </w:pPr>
    </w:p>
    <w:p w14:paraId="12729323" w14:textId="77777777" w:rsidR="000E7551" w:rsidRDefault="000E7551" w:rsidP="000E7551">
      <w:pPr>
        <w:spacing w:after="0" w:line="240" w:lineRule="auto"/>
        <w:jc w:val="both"/>
        <w:rPr>
          <w:rFonts w:ascii="Arial" w:hAnsi="Arial" w:cs="Arial"/>
          <w:color w:val="000000" w:themeColor="text1"/>
        </w:rPr>
      </w:pPr>
      <w:bookmarkStart w:id="449" w:name="m_-8012333699413155695__Toc8289571"/>
      <w:bookmarkStart w:id="450" w:name="_Toc12788320"/>
      <w:r w:rsidRPr="00764DAC">
        <w:rPr>
          <w:rFonts w:ascii="Arial" w:hAnsi="Arial" w:cs="Arial"/>
          <w:b/>
          <w:bCs/>
          <w:color w:val="000000" w:themeColor="text1"/>
        </w:rPr>
        <w:t>Service Injection Loop</w:t>
      </w:r>
      <w:bookmarkEnd w:id="449"/>
      <w:bookmarkEnd w:id="450"/>
      <w:r w:rsidRPr="00764DAC">
        <w:rPr>
          <w:rFonts w:ascii="Arial" w:hAnsi="Arial" w:cs="Arial"/>
          <w:b/>
          <w:bCs/>
          <w:color w:val="000000" w:themeColor="text1"/>
        </w:rPr>
        <w:t>:</w:t>
      </w:r>
      <w:r w:rsidRPr="00764DAC">
        <w:rPr>
          <w:rFonts w:ascii="Arial" w:hAnsi="Arial" w:cs="Arial"/>
          <w:color w:val="000000" w:themeColor="text1"/>
        </w:rPr>
        <w:t xml:space="preserve"> The creation of services should be reinvented for the new digital area. Architectural micro services provide modular, distributed software components that can be deployed in any environment with a standardized infrastructure, allowing distributed applications to be installed on a cloud infrastructure while maintaining maximum flexibility. Research is required into new ways of describing the entire platform in metamodels. This innovation should be driven not only in the network transformation but also in the creation of a catalogue of new services. These services interoperate with platform capabilities and can automatically adapt to the needs of the user, and will involve new business models in pay-for-what-you-use services. </w:t>
      </w:r>
    </w:p>
    <w:p w14:paraId="5083657A" w14:textId="77777777" w:rsidR="000E7551" w:rsidRPr="00764DAC" w:rsidRDefault="000E7551" w:rsidP="000E7551">
      <w:pPr>
        <w:spacing w:after="0" w:line="240" w:lineRule="auto"/>
        <w:jc w:val="both"/>
        <w:rPr>
          <w:rFonts w:ascii="Arial" w:hAnsi="Arial" w:cs="Arial"/>
          <w:color w:val="000000" w:themeColor="text1"/>
        </w:rPr>
      </w:pPr>
    </w:p>
    <w:p w14:paraId="5BD8E943" w14:textId="77777777" w:rsidR="000E7551" w:rsidRPr="00764DAC" w:rsidRDefault="000E7551" w:rsidP="000E7551">
      <w:pPr>
        <w:spacing w:after="0" w:line="240" w:lineRule="auto"/>
        <w:jc w:val="both"/>
        <w:rPr>
          <w:rFonts w:ascii="Arial" w:hAnsi="Arial" w:cs="Arial"/>
          <w:color w:val="000000" w:themeColor="text1"/>
        </w:rPr>
      </w:pPr>
      <w:r w:rsidRPr="00764DAC">
        <w:rPr>
          <w:rFonts w:ascii="Arial" w:hAnsi="Arial" w:cs="Arial"/>
          <w:b/>
          <w:bCs/>
          <w:color w:val="000000" w:themeColor="text1"/>
        </w:rPr>
        <w:t xml:space="preserve">Digital Twins for IoT: </w:t>
      </w:r>
      <w:r w:rsidRPr="00764DAC">
        <w:rPr>
          <w:rFonts w:ascii="Arial" w:hAnsi="Arial" w:cs="Arial"/>
          <w:color w:val="000000" w:themeColor="text1"/>
        </w:rPr>
        <w:t>Digital twins are virtual representations of material assets. While current solutions for IoT platforms have mainly been for the representation of physical objects, features such as simulation, manipulation and optimization are missing. Digital twins can be used, for example, to trigger and simulate threat scenarios, and help to optimize the security strategy to handle such scenarios if they occurred in the real world. Research is needed to address the Integration of IoT</w:t>
      </w:r>
      <w:r>
        <w:rPr>
          <w:rFonts w:ascii="Arial" w:hAnsi="Arial" w:cs="Arial"/>
          <w:color w:val="000000" w:themeColor="text1"/>
        </w:rPr>
        <w:t xml:space="preserve"> </w:t>
      </w:r>
      <w:r w:rsidRPr="00764DAC">
        <w:rPr>
          <w:rFonts w:ascii="Arial" w:hAnsi="Arial" w:cs="Arial"/>
          <w:color w:val="000000" w:themeColor="text1"/>
        </w:rPr>
        <w:t xml:space="preserve">digital twins </w:t>
      </w:r>
      <w:r>
        <w:rPr>
          <w:rFonts w:ascii="Arial" w:hAnsi="Arial" w:cs="Arial"/>
          <w:color w:val="000000" w:themeColor="text1"/>
        </w:rPr>
        <w:t>i</w:t>
      </w:r>
      <w:r w:rsidRPr="00764DAC">
        <w:rPr>
          <w:rFonts w:ascii="Arial" w:hAnsi="Arial" w:cs="Arial"/>
          <w:color w:val="000000" w:themeColor="text1"/>
        </w:rPr>
        <w:t xml:space="preserve">nto IoT/5G industrial platforms. </w:t>
      </w:r>
    </w:p>
    <w:p w14:paraId="2B79976B" w14:textId="77777777" w:rsidR="000E7551" w:rsidRPr="0063079E" w:rsidRDefault="000E7551" w:rsidP="000E7551">
      <w:pPr>
        <w:spacing w:after="0" w:line="240" w:lineRule="auto"/>
        <w:jc w:val="both"/>
        <w:rPr>
          <w:rFonts w:ascii="Arial" w:hAnsi="Arial" w:cs="Arial"/>
          <w:color w:val="000000" w:themeColor="text1"/>
        </w:rPr>
      </w:pPr>
    </w:p>
    <w:p w14:paraId="72B2A2CF" w14:textId="77777777" w:rsidR="000E7551" w:rsidRPr="0063079E" w:rsidRDefault="000E7551" w:rsidP="000E7551">
      <w:pPr>
        <w:spacing w:after="0" w:line="240" w:lineRule="auto"/>
        <w:jc w:val="both"/>
        <w:rPr>
          <w:rFonts w:ascii="Arial" w:hAnsi="Arial" w:cs="Arial"/>
          <w:color w:val="000000" w:themeColor="text1"/>
        </w:rPr>
      </w:pPr>
    </w:p>
    <w:p w14:paraId="4A1CCF37" w14:textId="77777777" w:rsidR="000E7551" w:rsidRPr="0063079E" w:rsidRDefault="000E7551" w:rsidP="000E7551">
      <w:pPr>
        <w:spacing w:after="0" w:line="240" w:lineRule="auto"/>
        <w:jc w:val="both"/>
        <w:rPr>
          <w:rFonts w:ascii="Arial" w:hAnsi="Arial" w:cs="Arial"/>
          <w:color w:val="000000" w:themeColor="text1"/>
        </w:rPr>
      </w:pPr>
    </w:p>
    <w:p w14:paraId="4E466019" w14:textId="77777777" w:rsidR="000E7551" w:rsidRPr="0063079E" w:rsidRDefault="000E7551" w:rsidP="00DA6395">
      <w:pPr>
        <w:pStyle w:val="Heading3"/>
      </w:pPr>
      <w:bookmarkStart w:id="451" w:name="_Toc509817931"/>
      <w:bookmarkStart w:id="452" w:name="_Toc525463894"/>
      <w:bookmarkStart w:id="453" w:name="_Toc40072063"/>
      <w:bookmarkStart w:id="454" w:name="_Toc42177378"/>
      <w:r w:rsidRPr="0063079E">
        <w:t>Impact of Blockchain Technologies on the Network</w:t>
      </w:r>
      <w:bookmarkEnd w:id="451"/>
      <w:bookmarkEnd w:id="452"/>
      <w:bookmarkEnd w:id="453"/>
      <w:bookmarkEnd w:id="454"/>
    </w:p>
    <w:p w14:paraId="7CE1873B"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63079E">
        <w:rPr>
          <w:rFonts w:ascii="Arial" w:hAnsi="Arial" w:cs="Arial"/>
          <w:i/>
          <w:color w:val="000000" w:themeColor="text1"/>
        </w:rPr>
        <w:t>permissioned</w:t>
      </w:r>
      <w:r w:rsidRPr="0063079E">
        <w:rPr>
          <w:rFonts w:ascii="Arial" w:hAnsi="Arial" w:cs="Arial"/>
          <w:color w:val="000000" w:themeColor="text1"/>
        </w:rPr>
        <w:t xml:space="preserve"> blockchains will gradually extend beyond the very specific single-application realm of most of the today’s use cases and will hold the promise to emerge as an open large-scale trust infrastructure, duly controlled and regulated unlike the current massively deployed permission less technologies laying at the foundation of today’s crypto currencies. Such a trust infrastructure, while complementing the Internet’s connectivity and data distribution services, </w:t>
      </w:r>
      <w:r w:rsidRPr="0063079E">
        <w:rPr>
          <w:rFonts w:ascii="Arial" w:hAnsi="Arial" w:cs="Arial"/>
          <w:color w:val="000000" w:themeColor="text1"/>
        </w:rPr>
        <w:lastRenderedPageBreak/>
        <w:t>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r>
        <w:rPr>
          <w:rFonts w:ascii="Arial" w:hAnsi="Arial" w:cs="Arial"/>
          <w:color w:val="000000" w:themeColor="text1"/>
        </w:rPr>
        <w:t xml:space="preserve"> The range of potential use cases for future networks is huge: capacity sharing in distributed networks, spectrum, resource and infrastructure management and sharing, energy trading, resource and service federation in virtualized networks, etc. Facilitating all these scenarios Blockchain technologies would also further contribute to cut down the operational costs of running the network. Additional interdisciplinary interactions with distributed ML/AI solutions and the corresponding game theoretical effects are also to be explored to fulfil the view of Next generation self-organized networks. </w:t>
      </w:r>
    </w:p>
    <w:p w14:paraId="730DCEB4" w14:textId="77777777" w:rsidR="000E7551" w:rsidRPr="0063079E" w:rsidRDefault="000E7551" w:rsidP="000E7551">
      <w:pPr>
        <w:spacing w:after="0" w:line="240" w:lineRule="auto"/>
        <w:jc w:val="both"/>
        <w:rPr>
          <w:rFonts w:ascii="Arial" w:hAnsi="Arial" w:cs="Arial"/>
          <w:color w:val="000000" w:themeColor="text1"/>
        </w:rPr>
      </w:pPr>
    </w:p>
    <w:p w14:paraId="73BFBB5C"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Dawn of Blockchains: The Era of the ”Wild”</w:t>
      </w:r>
    </w:p>
    <w:p w14:paraId="1D83AEE3" w14:textId="3EA4D239"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sidR="00EA4B7A" w:rsidRPr="0063079E">
        <w:rPr>
          <w:rFonts w:ascii="Arial" w:hAnsi="Arial" w:cs="Arial"/>
          <w:color w:val="000000" w:themeColor="text1"/>
        </w:rPr>
        <w:t xml:space="preserve"> </w:t>
      </w:r>
      <w:r w:rsidR="00EA4B7A">
        <w:rPr>
          <w:rFonts w:ascii="Arial" w:hAnsi="Arial" w:cs="Arial"/>
          <w:color w:val="000000" w:themeColor="text1"/>
        </w:rPr>
        <w:t xml:space="preserve">[C11-29] </w:t>
      </w:r>
      <w:r w:rsidRPr="0012294F">
        <w:rPr>
          <w:rFonts w:ascii="Arial" w:hAnsi="Arial" w:cs="Arial"/>
          <w:color w:val="000000" w:themeColor="text1"/>
        </w:rPr>
        <w:t>in the 90ies), Blockchains – as we know them today – emerged only in 2008, as the technical foundatio</w:t>
      </w:r>
      <w:r w:rsidRPr="0063079E">
        <w:rPr>
          <w:rFonts w:ascii="Arial" w:hAnsi="Arial" w:cs="Arial"/>
          <w:color w:val="000000" w:themeColor="text1"/>
        </w:rPr>
        <w:t>n and enabler of Bitcoin</w:t>
      </w:r>
      <w:r>
        <w:rPr>
          <w:rFonts w:ascii="Arial" w:hAnsi="Arial" w:cs="Arial"/>
          <w:color w:val="000000" w:themeColor="text1"/>
        </w:rPr>
        <w:t xml:space="preserve"> </w:t>
      </w:r>
      <w:r w:rsidR="00EA4B7A" w:rsidRPr="0063079E">
        <w:rPr>
          <w:rFonts w:ascii="Arial" w:hAnsi="Arial" w:cs="Arial"/>
          <w:color w:val="000000" w:themeColor="text1"/>
        </w:rPr>
        <w:t xml:space="preserve"> </w:t>
      </w:r>
      <w:r w:rsidR="00EA4B7A">
        <w:rPr>
          <w:rFonts w:ascii="Arial" w:hAnsi="Arial" w:cs="Arial"/>
          <w:color w:val="000000" w:themeColor="text1"/>
        </w:rPr>
        <w:t xml:space="preserve">[C11-30] </w:t>
      </w:r>
      <w:r w:rsidRPr="0012294F">
        <w:rPr>
          <w:rFonts w:ascii="Arial" w:hAnsi="Arial" w:cs="Arial"/>
          <w:color w:val="000000" w:themeColor="text1"/>
        </w:rPr>
        <w:t xml:space="preserve">the first fully </w:t>
      </w:r>
      <w:r w:rsidRPr="0063079E">
        <w:rPr>
          <w:rFonts w:ascii="Arial" w:hAnsi="Arial" w:cs="Arial"/>
          <w:color w:val="000000" w:themeColor="text1"/>
        </w:rPr>
        <w:t xml:space="preserve">decentralised (peer-to-peer)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63079E">
        <w:rPr>
          <w:rFonts w:ascii="Arial" w:hAnsi="Arial" w:cs="Arial"/>
          <w:i/>
          <w:color w:val="000000" w:themeColor="text1"/>
        </w:rPr>
        <w:t>completely wild</w:t>
      </w:r>
      <w:r w:rsidRPr="0063079E">
        <w:rPr>
          <w:rFonts w:ascii="Arial" w:hAnsi="Arial" w:cs="Arial"/>
          <w:color w:val="000000" w:themeColor="text1"/>
        </w:rPr>
        <w:t>. With this terminology, we mean that anyone willing to deploy time and resources (e.g. computing power in the case of Bitcoin’s Proof-of-Work), not only can participate in building – mining –</w:t>
      </w:r>
      <w:r>
        <w:rPr>
          <w:rFonts w:ascii="Arial" w:hAnsi="Arial" w:cs="Arial"/>
          <w:color w:val="000000" w:themeColor="text1"/>
        </w:rPr>
        <w:t xml:space="preserve"> the relevant blocks</w:t>
      </w:r>
      <w:r w:rsidRPr="0063079E">
        <w:rPr>
          <w:rFonts w:ascii="Arial" w:hAnsi="Arial" w:cs="Arial"/>
          <w:color w:val="000000" w:themeColor="text1"/>
        </w:rPr>
        <w:t xml:space="preserve"> but might in principle even try to bias or change its operation. In fact, in Bitcoin, a new crypto currency can be deployed by ”just” convincing a critical mass of block miners to adopt different rules – see the many ”hard forks” popped up just in 2017 (Bitcoin Cash, Gold, Diamond, Private, etc. – we leave the reader to judge which of these initiatives were really necessary in solving real problems).</w:t>
      </w:r>
    </w:p>
    <w:p w14:paraId="5FD8F4AF" w14:textId="292AA275"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 more interesting is the case of Ethereum: the utter flexibility of the relevant scripting language (a Turing-complete language called Solidity) permits anyone to easily create new applications on top of its blockchain by simply programming a ”smart contract”. Despite the hype, and the huge perceived potential in fields also outside crypto currencies, it is fair to say that such flexibility does not nearly come along without concerns</w:t>
      </w:r>
      <w:r w:rsidRPr="0012294F">
        <w:rPr>
          <w:rStyle w:val="FootnoteReference"/>
          <w:rFonts w:ascii="Arial" w:hAnsi="Arial" w:cs="Arial"/>
          <w:color w:val="000000" w:themeColor="text1"/>
        </w:rPr>
        <w:footnoteReference w:id="10"/>
      </w:r>
      <w:r w:rsidRPr="0012294F">
        <w:rPr>
          <w:rFonts w:ascii="Arial" w:hAnsi="Arial" w:cs="Arial"/>
          <w:color w:val="000000" w:themeColor="text1"/>
        </w:rPr>
        <w:t>, and has to date mainly used to launch new coins, often of questionable value –</w:t>
      </w:r>
      <w:r w:rsidRPr="0063079E">
        <w:rPr>
          <w:rFonts w:ascii="Arial" w:hAnsi="Arial" w:cs="Arial"/>
          <w:color w:val="000000" w:themeColor="text1"/>
        </w:rPr>
        <w:t xml:space="preserve"> see </w:t>
      </w:r>
      <w:hyperlink r:id="rId37" w:history="1">
        <w:r w:rsidRPr="0063079E">
          <w:rPr>
            <w:rStyle w:val="Hyperlink"/>
            <w:rFonts w:ascii="Arial" w:hAnsi="Arial" w:cs="Arial"/>
          </w:rPr>
          <w:t>https://uetoken.com</w:t>
        </w:r>
      </w:hyperlink>
      <w:r w:rsidRPr="0012294F">
        <w:rPr>
          <w:rFonts w:ascii="Arial" w:hAnsi="Arial" w:cs="Arial"/>
          <w:color w:val="000000" w:themeColor="text1"/>
        </w:rPr>
        <w:t xml:space="preserve"> </w:t>
      </w:r>
      <w:r w:rsidRPr="0063079E">
        <w:rPr>
          <w:rFonts w:ascii="Arial" w:hAnsi="Arial" w:cs="Arial"/>
          <w:color w:val="000000" w:themeColor="text1"/>
        </w:rPr>
        <w:t>for a very ironic Initial Coin Offer (ICO) which explicitly names itself ”Useless Ethereum Token” and self-describes it as (verbatim quote): ”</w:t>
      </w:r>
      <w:r w:rsidRPr="0063079E">
        <w:rPr>
          <w:rFonts w:ascii="Arial" w:hAnsi="Arial" w:cs="Arial"/>
          <w:i/>
          <w:color w:val="000000" w:themeColor="text1"/>
        </w:rPr>
        <w:t>the world's first 100 % honest Ethereum ICO: you're going to give some random person on the Internet money, and they're going to take it and go buy stuff with it”</w:t>
      </w:r>
      <w:r w:rsidRPr="0063079E">
        <w:rPr>
          <w:rFonts w:ascii="Arial" w:hAnsi="Arial" w:cs="Arial"/>
          <w:color w:val="000000" w:themeColor="text1"/>
        </w:rPr>
        <w:t>. Perhaps not so unsurprisingly, given the current level of hype, even such a clearly fake ICO (Initial Coin Offering) ended up in being traded for real, gathering as much as 310.445,00 ETH (Ethereum)!</w:t>
      </w:r>
    </w:p>
    <w:p w14:paraId="212FBC96" w14:textId="77777777" w:rsidR="000E7551" w:rsidRPr="0063079E" w:rsidRDefault="000E7551" w:rsidP="000E7551">
      <w:pPr>
        <w:spacing w:after="0" w:line="240" w:lineRule="auto"/>
        <w:jc w:val="both"/>
        <w:rPr>
          <w:rFonts w:ascii="Arial" w:hAnsi="Arial" w:cs="Arial"/>
          <w:color w:val="000000" w:themeColor="text1"/>
        </w:rPr>
      </w:pPr>
    </w:p>
    <w:p w14:paraId="3F628642" w14:textId="77777777" w:rsidR="000E7551" w:rsidRPr="0063079E" w:rsidRDefault="000E7551" w:rsidP="000E7551">
      <w:pPr>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The Emergence of Permissioned Blockchains</w:t>
      </w:r>
    </w:p>
    <w:p w14:paraId="41C55B8E"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Even if emerged in the above discussed </w:t>
      </w:r>
      <w:r w:rsidRPr="0063079E">
        <w:rPr>
          <w:rFonts w:ascii="Arial" w:hAnsi="Arial" w:cs="Arial"/>
          <w:i/>
          <w:color w:val="000000" w:themeColor="text1"/>
        </w:rPr>
        <w:t>wild</w:t>
      </w:r>
      <w:r w:rsidRPr="0063079E">
        <w:rPr>
          <w:rFonts w:ascii="Arial" w:hAnsi="Arial" w:cs="Arial"/>
          <w:color w:val="000000" w:themeColor="text1"/>
        </w:rPr>
        <w:t xml:space="preserve"> context of crypto currencies, most of the industry is nowadays understanding that blockchains may bring a significant value also in many concrete application domains, as a shared ”database” replacement. In this direction, great business attention is currently posed on the so-called ”permissioned” blockchain technologies (e.g., Multichain, Hyperledger, etc.), whose somewhat controlled/federated trust model </w:t>
      </w:r>
      <w:r w:rsidRPr="0063079E">
        <w:rPr>
          <w:rFonts w:ascii="Arial" w:hAnsi="Arial" w:cs="Arial"/>
          <w:color w:val="000000" w:themeColor="text1"/>
        </w:rPr>
        <w:lastRenderedPageBreak/>
        <w:t>permits them to circumvent the scalability issues and resource consumption (e.g. energy) which affects their public counterparts.</w:t>
      </w:r>
    </w:p>
    <w:p w14:paraId="4B563EA9" w14:textId="7CF0DB5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But what is a ”permissioned” blockchain? Quoting a crystal-clear explanation by Gideon Greenspan, leader and developer of a permissioned Blockchain technology called Multichain, ”</w:t>
      </w:r>
      <w:r w:rsidRPr="0063079E">
        <w:rPr>
          <w:rFonts w:ascii="Arial" w:hAnsi="Arial" w:cs="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Pr="000615BF">
        <w:rPr>
          <w:rFonts w:ascii="Arial" w:hAnsi="Arial" w:cs="Arial"/>
          <w:color w:val="000000" w:themeColor="text1"/>
        </w:rPr>
        <w:t>”</w:t>
      </w:r>
      <w:r w:rsidR="00EA4B7A" w:rsidRPr="0063079E">
        <w:rPr>
          <w:rFonts w:ascii="Arial" w:hAnsi="Arial" w:cs="Arial"/>
          <w:color w:val="000000" w:themeColor="text1"/>
        </w:rPr>
        <w:t xml:space="preserve"> </w:t>
      </w:r>
      <w:r w:rsidR="00EA4B7A">
        <w:rPr>
          <w:rFonts w:ascii="Arial" w:hAnsi="Arial" w:cs="Arial"/>
          <w:color w:val="000000" w:themeColor="text1"/>
        </w:rPr>
        <w:t>[C11-31]</w:t>
      </w:r>
      <w:r w:rsidRPr="000615BF">
        <w:rPr>
          <w:rFonts w:ascii="Arial" w:hAnsi="Arial" w:cs="Arial"/>
          <w:color w:val="000000" w:themeColor="text1"/>
        </w:rPr>
        <w:t>. In</w:t>
      </w:r>
      <w:r w:rsidRPr="0012294F">
        <w:rPr>
          <w:rFonts w:ascii="Arial" w:hAnsi="Arial" w:cs="Arial"/>
          <w:color w:val="000000" w:themeColor="text1"/>
        </w:rPr>
        <w:t xml:space="preserve"> other words, blockchains are clearly pointless in contexts where there </w:t>
      </w:r>
      <w:r w:rsidRPr="0063079E">
        <w:rPr>
          <w:rFonts w:ascii="Arial" w:hAnsi="Arial" w:cs="Arial"/>
          <w:color w:val="000000" w:themeColor="text1"/>
        </w:rPr>
        <w:t>is a trusted intermediary which guarantees that what you read from its database is ”true”.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46AEBEB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This latter point – explicit and upfront validation of every transaction prior to storing it in the ledger – is what makes blockchains very different from ordinary databases. Indeed, the trustworthiness of the information contained in a blockchain is accomplished by the </w:t>
      </w:r>
      <w:r w:rsidRPr="0063079E">
        <w:rPr>
          <w:rFonts w:ascii="Arial" w:hAnsi="Arial" w:cs="Arial"/>
          <w:i/>
          <w:color w:val="000000" w:themeColor="text1"/>
        </w:rPr>
        <w:t>joint</w:t>
      </w:r>
      <w:r w:rsidRPr="0063079E">
        <w:rPr>
          <w:rFonts w:ascii="Arial" w:hAnsi="Arial" w:cs="Arial"/>
          <w:color w:val="000000" w:themeColor="text1"/>
        </w:rPr>
        <w:t xml:space="preserve"> involvement of three complementary techniques:</w:t>
      </w:r>
    </w:p>
    <w:p w14:paraId="38D6A2AF" w14:textId="77777777" w:rsidR="000E7551" w:rsidRPr="0063079E" w:rsidRDefault="000E7551" w:rsidP="00124439">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 way to make sure that a transaction recorded at a given time cannot be modified in the future – i.e. the hash-pointer block structure which guarantees storage integrity; </w:t>
      </w:r>
    </w:p>
    <w:p w14:paraId="1D2BDC42" w14:textId="77777777" w:rsidR="000E7551" w:rsidRPr="0063079E" w:rsidRDefault="000E7551" w:rsidP="00124439">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a way to resolve differences among different replicas of the blocks – this is accomplished by a suitable consensus protocol, and</w:t>
      </w:r>
    </w:p>
    <w:p w14:paraId="36AD8ACC" w14:textId="77777777" w:rsidR="000E7551" w:rsidRPr="0063079E" w:rsidRDefault="000E7551" w:rsidP="00124439">
      <w:pPr>
        <w:pStyle w:val="ListParagraph"/>
        <w:numPr>
          <w:ilvl w:val="0"/>
          <w:numId w:val="24"/>
        </w:numPr>
        <w:spacing w:after="120" w:line="240" w:lineRule="auto"/>
        <w:jc w:val="both"/>
        <w:rPr>
          <w:rFonts w:ascii="Arial" w:hAnsi="Arial" w:cs="Arial"/>
          <w:color w:val="000000" w:themeColor="text1"/>
        </w:rPr>
      </w:pPr>
      <w:r w:rsidRPr="0063079E">
        <w:rPr>
          <w:rFonts w:ascii="Arial" w:hAnsi="Arial" w:cs="Arial"/>
          <w:color w:val="000000" w:themeColor="text1"/>
        </w:rPr>
        <w:t>a way to explicitly verify that a transaction being stored is valid, via a suitable formal script associated to the transaction and ”executed” prior to adding a transaction to the ledger.</w:t>
      </w:r>
    </w:p>
    <w:p w14:paraId="3AB27E24" w14:textId="541B2B5A"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The key advantage of permissioned blockchains with respect to their ”wild” public counterparts is that not everybody can create blocks and add them to the chain, but only the subset of parties that have been granted an explicit </w:t>
      </w:r>
      <w:r w:rsidRPr="0063079E">
        <w:rPr>
          <w:rFonts w:ascii="Arial" w:hAnsi="Arial" w:cs="Arial"/>
          <w:i/>
          <w:color w:val="000000" w:themeColor="text1"/>
        </w:rPr>
        <w:t>permission</w:t>
      </w:r>
      <w:r w:rsidRPr="0063079E">
        <w:rPr>
          <w:rFonts w:ascii="Arial" w:hAnsi="Arial" w:cs="Arial"/>
          <w:color w:val="000000" w:themeColor="text1"/>
        </w:rPr>
        <w:t xml:space="preserve"> to do. This fact completely changes many underlying technical requirements, and permits to significantly widen (and make explicit) the consensus protocols employed </w:t>
      </w:r>
      <w:r w:rsidR="00EA4B7A" w:rsidRPr="0063079E">
        <w:rPr>
          <w:rFonts w:ascii="Arial" w:hAnsi="Arial" w:cs="Arial"/>
          <w:color w:val="000000" w:themeColor="text1"/>
        </w:rPr>
        <w:t xml:space="preserve"> </w:t>
      </w:r>
      <w:r w:rsidR="00EA4B7A">
        <w:rPr>
          <w:rFonts w:ascii="Arial" w:hAnsi="Arial" w:cs="Arial"/>
          <w:color w:val="000000" w:themeColor="text1"/>
        </w:rPr>
        <w:t>[C11-32]</w:t>
      </w:r>
      <w:r w:rsidRPr="0012294F">
        <w:rPr>
          <w:rFonts w:ascii="Arial" w:hAnsi="Arial" w:cs="Arial"/>
          <w:color w:val="000000" w:themeColor="text1"/>
        </w:rPr>
        <w:t>, improve scalability, guarantee fork-less operation (e.g. with signature-based consensus), improve timestamping and time necessary</w:t>
      </w:r>
      <w:r w:rsidRPr="0063079E">
        <w:rPr>
          <w:rFonts w:ascii="Arial" w:hAnsi="Arial" w:cs="Arial"/>
          <w:color w:val="000000" w:themeColor="text1"/>
        </w:rPr>
        <w:t xml:space="preserve"> until a transaction is guaranteed to be registered of orders of magnitudes with respect to the today’s Bitcoin hours. Most notably, an upfront fixed number of ”miners” permits to get rid of the need to defend against Sybil attacks, the primary reason which mandates the impressive waste of energy in the Bitcoin’s Proof-of-Work.</w:t>
      </w:r>
    </w:p>
    <w:p w14:paraId="6C9DF03C" w14:textId="77777777" w:rsidR="000E7551" w:rsidRPr="0063079E" w:rsidRDefault="000E7551" w:rsidP="000E7551">
      <w:pPr>
        <w:spacing w:after="0" w:line="240" w:lineRule="auto"/>
        <w:jc w:val="both"/>
        <w:rPr>
          <w:rFonts w:ascii="Arial" w:hAnsi="Arial" w:cs="Arial"/>
          <w:color w:val="000000" w:themeColor="text1"/>
        </w:rPr>
      </w:pPr>
    </w:p>
    <w:p w14:paraId="021620BE" w14:textId="77777777" w:rsidR="000E7551" w:rsidRPr="0063079E" w:rsidRDefault="000E7551" w:rsidP="000E7551">
      <w:pPr>
        <w:keepNext/>
        <w:spacing w:after="120" w:line="240" w:lineRule="auto"/>
        <w:jc w:val="both"/>
        <w:rPr>
          <w:rFonts w:ascii="Arial" w:eastAsiaTheme="majorEastAsia" w:hAnsi="Arial" w:cs="Arial"/>
          <w:b/>
          <w:i/>
          <w:iCs/>
          <w:color w:val="2F5496" w:themeColor="accent1" w:themeShade="BF"/>
        </w:rPr>
      </w:pPr>
      <w:r w:rsidRPr="0063079E">
        <w:rPr>
          <w:rFonts w:ascii="Arial" w:eastAsiaTheme="majorEastAsia" w:hAnsi="Arial" w:cs="Arial"/>
          <w:b/>
          <w:i/>
          <w:iCs/>
          <w:color w:val="2F5496" w:themeColor="accent1" w:themeShade="BF"/>
        </w:rPr>
        <w:t>Blockchains as Internet Infrastructure Extension?</w:t>
      </w:r>
    </w:p>
    <w:p w14:paraId="25F2BEB7"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A further advantage of a properly implemented permissioned blockchain also resides in the possibility to further control </w:t>
      </w:r>
      <w:r w:rsidRPr="0063079E">
        <w:rPr>
          <w:rFonts w:ascii="Arial" w:hAnsi="Arial" w:cs="Arial"/>
          <w:i/>
          <w:color w:val="000000" w:themeColor="text1"/>
        </w:rPr>
        <w:t>who, specifically,</w:t>
      </w:r>
      <w:r w:rsidRPr="0063079E">
        <w:rPr>
          <w:rFonts w:ascii="Arial" w:hAnsi="Arial" w:cs="Arial"/>
          <w:color w:val="000000" w:themeColor="text1"/>
        </w:rPr>
        <w:t xml:space="preserve"> can create a smart contract (in other words, an application on top of the blockchain), and how.</w:t>
      </w:r>
    </w:p>
    <w:p w14:paraId="6C8B33F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Many readers might of course strongly complain that the presence of </w:t>
      </w:r>
      <w:r w:rsidRPr="0063079E">
        <w:rPr>
          <w:rFonts w:ascii="Arial" w:hAnsi="Arial" w:cs="Arial"/>
          <w:i/>
          <w:color w:val="000000" w:themeColor="text1"/>
        </w:rPr>
        <w:t>controlled</w:t>
      </w:r>
      <w:r w:rsidRPr="0063079E">
        <w:rPr>
          <w:rFonts w:ascii="Arial" w:hAnsi="Arial" w:cs="Arial"/>
          <w:color w:val="000000" w:themeColor="text1"/>
        </w:rPr>
        <w:t xml:space="preserve"> parties which manage the chain, along with the possible restrictions set forth in terms of smart contracts’ deployment (or even permissions to transact on the chain) are in sheer contrast with the original decentralisation reasons that have led to the invention and emergence of the Bitcoin’s blockchain. While in principle we highly value full decentralisation 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3355987F"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lastRenderedPageBreak/>
        <w:t>The point we wish to make here is that public, large-scale, infrastructure variants of permissioned blockchains, extending beyond the realm of a specific application, and rather providing a platform, managed by a controlled multiplicity of non-mutually-trusting ”trust providers”,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large-scale trust infrastructure may come along with a Copernican revolution and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validation script (a smart contract) deployed following a clearly specified governance model enforced by the permissioned blockchain infrastructure itself.</w:t>
      </w:r>
    </w:p>
    <w:p w14:paraId="75C80D16" w14:textId="601A0C65"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Before concluding, to bring evidence that our thesis might not be too far to come, we remark that initial steps in this direction have been already made. For instance, the ”Certificate Transparency” initiative </w:t>
      </w:r>
      <w:r w:rsidR="00EA4B7A" w:rsidRPr="0063079E">
        <w:rPr>
          <w:rFonts w:ascii="Arial" w:hAnsi="Arial" w:cs="Arial"/>
          <w:color w:val="000000" w:themeColor="text1"/>
        </w:rPr>
        <w:t xml:space="preserve"> </w:t>
      </w:r>
      <w:r w:rsidR="00EA4B7A">
        <w:rPr>
          <w:rFonts w:ascii="Arial" w:hAnsi="Arial" w:cs="Arial"/>
          <w:color w:val="000000" w:themeColor="text1"/>
        </w:rPr>
        <w:t>[C11-32]</w:t>
      </w:r>
      <w:r>
        <w:rPr>
          <w:rFonts w:ascii="Arial" w:hAnsi="Arial" w:cs="Arial"/>
          <w:color w:val="000000" w:themeColor="text1"/>
        </w:rPr>
        <w:t xml:space="preserve"> </w:t>
      </w:r>
      <w:r w:rsidRPr="0012294F">
        <w:rPr>
          <w:rFonts w:ascii="Arial" w:hAnsi="Arial" w:cs="Arial"/>
          <w:color w:val="000000" w:themeColor="text1"/>
        </w:rPr>
        <w:t>launched in 2014 by Google gave end</w:t>
      </w:r>
      <w:r w:rsidRPr="0063079E">
        <w:rPr>
          <w:rFonts w:ascii="Arial" w:hAnsi="Arial" w:cs="Arial"/>
          <w:color w:val="000000" w:themeColor="text1"/>
        </w:rPr>
        <w:t xml:space="preserve"> users and domain owners the possibility to transparently verify that a formally valid certificate (i.e. correctly signed by a certification authority) was really issued to the domain owner, thus mitigating the problem of fake TLS (Transport Layer Security) certificates. While Google’s massive-scale block-based data structure leverages Merkle Trees and closely reminds a ledger, it is still purpose-specific (tailored to the very special case of TLS Certificates), is not meant to support decentralisation and shared ownership (via consensus), and – most notably – lacks any formal validation of the data inserted, which only a scripting language may provide.</w:t>
      </w:r>
    </w:p>
    <w:p w14:paraId="16AAF3BD"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37555F1F" w14:textId="77777777" w:rsidR="000E7551" w:rsidRPr="0063079E" w:rsidRDefault="000E7551" w:rsidP="000E7551">
      <w:pPr>
        <w:spacing w:after="0" w:line="240" w:lineRule="auto"/>
        <w:jc w:val="both"/>
        <w:rPr>
          <w:rFonts w:ascii="Arial" w:hAnsi="Arial" w:cs="Arial"/>
          <w:color w:val="000000" w:themeColor="text1"/>
        </w:rPr>
      </w:pPr>
    </w:p>
    <w:p w14:paraId="612EEA59" w14:textId="77777777" w:rsidR="000E7551" w:rsidRPr="0063079E" w:rsidRDefault="000E7551" w:rsidP="00DA6395">
      <w:pPr>
        <w:pStyle w:val="Heading3"/>
      </w:pPr>
      <w:bookmarkStart w:id="455" w:name="_Toc509817932"/>
      <w:bookmarkStart w:id="456" w:name="_Toc525463895"/>
      <w:bookmarkStart w:id="457" w:name="_Toc40072064"/>
      <w:bookmarkStart w:id="458" w:name="_Toc42177379"/>
      <w:r w:rsidRPr="0063079E">
        <w:t>Evolution of Protocols</w:t>
      </w:r>
      <w:bookmarkEnd w:id="455"/>
      <w:bookmarkEnd w:id="456"/>
      <w:bookmarkEnd w:id="457"/>
      <w:bookmarkEnd w:id="458"/>
    </w:p>
    <w:p w14:paraId="5FE13A1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Several technological trends will affect protocol development in the following years. These include:</w:t>
      </w:r>
    </w:p>
    <w:p w14:paraId="5E7F45F2"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Achieving ultra-low latency end-to-end communication is now recognised as the most important goal for many applications that will become ubiquitous in the years to come (e.g., networked virtual and augmented reality, automation, etc.). Moreover, for some of these applications (e.g., Augmented Reality (AR) / Virtual Reality (VR)) both ultra-low latency and very high data rates are required, so the traditional latency-throughput trade-off will not be longer applicable.</w:t>
      </w:r>
    </w:p>
    <w:p w14:paraId="53AB45D5"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6CA2CBF3"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 xml:space="preserve">At the same time, the infrastructure underlying 5G networks exposes increasingly diverse characteristics with e.g. Visible Light Communication links, millimetre-wave links and modern WiFi standards. All these access technologies have in common that they no longer emulate the behaviour of a static-capacity bottleneck. The increasing dynamicity of the exposed behaviour is further intensified by a shift towards greater mobility of both humans and machines (increasing usage of cellular networks, and </w:t>
      </w:r>
      <w:r w:rsidRPr="0063079E">
        <w:rPr>
          <w:rFonts w:ascii="Arial" w:hAnsi="Arial" w:cs="Arial"/>
          <w:color w:val="000000" w:themeColor="text1"/>
        </w:rPr>
        <w:lastRenderedPageBreak/>
        <w:t>intrinsically mobile usage scenarios such as Vehicular Networking or Unmanned Aerial Vehicle (UAV) networks).</w:t>
      </w:r>
    </w:p>
    <w:p w14:paraId="3C7725BC"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”locality” of communication for many users (both humans and machines) and applications.</w:t>
      </w:r>
    </w:p>
    <w:p w14:paraId="41EF6BE6"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Increased flexibility in both in-network devices and networking software in end-hosts is becoming the new norm. The former has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90B1ECA" w14:textId="77777777" w:rsidR="000E7551" w:rsidRPr="0063079E" w:rsidRDefault="000E7551" w:rsidP="00124439">
      <w:pPr>
        <w:pStyle w:val="ListParagraph"/>
        <w:numPr>
          <w:ilvl w:val="0"/>
          <w:numId w:val="21"/>
        </w:numPr>
        <w:spacing w:after="120" w:line="240" w:lineRule="auto"/>
        <w:jc w:val="both"/>
        <w:rPr>
          <w:rFonts w:ascii="Arial" w:hAnsi="Arial" w:cs="Arial"/>
          <w:color w:val="000000" w:themeColor="text1"/>
        </w:rPr>
      </w:pPr>
      <w:r w:rsidRPr="0063079E">
        <w:rPr>
          <w:rFonts w:ascii="Arial" w:hAnsi="Arial" w:cs="Arial"/>
          <w:color w:val="000000" w:themeColor="text1"/>
        </w:rPr>
        <w:t>Finally, security, privacy and trust have moved from being an afterthought in the design of new communication protocols, to an absolute necessity in the face of a growing and ever-evolving threat landscape.</w:t>
      </w:r>
    </w:p>
    <w:p w14:paraId="5AA8E2C1"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”bufferbloat” phenomenon, conflicting with trend #1). TCP is also ”blind”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1C0FE8DF"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Some developments that partially address these trends have surfaced: for example, Information 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applications and be suitable for 5G network technologies and beyond.</w:t>
      </w:r>
    </w:p>
    <w:p w14:paraId="296575E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long-term traffic engineering by deploying hardware will of course prevail, but traffic engineering controlled by humans using software will be replaced by automation and new protocols that learn both from historical data and traffic conditions in real time. AI/ML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3469C071"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case, and all communication would switch over to an entirely different technology when this different technology is found to work for a (typically short) end-to-end path?</w:t>
      </w:r>
    </w:p>
    <w:p w14:paraId="5808837E" w14:textId="77777777" w:rsidR="000E7551" w:rsidRDefault="000E7551" w:rsidP="000E7551">
      <w:pPr>
        <w:spacing w:after="0" w:line="240" w:lineRule="auto"/>
        <w:jc w:val="both"/>
        <w:rPr>
          <w:rFonts w:ascii="Arial" w:hAnsi="Arial" w:cs="Arial"/>
          <w:color w:val="000000" w:themeColor="text1"/>
        </w:rPr>
      </w:pPr>
    </w:p>
    <w:p w14:paraId="59A96DCF" w14:textId="77777777" w:rsidR="000E7551" w:rsidRPr="0063079E" w:rsidRDefault="000E7551" w:rsidP="00DA6395">
      <w:pPr>
        <w:pStyle w:val="Heading3"/>
      </w:pPr>
      <w:bookmarkStart w:id="459" w:name="_Toc40072065"/>
      <w:bookmarkStart w:id="460" w:name="_Toc42177380"/>
      <w:r>
        <w:t>Smart Living Environments</w:t>
      </w:r>
      <w:bookmarkEnd w:id="459"/>
      <w:bookmarkEnd w:id="460"/>
    </w:p>
    <w:p w14:paraId="53E693C3" w14:textId="77777777" w:rsidR="000E7551" w:rsidRDefault="000E7551" w:rsidP="000E7551">
      <w:pPr>
        <w:spacing w:after="0" w:line="240" w:lineRule="auto"/>
        <w:jc w:val="both"/>
        <w:rPr>
          <w:rFonts w:ascii="Arial" w:hAnsi="Arial" w:cs="Arial"/>
          <w:color w:val="000000" w:themeColor="text1"/>
        </w:rPr>
      </w:pPr>
    </w:p>
    <w:p w14:paraId="4FBF797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Smart Living Environments (SLE) encompass smart homes, smart city and smart transportations that can support vulnerable people, such as, but not limited to disabled and elderly people. SLE independent and as a part of institutional care settings, also lead to reduced costs for care systems and better quality of life for vulnerable categories of citizens. Most cities are currently completely unfriendly to people with disabilities. By 2050, the number of disabled or with limited-access people worldwide will reach an estimated 940 million people, or 15% of what will be roughly 6.25 billion total urban dwellers, calling an urgency to the UN’s declaration that poor accessibility “presents a major challenge”. Initiatives, such as Smart City for All, aim to help adopting a city for special needs by providing a toolkit that contains four tools to help Smart Cities worldwide include a focus on ICT accessibility and the digital inclusion of persons with disabilities and older persons. Recently Google provided Google Maps with “wheelchair accessible” routes in its navigation to make getting around easier for those with mobility needs. Many other steps are performed by governments, corporations and non-for-profit organizations to fulfill smooth operation of SLEs for humans, especially for those with limited abilities.</w:t>
      </w:r>
    </w:p>
    <w:p w14:paraId="7FA33A4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Recent developments towards so-called Human 2.0 or Augmented Human (AH) focus on the creation of cognitive and physical improvements as an integral part of the human body. These improvements are enabled by specially designed devices, such as leg or hand prosthesis, implants, artificial vision connected to the neural system of an organism, augmented reality glasses, hearing aids, insulin pumps, etc. It is highly anticipated that artificially recreated or extended abilities may improve quality of life and even give some competitive advantages for humans, especially vulnerable ones. Smooth and well-orchestrated communication between devices of AH itself, and AH and SLE becoming an exceptionally challenging due to multidisciplinary nature of a problem that includes implanted devices that are expected to communicate to external devices and be a part of services that can be of a critical nature, such as health-related for instance. A large number of devices deploying in high and ultra-high density and operating in different frequencies post another challenge when for example a signal from a prothesis will not be received due to e.g. a signal of a wheel-chair high-frequency radar coupled with interference from some other SLE high frequency signal, such one from a drone suddenly coming into vicinity.</w:t>
      </w:r>
    </w:p>
    <w:p w14:paraId="33FF4ED2"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The recently introduced emerging paradigms of the Internet of Nano Things (IoNT) and the Internet of Bio-Nano Things (IoBNT) for cyber-physical environment and contribution towards AH have already attracted significant attention within the research community and are currently ramping up on the commercial interest. Accordingly, the well-known concept of the Internet of Things (IoT) has been decisively pushed forward in light of novel research advances made in the field of nanotechnology, nanobioscience, and communications engineering, which enable the construction of networks of embedded computing devices, named nanothings. These devices are constructed from novel nanomaterials such as graphene or metamaterials having the scales that range from one to several hundred nanometers. The IoNT was introduced very recently and is based on the nanoscale devices (nanothings) that owing to their very small sizes can be easily concealed, implanted, and scattered across the environment, wherein they can cooperatively perform sensing, actuation, processing, and networking. While the use of nanothings has the potential to deliver the engineering of devices and systems to unprecedented environments and scales – similar to other devices – they still have the artificial nature, since they are based on synthesized materials, electronic circuits, and interact through electromagnetic (EM) radio communication.</w:t>
      </w:r>
    </w:p>
    <w:p w14:paraId="647F9B8A"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 xml:space="preserve">The IoBNT is based on an analogy between a biological cell and a typical IoT-type embedded computing device. This paradigm shift is a novel research direction in the field of molecular biology and allows for engineering of nanoscale devices and systems. This is done by combining nanotechnology with tools coming from synthetic biology to control, reuse, modify, </w:t>
      </w:r>
      <w:r w:rsidRPr="001123CF">
        <w:rPr>
          <w:rFonts w:ascii="Arial" w:hAnsi="Arial" w:cs="Arial"/>
          <w:color w:val="000000" w:themeColor="text1"/>
        </w:rPr>
        <w:lastRenderedPageBreak/>
        <w:t>and reengineer biological cells. Both of the above concepts were considered as the basis of numerous future applications, such as military, healthcare, and security, thus enabling fundamentally new opportunities in the design of embedded systems.</w:t>
      </w:r>
    </w:p>
    <w:p w14:paraId="0E7EE164"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A nanothing, whether biological or digital, out-of-body (OOB) or inside-the-body (ITB), aims to perform simple tasks of sensing, computation, and actuation. These tasks include e.g., generation of motion, sensing the environmental characteristics, performing chemical reactions, etc. Beyond communicating with each other and forming a sensor network, nanothings are expected to interact with other existing biological and cyber-physical systems to offer a set of new functions that will include medical (e.g., nanomedicine, targeted drug delivery, in vivo sensor and actuator networks, and tissue engineering), environmental (e.g., quality control), information and communications technology (e.g., implantable bio-sensor and actuator networks), and defense systems (e.g., biochemical sensing for anti-bioterrorism) applications.</w:t>
      </w:r>
    </w:p>
    <w:p w14:paraId="34996E27"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Hence, all the nanoscale devices will need to ultimately interface with the Internet and operate together with macroscale networks and systems. To this end, the definition of future network architectures and protocols on top of such integrated systems is a crucial next step in their development. A key new challenge lies in the interconnection of heterogeneous networks, i.e., those composed of different types of biological and artificial nanothings. Ultimately, the realization of interfaces between the electrical domain of the Internet and its biochemical domain will become an unprecedented novel frontier. It will help create a seamless interconnection between today’s cyber-world and the biological environment thus approaching AH and further integrating with SLE.</w:t>
      </w:r>
    </w:p>
    <w:p w14:paraId="7D23AA2D"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As a result, nanoscale communications is a decisive paradigm shift that aims to allow the nanothings to communicate over either electromagnetic waves, similar to existing wireless technologies, or molecular and chemical communications. Although using electromagnetic waves is attractive, existing wireless technology must be adopted to the nanoscale environment due to constraints on the device size, its required energy, and the frequency bands that may be utilized for nanoscale communication. Recent works have demonstrated that it is indeed possible to design nanoantennas of a few hundred nanometers in size, which would operate in the Terahertz (THz) band. Real-world experimental antennas have thus been implemented by using graphene and carbon nanotubes, but groundwork is needed to identify the exact operating frequency, radiation efficiency, and coverage.</w:t>
      </w:r>
    </w:p>
    <w:p w14:paraId="5C4482A6" w14:textId="77777777" w:rsidR="000E7551" w:rsidRPr="001123CF"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This research agenda concentrates on the nanonetworks formed by digital ITB and OOB nanothings based on EM communications, thus playing a significant role in materializing the IoNT vision. The state-of-the-art in EM communications technology currently limits the processing capabilities of the prospective nanothings. As a result, all of the analysis of the collected data needs to be performed on a macro device. Therefore, to effectively enable the envisioned applications of nanonetworks, their seamless integration into the existing networking infrastructure is in prompt demand. In this proposed research agenda, the interoperability between the already deployed macro networks and the emerging nanonetworks will be carefully investigated. Any solutions for this problem are non-trivial, since the existing macro wireless networks primarily employ carrier-based EM communications, whereas nanothings need to rely on the ultra-low-power pulse-based EM radiation or inherently mobile objects as its information carriers.</w:t>
      </w:r>
    </w:p>
    <w:p w14:paraId="4B54EF59" w14:textId="77777777" w:rsidR="000E7551" w:rsidRDefault="000E7551" w:rsidP="000E7551">
      <w:pPr>
        <w:spacing w:after="120" w:line="240" w:lineRule="auto"/>
        <w:jc w:val="both"/>
        <w:rPr>
          <w:rFonts w:ascii="Arial" w:hAnsi="Arial" w:cs="Arial"/>
          <w:color w:val="000000" w:themeColor="text1"/>
        </w:rPr>
      </w:pPr>
      <w:r w:rsidRPr="001123CF">
        <w:rPr>
          <w:rFonts w:ascii="Arial" w:hAnsi="Arial" w:cs="Arial"/>
          <w:color w:val="000000" w:themeColor="text1"/>
        </w:rPr>
        <w:t>Therefore, the much-needed direct interaction between macro and nanonetworks currently remains infeasible. On top of this, contemporary solutions for nanocommunications have to be rapidly augmented to enable construction of large-scale networks on top of the existing link-level techniques. Numerous important questions are hence to be addressed to achieve this goal, ranging from the design of dual antenna systems that allow for interactions on both scales, adequate modulation and coding techniques to efficiently mitigate noise and interference effects, etc. The rapid advancements in IoNT networks and their information theoretic foundations fuel the progress in THz communications.</w:t>
      </w:r>
    </w:p>
    <w:p w14:paraId="146F0965" w14:textId="77777777" w:rsidR="000E7551" w:rsidRDefault="000E7551" w:rsidP="000E7551">
      <w:pPr>
        <w:spacing w:after="0" w:line="240" w:lineRule="auto"/>
        <w:jc w:val="both"/>
        <w:rPr>
          <w:rFonts w:ascii="Arial" w:hAnsi="Arial" w:cs="Arial"/>
          <w:color w:val="000000" w:themeColor="text1"/>
        </w:rPr>
      </w:pPr>
    </w:p>
    <w:p w14:paraId="02C815ED" w14:textId="77777777" w:rsidR="000E7551" w:rsidRPr="0063079E" w:rsidRDefault="000E7551" w:rsidP="000E7551">
      <w:pPr>
        <w:spacing w:after="0" w:line="240" w:lineRule="auto"/>
        <w:jc w:val="both"/>
        <w:rPr>
          <w:rFonts w:ascii="Arial" w:hAnsi="Arial" w:cs="Arial"/>
          <w:color w:val="000000" w:themeColor="text1"/>
        </w:rPr>
      </w:pPr>
    </w:p>
    <w:p w14:paraId="50FDDB58" w14:textId="4F7FBD73" w:rsidR="000E7551" w:rsidRDefault="000E7551" w:rsidP="000E7551">
      <w:pPr>
        <w:pStyle w:val="Heading2"/>
        <w:spacing w:before="0" w:after="120"/>
        <w:ind w:left="578" w:hanging="578"/>
        <w:jc w:val="both"/>
        <w:rPr>
          <w:rFonts w:cs="Arial"/>
          <w:color w:val="000000" w:themeColor="text1"/>
          <w:lang w:eastAsia="de-DE"/>
        </w:rPr>
      </w:pPr>
      <w:bookmarkStart w:id="461" w:name="_Toc509817933"/>
      <w:bookmarkStart w:id="462" w:name="_Toc525463896"/>
      <w:bookmarkStart w:id="463" w:name="_Toc40072066"/>
      <w:bookmarkStart w:id="464" w:name="_Toc42177381"/>
      <w:r w:rsidRPr="0063079E">
        <w:rPr>
          <w:rFonts w:cs="Arial"/>
          <w:color w:val="000000" w:themeColor="text1"/>
          <w:lang w:eastAsia="de-DE"/>
        </w:rPr>
        <w:t>Applications</w:t>
      </w:r>
      <w:bookmarkEnd w:id="461"/>
      <w:bookmarkEnd w:id="462"/>
      <w:bookmarkEnd w:id="463"/>
      <w:bookmarkEnd w:id="464"/>
    </w:p>
    <w:p w14:paraId="7293CDF9" w14:textId="77777777" w:rsidR="005F6376" w:rsidRPr="005F6376" w:rsidRDefault="005F6376" w:rsidP="005F6376">
      <w:pPr>
        <w:rPr>
          <w:lang w:eastAsia="de-DE"/>
        </w:rPr>
      </w:pPr>
    </w:p>
    <w:p w14:paraId="35D4AC4B" w14:textId="77777777" w:rsidR="000E7551" w:rsidRPr="0063079E" w:rsidRDefault="000E7551" w:rsidP="00DA6395">
      <w:pPr>
        <w:pStyle w:val="Heading3"/>
      </w:pPr>
      <w:bookmarkStart w:id="465" w:name="_Toc509817934"/>
      <w:bookmarkStart w:id="466" w:name="_Toc525463897"/>
      <w:bookmarkStart w:id="467" w:name="_Toc40072067"/>
      <w:bookmarkStart w:id="468" w:name="_Toc42177382"/>
      <w:r w:rsidRPr="0063079E">
        <w:t>Application Level Networking</w:t>
      </w:r>
      <w:bookmarkEnd w:id="465"/>
      <w:bookmarkEnd w:id="466"/>
      <w:bookmarkEnd w:id="467"/>
      <w:bookmarkEnd w:id="468"/>
    </w:p>
    <w:p w14:paraId="3AE2844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1EF85E4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 75 % of Internet traffic (</w:t>
      </w:r>
      <w:r w:rsidRPr="005F6376">
        <w:rPr>
          <w:rFonts w:ascii="Arial" w:hAnsi="Arial" w:cs="Arial"/>
          <w:color w:val="000000" w:themeColor="text1"/>
        </w:rPr>
        <w:t>Cisco Visual Networking Index, 2017</w:t>
      </w:r>
      <w:r w:rsidRPr="0063079E">
        <w:rPr>
          <w:rFonts w:ascii="Arial" w:hAnsi="Arial" w:cs="Arial"/>
          <w:color w:val="000000" w:themeColor="text1"/>
        </w:rPr>
        <w:t>).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394560CC"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59F42E2"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w:t>
      </w:r>
      <w:r w:rsidRPr="0063079E">
        <w:rPr>
          <w:rFonts w:ascii="Arial" w:hAnsi="Arial" w:cs="Arial"/>
          <w:color w:val="000000" w:themeColor="text1"/>
        </w:rPr>
        <w:lastRenderedPageBreak/>
        <w:t>user video contribution will increasingly transition from being a pseudo-isochronous feed to be a contribution of tagged-frames, with rich metadata including geolocation and social context, integrated instantly into the web infrastructure for viewing, processing, and redistribution.</w:t>
      </w:r>
    </w:p>
    <w:p w14:paraId="39D5AA99"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Video provenance will become a key issue, to combat ”fake news” and the effects of AI/ML-generated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54FE88E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43D6A6D0"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User device performance is strongly limited by thermal and battery constraints, despite the impressive growth in mobile compute performance. Edge compute, in the form of fog- and cloud-computing,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CCA4970"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 xml:space="preserve">Precursor projects such as NEAT and Post Sockets set the direction for novel APIs and are beginning to set the direction for future API standards but are just the starting point for the evolution in this space. Applications must express their needs for (partial) 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w:t>
      </w:r>
      <w:r>
        <w:rPr>
          <w:rFonts w:ascii="Arial" w:hAnsi="Arial" w:cs="Arial"/>
          <w:color w:val="000000" w:themeColor="text1"/>
        </w:rPr>
        <w:t xml:space="preserve">in </w:t>
      </w:r>
      <w:r w:rsidRPr="0063079E">
        <w:rPr>
          <w:rFonts w:ascii="Arial" w:hAnsi="Arial" w:cs="Arial"/>
          <w:color w:val="000000" w:themeColor="text1"/>
        </w:rPr>
        <w:t>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1770194B" w14:textId="77777777" w:rsidR="000E7551" w:rsidRPr="0063079E" w:rsidRDefault="000E7551" w:rsidP="000E7551">
      <w:pPr>
        <w:spacing w:after="0" w:line="240" w:lineRule="auto"/>
        <w:jc w:val="both"/>
        <w:rPr>
          <w:rFonts w:ascii="Arial" w:hAnsi="Arial" w:cs="Arial"/>
          <w:color w:val="000000" w:themeColor="text1"/>
        </w:rPr>
      </w:pPr>
    </w:p>
    <w:p w14:paraId="42871049" w14:textId="77777777" w:rsidR="000E7551" w:rsidRPr="0063079E" w:rsidRDefault="000E7551" w:rsidP="00DA6395">
      <w:pPr>
        <w:pStyle w:val="Heading3"/>
      </w:pPr>
      <w:bookmarkStart w:id="469" w:name="_Toc509817935"/>
      <w:bookmarkStart w:id="470" w:name="_Toc525463898"/>
      <w:bookmarkStart w:id="471" w:name="_Toc40072068"/>
      <w:bookmarkStart w:id="472" w:name="_Toc42177383"/>
      <w:r w:rsidRPr="0063079E">
        <w:t>Applications (Components) in the Network</w:t>
      </w:r>
      <w:bookmarkEnd w:id="469"/>
      <w:bookmarkEnd w:id="470"/>
      <w:bookmarkEnd w:id="471"/>
      <w:bookmarkEnd w:id="472"/>
    </w:p>
    <w:p w14:paraId="5288A9A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One of the key developments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w:t>
      </w:r>
      <w:r w:rsidRPr="0063079E">
        <w:rPr>
          <w:rFonts w:ascii="Arial" w:hAnsi="Arial" w:cs="Arial"/>
          <w:color w:val="000000" w:themeColor="text1"/>
        </w:rPr>
        <w:lastRenderedPageBreak/>
        <w:t>but also software-defined networks, network function chaining, virtualisation, and container provision. There are numerous challenges developing this vision.</w:t>
      </w:r>
    </w:p>
    <w:p w14:paraId="5FE0F2B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service but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 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53CC0CCD"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increasingly heterogeneous, devices will not be 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61408C3"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 development is needed.</w:t>
      </w:r>
    </w:p>
    <w:p w14:paraId="59A0F715"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 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F33BD18"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Privacy and data management, location of processing and data to match legal and moral restrictions on data distribution, access, and processing become increasingly important. Many </w:t>
      </w:r>
      <w:r w:rsidRPr="0063079E">
        <w:rPr>
          <w:rFonts w:ascii="Arial" w:hAnsi="Arial" w:cs="Arial"/>
          <w:color w:val="000000" w:themeColor="text1"/>
        </w:rPr>
        <w:lastRenderedPageBreak/>
        <w:t>of the services and applications envisaged operate on, process, and deal with personal data, that is increasingly – 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4EE9FABD" w14:textId="77777777" w:rsidR="000E7551" w:rsidRPr="0063079E"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Finally, novel programming models and languages will be needed to support these services, applications, and deployments. We accept that initial deployments will be based on existing infrastructure – Linux containers, virtual machines, and traditional network programming models and protocols – but these are clearly insufficient for the network envisaged for the future. The Linux container model is not secure, is not portable, and offers a programming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Capicsum, that constrain and control what operations a service can perform. Languages like Erlang offer compelling concurrency and fault tolerance mechanisms, but are weak at service orchestration, management, discovery, control, and security. The application of programming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01450745" w14:textId="77777777" w:rsidR="000E7551" w:rsidRPr="0063079E" w:rsidRDefault="000E7551" w:rsidP="000E7551">
      <w:pPr>
        <w:spacing w:after="0" w:line="240" w:lineRule="auto"/>
        <w:jc w:val="both"/>
        <w:rPr>
          <w:rFonts w:ascii="Arial" w:hAnsi="Arial" w:cs="Arial"/>
          <w:color w:val="000000" w:themeColor="text1"/>
        </w:rPr>
      </w:pPr>
    </w:p>
    <w:p w14:paraId="5034970A" w14:textId="77777777" w:rsidR="000E7551" w:rsidRPr="0063079E" w:rsidRDefault="000E7551" w:rsidP="00DA6395">
      <w:pPr>
        <w:pStyle w:val="Heading3"/>
      </w:pPr>
      <w:bookmarkStart w:id="473" w:name="_Toc509817936"/>
      <w:bookmarkStart w:id="474" w:name="_Toc525463899"/>
      <w:bookmarkStart w:id="475" w:name="_Toc40072069"/>
      <w:bookmarkStart w:id="476" w:name="_Toc42177384"/>
      <w:r w:rsidRPr="0063079E">
        <w:t>Applications Making Specific Demands to the Network</w:t>
      </w:r>
      <w:bookmarkEnd w:id="473"/>
      <w:bookmarkEnd w:id="474"/>
      <w:bookmarkEnd w:id="475"/>
      <w:bookmarkEnd w:id="476"/>
    </w:p>
    <w:p w14:paraId="0C93449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 is not fit for purpose. It is too low-level, too limited, and does not expose the dynamic, changing, nature of the network, nor the high-level services and features needed to support modern applications.</w:t>
      </w:r>
    </w:p>
    <w:p w14:paraId="08BAE74B"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0547CF96" w14:textId="77777777" w:rsidR="000E7551" w:rsidRPr="0063079E"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 xml:space="preserve">Higher-layer protocols must be enabled. The network API of the future will not be merely a transport API. Rather, the goal is to instantiate local support services and network functions to support the application and move appropriate data to the user location – subject to privacy and policy constraints – such that processing can happen nearby, meeting quality of </w:t>
      </w:r>
      <w:r w:rsidRPr="0063079E">
        <w:rPr>
          <w:rFonts w:ascii="Arial" w:hAnsi="Arial" w:cs="Arial"/>
          <w:color w:val="000000" w:themeColor="text1"/>
        </w:rPr>
        <w:lastRenderedPageBreak/>
        <w:t>experience latency bounds. The move is away from networking APIs, towards pervasive distributed systems that can run irrespective of the underlying physical infrastructure, and that are location, policy, and regulatory environment aware.</w:t>
      </w:r>
    </w:p>
    <w:p w14:paraId="2EF36ED5" w14:textId="77777777" w:rsidR="000E7551" w:rsidRDefault="000E7551" w:rsidP="000E7551">
      <w:pPr>
        <w:spacing w:after="120" w:line="240" w:lineRule="auto"/>
        <w:jc w:val="both"/>
        <w:rPr>
          <w:rFonts w:ascii="Arial" w:hAnsi="Arial" w:cs="Arial"/>
          <w:color w:val="000000" w:themeColor="text1"/>
        </w:rPr>
      </w:pPr>
      <w:r w:rsidRPr="0063079E">
        <w:rPr>
          <w:rFonts w:ascii="Arial" w:hAnsi="Arial" w:cs="Arial"/>
          <w:color w:val="000000" w:themeColor="text1"/>
        </w:rPr>
        <w:t>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4BEFA3D7" w14:textId="77777777" w:rsidR="000E7551" w:rsidRDefault="000E7551" w:rsidP="000E7551">
      <w:pPr>
        <w:spacing w:after="0" w:line="240" w:lineRule="auto"/>
        <w:jc w:val="both"/>
        <w:rPr>
          <w:rFonts w:ascii="Arial" w:hAnsi="Arial" w:cs="Arial"/>
          <w:color w:val="000000" w:themeColor="text1"/>
        </w:rPr>
      </w:pPr>
      <w:r w:rsidRPr="0063079E">
        <w:rPr>
          <w:rFonts w:ascii="Arial" w:hAnsi="Arial" w:cs="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 the Linux/Unix model is not suitable for the applications of the 21</w:t>
      </w:r>
      <w:r w:rsidRPr="0063079E">
        <w:rPr>
          <w:rFonts w:ascii="Arial" w:hAnsi="Arial" w:cs="Arial"/>
          <w:color w:val="000000" w:themeColor="text1"/>
          <w:vertAlign w:val="superscript"/>
        </w:rPr>
        <w:t>st</w:t>
      </w:r>
      <w:r w:rsidRPr="0063079E">
        <w:rPr>
          <w:rFonts w:ascii="Arial" w:hAnsi="Arial" w:cs="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immense and rely on the effective integration of network transport services, pervasive computing infrastructure, policy, and data management.</w:t>
      </w:r>
    </w:p>
    <w:p w14:paraId="436D4D5E" w14:textId="77777777" w:rsidR="000E7551" w:rsidRDefault="000E7551" w:rsidP="000E7551">
      <w:pPr>
        <w:spacing w:after="0" w:line="240" w:lineRule="auto"/>
        <w:jc w:val="both"/>
        <w:rPr>
          <w:rFonts w:ascii="Arial" w:hAnsi="Arial" w:cs="Arial"/>
          <w:color w:val="000000" w:themeColor="text1"/>
        </w:rPr>
      </w:pPr>
    </w:p>
    <w:p w14:paraId="533DD5F4" w14:textId="77777777" w:rsidR="000E7551" w:rsidRPr="008C3E7E" w:rsidRDefault="000E7551" w:rsidP="000E7551">
      <w:pPr>
        <w:spacing w:after="0" w:line="240" w:lineRule="auto"/>
        <w:jc w:val="both"/>
        <w:rPr>
          <w:rFonts w:ascii="Arial" w:hAnsi="Arial" w:cs="Arial"/>
          <w:color w:val="000000" w:themeColor="text1"/>
        </w:rPr>
      </w:pPr>
      <w:r>
        <w:rPr>
          <w:rFonts w:ascii="Arial" w:hAnsi="Arial" w:cs="Arial"/>
          <w:color w:val="000000" w:themeColor="text1"/>
        </w:rPr>
        <w:t xml:space="preserve">In this context, location is a key requirement common to many applications. </w:t>
      </w:r>
      <w:r w:rsidRPr="008C3E7E">
        <w:rPr>
          <w:rFonts w:ascii="Arial" w:hAnsi="Arial" w:cs="Arial"/>
          <w:color w:val="000000" w:themeColor="text1"/>
        </w:rPr>
        <w:t>Location-Based Services (LBS) and Real-Time Location Systems (RTLS) market is significantly growing, stimulated by the various networked applications offered to the users by the current networks. Nevertheless, localisation aspects (and especially the business exploitation of both localisation information and derived knowledge) have never been considered thoroughly in the network evolution, but have rather been addressed as a valuable, but still aside, add-on to the main communication services that networks are called to provide.</w:t>
      </w:r>
    </w:p>
    <w:p w14:paraId="0645E46F"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We call for the ambitious challenge of realising Smart Networks to incorporate by design technologies and APIs to enable location/context-based services and powerful business analytics on top of them as a way to fully respond to the needs of the vertical applications implementing new personalised services for the end-users.</w:t>
      </w:r>
    </w:p>
    <w:p w14:paraId="4259344A"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Key challenges in the area of network based localisation include:</w:t>
      </w:r>
    </w:p>
    <w:p w14:paraId="7337DD09"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Terminal localisation with sub-meter accuracy</w:t>
      </w:r>
      <w:r w:rsidRPr="008C3E7E">
        <w:rPr>
          <w:rFonts w:ascii="Arial" w:hAnsi="Arial" w:cs="Arial"/>
          <w:color w:val="000000" w:themeColor="text1"/>
        </w:rPr>
        <w:t>. This precision could be required by applications like personal security, infrastructural monitoring (e.g. structural monitoring of buildings, roads, bridges, etc.), etc. it is critical to consolidate the integration of localisation technologies designed into specific subsystems (Wi-Fi, GNSS, Bluetooth, visible light, inertial, etc.) and to enable the collection, interfacing, and fusion of location-based information coming from heterogeneous technologies and subsystems.</w:t>
      </w:r>
    </w:p>
    <w:p w14:paraId="4127A086"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Device-free localisation</w:t>
      </w:r>
      <w:r w:rsidRPr="008C3E7E">
        <w:rPr>
          <w:rFonts w:ascii="Arial" w:hAnsi="Arial" w:cs="Arial"/>
          <w:color w:val="000000" w:themeColor="text1"/>
        </w:rPr>
        <w:t>. The challenge here is to properly design and use a network of sensor radars which are coupled with functions of spatiotemporal analysis of signals backscattered by single and multiple device-free targets (persons, things, and vehicles) and can allow to derive the position information (localisation and tracking) of the target. The work to be done is not only in the integration and processing of the various signals, but also in waveform design to properly obtain localisation accuracy in a given context of propagation, bandwidth, and application. It would be useful to consider mmWave technology to assess the achievable gain in tracking accuracy, as well as to develop innovative algorithms for single and multiple target tracking which make use of signals of opportunity, both radio (such as LTE, DVB, and DAB) and non-radio (i.e. acoustic and visible lights), massive MIMO, etc.</w:t>
      </w:r>
    </w:p>
    <w:p w14:paraId="28461111" w14:textId="77777777" w:rsidR="000E7551" w:rsidRPr="008C3E7E"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lastRenderedPageBreak/>
        <w:t>•</w:t>
      </w:r>
      <w:r w:rsidRPr="008C3E7E">
        <w:rPr>
          <w:rFonts w:ascii="Arial" w:hAnsi="Arial" w:cs="Arial"/>
          <w:color w:val="000000" w:themeColor="text1"/>
        </w:rPr>
        <w:tab/>
      </w:r>
      <w:r w:rsidRPr="008C3E7E">
        <w:rPr>
          <w:rFonts w:ascii="Arial" w:hAnsi="Arial" w:cs="Arial"/>
          <w:b/>
          <w:color w:val="000000" w:themeColor="text1"/>
        </w:rPr>
        <w:t>Spatiotemporal analytics</w:t>
      </w:r>
      <w:r w:rsidRPr="008C3E7E">
        <w:rPr>
          <w:rFonts w:ascii="Arial" w:hAnsi="Arial" w:cs="Arial"/>
          <w:color w:val="000000" w:themeColor="text1"/>
        </w:rPr>
        <w:t>. Analytics are key to provide verticals with elaborate knowledge learned from localisation data. Such analytics will primarily leverage basic spatiotemporal features of individuals or crowds such as presence, position, heading, velocity or trajectory. It is needed to develop analytics that take full advantage of the localisation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23099198" w14:textId="77777777" w:rsidR="000E7551" w:rsidRDefault="000E7551" w:rsidP="000E7551">
      <w:pPr>
        <w:spacing w:after="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sidRPr="008C3E7E">
        <w:rPr>
          <w:rFonts w:ascii="Arial" w:hAnsi="Arial" w:cs="Arial"/>
          <w:b/>
          <w:color w:val="000000" w:themeColor="text1"/>
        </w:rPr>
        <w:t>Multi-modal Analytics</w:t>
      </w:r>
      <w:r w:rsidRPr="008C3E7E">
        <w:rPr>
          <w:rFonts w:ascii="Arial" w:hAnsi="Arial" w:cs="Arial"/>
          <w:color w:val="000000" w:themeColor="text1"/>
        </w:rPr>
        <w:t>. In many domains where localisation is a driving technology, the individuals to be localised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AI/ML models. There is the need to develop novel AI/ML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41233495" w14:textId="77777777" w:rsidR="000E7551" w:rsidRPr="0063079E" w:rsidRDefault="000E7551" w:rsidP="000E7551">
      <w:pPr>
        <w:spacing w:after="120" w:line="240" w:lineRule="auto"/>
        <w:jc w:val="both"/>
        <w:rPr>
          <w:rFonts w:ascii="Arial" w:hAnsi="Arial" w:cs="Arial"/>
          <w:color w:val="000000" w:themeColor="text1"/>
        </w:rPr>
      </w:pPr>
      <w:r w:rsidRPr="008C3E7E">
        <w:rPr>
          <w:rFonts w:ascii="Arial" w:hAnsi="Arial" w:cs="Arial"/>
          <w:color w:val="000000" w:themeColor="text1"/>
        </w:rPr>
        <w:t>•</w:t>
      </w:r>
      <w:r w:rsidRPr="008C3E7E">
        <w:rPr>
          <w:rFonts w:ascii="Arial" w:hAnsi="Arial" w:cs="Arial"/>
          <w:color w:val="000000" w:themeColor="text1"/>
        </w:rPr>
        <w:tab/>
      </w:r>
      <w:r>
        <w:rPr>
          <w:rFonts w:ascii="Arial" w:hAnsi="Arial" w:cs="Arial"/>
          <w:b/>
          <w:color w:val="000000" w:themeColor="text1"/>
        </w:rPr>
        <w:t>Proximity Tracing</w:t>
      </w:r>
      <w:r w:rsidRPr="008C3E7E">
        <w:rPr>
          <w:rFonts w:ascii="Arial" w:hAnsi="Arial" w:cs="Arial"/>
          <w:color w:val="000000" w:themeColor="text1"/>
        </w:rPr>
        <w:t xml:space="preserve">. </w:t>
      </w:r>
      <w:r>
        <w:rPr>
          <w:rFonts w:ascii="Arial" w:hAnsi="Arial" w:cs="Arial"/>
          <w:color w:val="000000" w:themeColor="text1"/>
        </w:rPr>
        <w:t>A recent trend, associated with aspects of tracing, is coming from the need to have simple ways of trace contacts. This recent pressure, associated with the current covid19 crisis, will most probably remain for the future, as a tool for managing future societal crisis, and hopefully without depending on user interaction, but instead on network capabilities. This is a completely different set of requirements to the network (or end devices – both Android and iOS are addressing this challenge) that need to be fulfilled while assuring adequate citizen protection in privacy and security aspects.</w:t>
      </w:r>
    </w:p>
    <w:p w14:paraId="0C46DD23" w14:textId="77777777" w:rsidR="00A06FBC" w:rsidRDefault="00A06FBC">
      <w:pPr>
        <w:rPr>
          <w:rFonts w:ascii="Arial" w:eastAsiaTheme="majorEastAsia" w:hAnsi="Arial" w:cstheme="majorBidi"/>
          <w:b/>
          <w:sz w:val="36"/>
          <w:szCs w:val="32"/>
        </w:rPr>
      </w:pPr>
      <w:r>
        <w:br w:type="page"/>
      </w:r>
    </w:p>
    <w:p w14:paraId="2CD8A96D" w14:textId="5845E3F4" w:rsidR="006F0E59" w:rsidRDefault="006F0E59" w:rsidP="006F0E59">
      <w:pPr>
        <w:pStyle w:val="Heading1"/>
      </w:pPr>
      <w:bookmarkStart w:id="477" w:name="_Toc42177385"/>
      <w:r>
        <w:lastRenderedPageBreak/>
        <w:t>Annex 1: SDG Evaluation Examples</w:t>
      </w:r>
      <w:bookmarkEnd w:id="477"/>
    </w:p>
    <w:p w14:paraId="202524CF" w14:textId="3783D8BA" w:rsidR="006F0E59" w:rsidRDefault="006F0E59" w:rsidP="006F0E59"/>
    <w:p w14:paraId="373A704D" w14:textId="77777777" w:rsidR="006F0E59" w:rsidRPr="006F0E59" w:rsidRDefault="006F0E59" w:rsidP="006F0E59">
      <w:pPr>
        <w:pStyle w:val="Maintext"/>
        <w:rPr>
          <w:b/>
          <w:lang w:val="en-US"/>
        </w:rPr>
      </w:pPr>
      <w:r w:rsidRPr="006F0E59">
        <w:rPr>
          <w:b/>
        </w:rPr>
        <w:t>Example 1: SDG 2 – Zero Hunger</w:t>
      </w:r>
      <w:r w:rsidRPr="006F0E59">
        <w:rPr>
          <w:b/>
          <w:lang w:val="en-US"/>
        </w:rPr>
        <w:t> </w:t>
      </w:r>
    </w:p>
    <w:p w14:paraId="57F300B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206EE537" w14:textId="77777777" w:rsidR="006F0E59" w:rsidRPr="00407A21" w:rsidRDefault="006F0E59" w:rsidP="00124439">
      <w:pPr>
        <w:numPr>
          <w:ilvl w:val="0"/>
          <w:numId w:val="50"/>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2.3:</w:t>
      </w:r>
      <w:r w:rsidRPr="00407A21">
        <w:rPr>
          <w:rFonts w:ascii="Arial" w:eastAsia="Times New Roman" w:hAnsi="Arial" w:cs="Arial"/>
          <w:color w:val="000000"/>
        </w:rPr>
        <w:t xml:space="preserve"> </w:t>
      </w:r>
      <w:r w:rsidRPr="00407A21">
        <w:rPr>
          <w:rFonts w:ascii="Arial" w:eastAsia="Times New Roman" w:hAnsi="Arial" w:cs="Arial"/>
          <w:color w:val="000000"/>
          <w:u w:val="single"/>
        </w:rPr>
        <w:t>By 2030, double the agricultural productivity and incomes of small-scale food producers</w:t>
      </w:r>
      <w:r w:rsidRPr="00407A21">
        <w:rPr>
          <w:rFonts w:ascii="Arial" w:eastAsia="Times New Roman" w:hAnsi="Arial" w:cs="Arial"/>
          <w:color w:val="000000"/>
        </w:rPr>
        <w:t xml:space="preserve">, especially women, indigenous peoples, family farmers, pastoralists and fishers, including through secure and equal access to land, other productive resources and inputs, </w:t>
      </w:r>
      <w:r w:rsidRPr="00407A21">
        <w:rPr>
          <w:rFonts w:ascii="Arial" w:eastAsia="Times New Roman" w:hAnsi="Arial" w:cs="Arial"/>
          <w:color w:val="000000"/>
          <w:u w:val="single"/>
        </w:rPr>
        <w:t>knowledge, financial services, markets and opportunities for value addition and non-farm employment.</w:t>
      </w:r>
      <w:r w:rsidRPr="00407A21">
        <w:rPr>
          <w:rFonts w:ascii="Arial" w:eastAsia="Times New Roman" w:hAnsi="Arial" w:cs="Arial"/>
          <w:lang w:val="en-US"/>
        </w:rPr>
        <w:t> </w:t>
      </w:r>
    </w:p>
    <w:p w14:paraId="40D33AF5" w14:textId="5E11531E" w:rsidR="006F0E59" w:rsidRPr="006F0E59" w:rsidRDefault="006F0E59" w:rsidP="00124439">
      <w:pPr>
        <w:numPr>
          <w:ilvl w:val="0"/>
          <w:numId w:val="50"/>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2.C:</w:t>
      </w:r>
      <w:r w:rsidRPr="00407A21">
        <w:rPr>
          <w:rFonts w:ascii="Arial" w:eastAsia="Times New Roman" w:hAnsi="Arial" w:cs="Arial"/>
          <w:color w:val="000000"/>
        </w:rPr>
        <w:t xml:space="preserve"> Adopt measures to ensure the proper functioning of food commodity markets and their derivatives and </w:t>
      </w:r>
      <w:r w:rsidRPr="00407A21">
        <w:rPr>
          <w:rFonts w:ascii="Arial" w:eastAsia="Times New Roman" w:hAnsi="Arial" w:cs="Arial"/>
          <w:color w:val="000000"/>
          <w:u w:val="single"/>
        </w:rPr>
        <w:t>facilitate timely access to market information, including on food reserves, in order to help limit extreme food price volatility.</w:t>
      </w:r>
      <w:r w:rsidRPr="00407A21">
        <w:rPr>
          <w:rFonts w:ascii="Arial" w:eastAsia="Times New Roman" w:hAnsi="Arial" w:cs="Arial"/>
          <w:lang w:val="en-US"/>
        </w:rPr>
        <w:t> </w:t>
      </w:r>
    </w:p>
    <w:p w14:paraId="0289A46C"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7575676C" w14:textId="77777777" w:rsidR="006F0E59" w:rsidRPr="00407A21" w:rsidRDefault="006F0E59" w:rsidP="00124439">
      <w:pPr>
        <w:numPr>
          <w:ilvl w:val="0"/>
          <w:numId w:val="5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Improve productivity and decrease cost through innovative production processes (e.g., smart farming, remote machinery operation).</w:t>
      </w:r>
      <w:r w:rsidRPr="00407A21">
        <w:rPr>
          <w:rFonts w:ascii="Arial" w:eastAsia="Times New Roman" w:hAnsi="Arial" w:cs="Arial"/>
          <w:lang w:val="en-US"/>
        </w:rPr>
        <w:t> </w:t>
      </w:r>
    </w:p>
    <w:p w14:paraId="340D902D" w14:textId="77777777" w:rsidR="006F0E59" w:rsidRPr="00407A21" w:rsidRDefault="006F0E59" w:rsidP="00124439">
      <w:pPr>
        <w:numPr>
          <w:ilvl w:val="0"/>
          <w:numId w:val="5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specialised information for some cases in real time (e.g., health of crops using AR/VR systems).</w:t>
      </w:r>
      <w:r w:rsidRPr="00407A21">
        <w:rPr>
          <w:rFonts w:ascii="Arial" w:eastAsia="Times New Roman" w:hAnsi="Arial" w:cs="Arial"/>
          <w:lang w:val="en-US"/>
        </w:rPr>
        <w:t> </w:t>
      </w:r>
    </w:p>
    <w:p w14:paraId="0760D529" w14:textId="77777777" w:rsidR="006F0E59" w:rsidRPr="00407A21" w:rsidRDefault="006F0E59" w:rsidP="00124439">
      <w:pPr>
        <w:numPr>
          <w:ilvl w:val="0"/>
          <w:numId w:val="5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access to markets and information in a globalised environment.</w:t>
      </w:r>
      <w:r w:rsidRPr="00407A21">
        <w:rPr>
          <w:rFonts w:ascii="Arial" w:eastAsia="Times New Roman" w:hAnsi="Arial" w:cs="Arial"/>
          <w:lang w:val="en-US"/>
        </w:rPr>
        <w:t> </w:t>
      </w:r>
    </w:p>
    <w:p w14:paraId="28DE2BF6" w14:textId="77777777" w:rsidR="006F0E59" w:rsidRPr="00407A21" w:rsidRDefault="006F0E59" w:rsidP="00124439">
      <w:pPr>
        <w:numPr>
          <w:ilvl w:val="0"/>
          <w:numId w:val="59"/>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Provide the means for end-to-end product traceability information.</w:t>
      </w:r>
      <w:r w:rsidRPr="00407A21">
        <w:rPr>
          <w:rFonts w:ascii="Arial" w:eastAsia="Times New Roman" w:hAnsi="Arial" w:cs="Arial"/>
          <w:lang w:val="en-US"/>
        </w:rPr>
        <w:t> </w:t>
      </w:r>
    </w:p>
    <w:p w14:paraId="6E493A55"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0A4FB10A"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2E477E50"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Easy connection and management of massive IoT devices.</w:t>
      </w:r>
      <w:r w:rsidRPr="00407A21">
        <w:rPr>
          <w:rFonts w:ascii="Arial" w:eastAsia="Times New Roman" w:hAnsi="Arial" w:cs="Arial"/>
          <w:lang w:val="en-US"/>
        </w:rPr>
        <w:t> </w:t>
      </w:r>
    </w:p>
    <w:p w14:paraId="07C586F4"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Support the automation of the farming activities (autonomic and remotely operated farming machinery).</w:t>
      </w:r>
      <w:r w:rsidRPr="00407A21">
        <w:rPr>
          <w:rFonts w:ascii="Arial" w:eastAsia="Times New Roman" w:hAnsi="Arial" w:cs="Arial"/>
          <w:lang w:val="en-US"/>
        </w:rPr>
        <w:t> </w:t>
      </w:r>
    </w:p>
    <w:p w14:paraId="3FD6E17C"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Collection and management of vast amounts of information of localised significance.</w:t>
      </w:r>
      <w:r w:rsidRPr="00407A21">
        <w:rPr>
          <w:rFonts w:ascii="Arial" w:eastAsia="Times New Roman" w:hAnsi="Arial" w:cs="Arial"/>
          <w:lang w:val="en-US"/>
        </w:rPr>
        <w:t> </w:t>
      </w:r>
    </w:p>
    <w:p w14:paraId="31951748"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Access to AI based systems to receive specialised information.</w:t>
      </w:r>
      <w:r w:rsidRPr="00407A21">
        <w:rPr>
          <w:rFonts w:ascii="Arial" w:eastAsia="Times New Roman" w:hAnsi="Arial" w:cs="Arial"/>
          <w:lang w:val="en-US"/>
        </w:rPr>
        <w:t> </w:t>
      </w:r>
    </w:p>
    <w:p w14:paraId="3FAAF8B4" w14:textId="77777777" w:rsidR="006F0E59" w:rsidRPr="00407A21" w:rsidRDefault="006F0E59" w:rsidP="00124439">
      <w:pPr>
        <w:numPr>
          <w:ilvl w:val="0"/>
          <w:numId w:val="58"/>
        </w:numPr>
        <w:spacing w:before="100" w:beforeAutospacing="1" w:after="100" w:afterAutospacing="1" w:line="240" w:lineRule="auto"/>
        <w:ind w:left="1418"/>
        <w:jc w:val="both"/>
        <w:textAlignment w:val="baseline"/>
        <w:rPr>
          <w:rFonts w:ascii="Arial" w:eastAsia="Times New Roman" w:hAnsi="Arial" w:cs="Arial"/>
          <w:lang w:val="en-US"/>
        </w:rPr>
      </w:pPr>
      <w:r w:rsidRPr="00407A21">
        <w:rPr>
          <w:rFonts w:ascii="Arial" w:eastAsia="Times New Roman" w:hAnsi="Arial" w:cs="Arial"/>
          <w:color w:val="000000"/>
        </w:rPr>
        <w:t>Global coverage and always on connectivity in an affordable way.</w:t>
      </w:r>
      <w:r w:rsidRPr="00407A21">
        <w:rPr>
          <w:rFonts w:ascii="Arial" w:eastAsia="Times New Roman" w:hAnsi="Arial" w:cs="Arial"/>
          <w:lang w:val="en-US"/>
        </w:rPr>
        <w:t> </w:t>
      </w:r>
    </w:p>
    <w:p w14:paraId="1D13D92D"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1D7F4747"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36DE1D8D"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advanced ad-hoc mode of operation, support mMTC and URLLC networks, satellite communications etc.).</w:t>
      </w:r>
      <w:r w:rsidRPr="00407A21">
        <w:rPr>
          <w:rFonts w:ascii="Arial" w:eastAsia="Times New Roman" w:hAnsi="Arial" w:cs="Arial"/>
          <w:lang w:val="en-US"/>
        </w:rPr>
        <w:t> </w:t>
      </w:r>
    </w:p>
    <w:p w14:paraId="02206AE4"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Self-reacting core-orchestrators.</w:t>
      </w:r>
      <w:r w:rsidRPr="00407A21">
        <w:rPr>
          <w:rFonts w:ascii="Arial" w:eastAsia="Times New Roman" w:hAnsi="Arial" w:cs="Arial"/>
          <w:lang w:val="en-US"/>
        </w:rPr>
        <w:t> </w:t>
      </w:r>
    </w:p>
    <w:p w14:paraId="30B156F0"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(NFV/SDN, advanced edge computing and meta-data, energy efficient mechanisms).</w:t>
      </w:r>
      <w:r w:rsidRPr="00407A21">
        <w:rPr>
          <w:rFonts w:ascii="Arial" w:eastAsia="Times New Roman" w:hAnsi="Arial" w:cs="Arial"/>
          <w:lang w:val="en-US"/>
        </w:rPr>
        <w:t> </w:t>
      </w:r>
    </w:p>
    <w:p w14:paraId="1E61122E"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Software defined security, distributed trust systems.</w:t>
      </w:r>
      <w:r w:rsidRPr="00407A21">
        <w:rPr>
          <w:rFonts w:ascii="Arial" w:eastAsia="Times New Roman" w:hAnsi="Arial" w:cs="Arial"/>
          <w:lang w:val="en-US"/>
        </w:rPr>
        <w:t> </w:t>
      </w:r>
    </w:p>
    <w:p w14:paraId="0D0322CA"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Scalable management of massive deployment distributed autonomous and cooperative computing, nanothings networking.</w:t>
      </w:r>
      <w:r w:rsidRPr="00407A21">
        <w:rPr>
          <w:rFonts w:ascii="Arial" w:eastAsia="Times New Roman" w:hAnsi="Arial" w:cs="Arial"/>
          <w:lang w:val="en-US"/>
        </w:rPr>
        <w:t> </w:t>
      </w:r>
    </w:p>
    <w:p w14:paraId="4C5A5C13" w14:textId="77777777" w:rsidR="006F0E59" w:rsidRPr="00407A21"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Energy efficiency through improved RF components and systems.</w:t>
      </w:r>
      <w:r w:rsidRPr="00407A21">
        <w:rPr>
          <w:rFonts w:ascii="Arial" w:eastAsia="Times New Roman" w:hAnsi="Arial" w:cs="Arial"/>
          <w:lang w:val="en-US"/>
        </w:rPr>
        <w:t> </w:t>
      </w:r>
    </w:p>
    <w:p w14:paraId="11E4E82A" w14:textId="284DB031" w:rsidR="006F0E59" w:rsidRPr="006F0E59" w:rsidRDefault="006F0E59" w:rsidP="00124439">
      <w:pPr>
        <w:numPr>
          <w:ilvl w:val="0"/>
          <w:numId w:val="55"/>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Swarm computing.</w:t>
      </w:r>
      <w:r w:rsidRPr="00407A21">
        <w:rPr>
          <w:rFonts w:ascii="Arial" w:eastAsia="Times New Roman" w:hAnsi="Arial" w:cs="Arial"/>
          <w:lang w:val="en-US"/>
        </w:rPr>
        <w:t> </w:t>
      </w:r>
    </w:p>
    <w:p w14:paraId="15AB42D7" w14:textId="77777777" w:rsidR="006F0E59" w:rsidRPr="006F0E59" w:rsidRDefault="006F0E59" w:rsidP="006F0E59">
      <w:pPr>
        <w:pStyle w:val="Maintext"/>
        <w:rPr>
          <w:b/>
          <w:lang w:val="en-US"/>
        </w:rPr>
      </w:pPr>
      <w:r w:rsidRPr="006F0E59">
        <w:rPr>
          <w:b/>
        </w:rPr>
        <w:lastRenderedPageBreak/>
        <w:t>Example 2: SDG 3 – Good Health and well-being</w:t>
      </w:r>
      <w:r w:rsidRPr="006F0E59">
        <w:rPr>
          <w:b/>
          <w:lang w:val="en-US"/>
        </w:rPr>
        <w:t> </w:t>
      </w:r>
    </w:p>
    <w:p w14:paraId="662FF2B1"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From the description of SDG 2 the most relevant goals to the SNS Programme are the following:</w:t>
      </w:r>
      <w:r w:rsidRPr="00407A21">
        <w:rPr>
          <w:rFonts w:ascii="Arial" w:eastAsia="Times New Roman" w:hAnsi="Arial" w:cs="Arial"/>
          <w:lang w:val="en-US"/>
        </w:rPr>
        <w:t> </w:t>
      </w:r>
    </w:p>
    <w:p w14:paraId="587E602B" w14:textId="77777777" w:rsidR="006F0E59" w:rsidRPr="00407A21" w:rsidRDefault="006F0E59" w:rsidP="00124439">
      <w:pPr>
        <w:numPr>
          <w:ilvl w:val="0"/>
          <w:numId w:val="51"/>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3.6:</w:t>
      </w:r>
      <w:r w:rsidRPr="00407A21">
        <w:rPr>
          <w:rFonts w:ascii="Arial" w:eastAsia="Times New Roman" w:hAnsi="Arial" w:cs="Arial"/>
          <w:color w:val="000000"/>
        </w:rPr>
        <w:t xml:space="preserve"> By 2020, halve the number of global deaths and injuries from </w:t>
      </w:r>
      <w:r w:rsidRPr="00407A21">
        <w:rPr>
          <w:rFonts w:ascii="Arial" w:eastAsia="Times New Roman" w:hAnsi="Arial" w:cs="Arial"/>
          <w:color w:val="000000"/>
          <w:u w:val="single"/>
        </w:rPr>
        <w:t>road traffic accidents</w:t>
      </w:r>
      <w:r w:rsidRPr="00407A21">
        <w:rPr>
          <w:rFonts w:ascii="Arial" w:eastAsia="Times New Roman" w:hAnsi="Arial" w:cs="Arial"/>
          <w:color w:val="000000"/>
        </w:rPr>
        <w:t>.</w:t>
      </w:r>
      <w:r w:rsidRPr="00407A21">
        <w:rPr>
          <w:rFonts w:ascii="Arial" w:eastAsia="Times New Roman" w:hAnsi="Arial" w:cs="Arial"/>
          <w:lang w:val="en-US"/>
        </w:rPr>
        <w:t> </w:t>
      </w:r>
    </w:p>
    <w:p w14:paraId="033C32BB" w14:textId="77777777" w:rsidR="006F0E59" w:rsidRPr="00407A21" w:rsidRDefault="006F0E59" w:rsidP="00124439">
      <w:pPr>
        <w:numPr>
          <w:ilvl w:val="0"/>
          <w:numId w:val="51"/>
        </w:numPr>
        <w:spacing w:before="100" w:beforeAutospacing="1" w:after="100" w:afterAutospacing="1"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b/>
          <w:bCs/>
          <w:color w:val="000000"/>
        </w:rPr>
        <w:t>Goal 3.8:</w:t>
      </w:r>
      <w:r w:rsidRPr="00407A21">
        <w:rPr>
          <w:rFonts w:ascii="Arial" w:eastAsia="Times New Roman" w:hAnsi="Arial" w:cs="Arial"/>
          <w:color w:val="000000"/>
        </w:rPr>
        <w:t xml:space="preserve"> Achieve </w:t>
      </w:r>
      <w:r w:rsidRPr="00407A21">
        <w:rPr>
          <w:rFonts w:ascii="Arial" w:eastAsia="Times New Roman" w:hAnsi="Arial" w:cs="Arial"/>
          <w:color w:val="000000"/>
          <w:u w:val="single"/>
        </w:rPr>
        <w:t>universal health coverage, including financial risk protection, access to quality essential health-care services</w:t>
      </w:r>
      <w:r w:rsidRPr="00407A21">
        <w:rPr>
          <w:rFonts w:ascii="Arial" w:eastAsia="Times New Roman" w:hAnsi="Arial" w:cs="Arial"/>
          <w:color w:val="000000"/>
        </w:rPr>
        <w:t xml:space="preserve"> and access to safe, effective, quality and affordable essential medicines and vaccines for all.</w:t>
      </w:r>
      <w:r w:rsidRPr="00407A21">
        <w:rPr>
          <w:rFonts w:ascii="Arial" w:eastAsia="Times New Roman" w:hAnsi="Arial" w:cs="Arial"/>
          <w:lang w:val="en-US"/>
        </w:rPr>
        <w:t> </w:t>
      </w:r>
    </w:p>
    <w:p w14:paraId="3772F2FF"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4FE0E9EB"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u w:val="single"/>
        </w:rPr>
        <w:t>Indicative use cases are:</w:t>
      </w:r>
      <w:r w:rsidRPr="00407A21">
        <w:rPr>
          <w:rFonts w:ascii="Arial" w:eastAsia="Times New Roman" w:hAnsi="Arial" w:cs="Arial"/>
          <w:lang w:val="en-US"/>
        </w:rPr>
        <w:t> </w:t>
      </w:r>
    </w:p>
    <w:p w14:paraId="027ABF95" w14:textId="77777777" w:rsidR="006F0E59" w:rsidRPr="00407A21" w:rsidRDefault="006F0E59" w:rsidP="00124439">
      <w:pPr>
        <w:numPr>
          <w:ilvl w:val="0"/>
          <w:numId w:val="52"/>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improved road safety solution for vehicles and pedestrians.</w:t>
      </w:r>
      <w:r w:rsidRPr="00407A21">
        <w:rPr>
          <w:rFonts w:ascii="Arial" w:eastAsia="Times New Roman" w:hAnsi="Arial" w:cs="Arial"/>
          <w:lang w:val="en-US"/>
        </w:rPr>
        <w:t> </w:t>
      </w:r>
    </w:p>
    <w:p w14:paraId="3A145720" w14:textId="77777777" w:rsidR="006F0E59" w:rsidRPr="00407A21" w:rsidRDefault="006F0E59" w:rsidP="00124439">
      <w:pPr>
        <w:numPr>
          <w:ilvl w:val="0"/>
          <w:numId w:val="53"/>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access to advanced health services (e.g., remote surgery).</w:t>
      </w:r>
      <w:r w:rsidRPr="00407A21">
        <w:rPr>
          <w:rFonts w:ascii="Arial" w:eastAsia="Times New Roman" w:hAnsi="Arial" w:cs="Arial"/>
          <w:lang w:val="en-US"/>
        </w:rPr>
        <w:t> </w:t>
      </w:r>
    </w:p>
    <w:p w14:paraId="395F2F9C" w14:textId="77777777" w:rsidR="006F0E59" w:rsidRDefault="006F0E59" w:rsidP="00124439">
      <w:pPr>
        <w:numPr>
          <w:ilvl w:val="0"/>
          <w:numId w:val="54"/>
        </w:numPr>
        <w:spacing w:after="0" w:line="240" w:lineRule="auto"/>
        <w:ind w:left="1080" w:firstLine="0"/>
        <w:jc w:val="both"/>
        <w:textAlignment w:val="baseline"/>
        <w:rPr>
          <w:rFonts w:ascii="Arial" w:eastAsia="Times New Roman" w:hAnsi="Arial" w:cs="Arial"/>
          <w:lang w:val="en-US"/>
        </w:rPr>
      </w:pPr>
      <w:r w:rsidRPr="00407A21">
        <w:rPr>
          <w:rFonts w:ascii="Arial" w:eastAsia="Times New Roman" w:hAnsi="Arial" w:cs="Arial"/>
          <w:color w:val="000000"/>
        </w:rPr>
        <w:t>Provide support for advanced warning system.</w:t>
      </w:r>
      <w:r w:rsidRPr="00407A21">
        <w:rPr>
          <w:rFonts w:ascii="Arial" w:eastAsia="Times New Roman" w:hAnsi="Arial" w:cs="Arial"/>
          <w:lang w:val="en-US"/>
        </w:rPr>
        <w:t> </w:t>
      </w:r>
    </w:p>
    <w:p w14:paraId="13B23B02"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The corresponding workflow examples are:</w:t>
      </w:r>
      <w:r w:rsidRPr="00407A21">
        <w:rPr>
          <w:rFonts w:ascii="Arial" w:eastAsia="Times New Roman" w:hAnsi="Arial" w:cs="Arial"/>
          <w:lang w:val="en-US"/>
        </w:rPr>
        <w:t> </w:t>
      </w:r>
    </w:p>
    <w:p w14:paraId="378E6C35" w14:textId="77777777" w:rsidR="006F0E59" w:rsidRPr="00407A21" w:rsidRDefault="006F0E59" w:rsidP="00124439">
      <w:pPr>
        <w:numPr>
          <w:ilvl w:val="0"/>
          <w:numId w:val="5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V2X communication systems for gradually introduce new levels of autonomous driving.</w:t>
      </w:r>
      <w:r w:rsidRPr="00407A21">
        <w:rPr>
          <w:rFonts w:ascii="Arial" w:eastAsia="Times New Roman" w:hAnsi="Arial" w:cs="Arial"/>
          <w:lang w:val="en-US"/>
        </w:rPr>
        <w:t> </w:t>
      </w:r>
    </w:p>
    <w:p w14:paraId="6DD9F4BC" w14:textId="77777777" w:rsidR="006F0E59" w:rsidRPr="00407A21" w:rsidRDefault="006F0E59" w:rsidP="00124439">
      <w:pPr>
        <w:numPr>
          <w:ilvl w:val="0"/>
          <w:numId w:val="5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Connection to real time and non-real time medical services and doctors even to remote places.</w:t>
      </w:r>
      <w:r w:rsidRPr="00407A21">
        <w:rPr>
          <w:rFonts w:ascii="Arial" w:eastAsia="Times New Roman" w:hAnsi="Arial" w:cs="Arial"/>
          <w:lang w:val="en-US"/>
        </w:rPr>
        <w:t> </w:t>
      </w:r>
    </w:p>
    <w:p w14:paraId="5D8EB513" w14:textId="77777777" w:rsidR="006F0E59" w:rsidRPr="00407A21" w:rsidRDefault="006F0E59" w:rsidP="00124439">
      <w:pPr>
        <w:numPr>
          <w:ilvl w:val="0"/>
          <w:numId w:val="56"/>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Access in a secure way to AI based systems to receive specialized medical information.</w:t>
      </w:r>
      <w:r w:rsidRPr="00407A21">
        <w:rPr>
          <w:rFonts w:ascii="Arial" w:eastAsia="Times New Roman" w:hAnsi="Arial" w:cs="Arial"/>
          <w:lang w:val="en-US"/>
        </w:rPr>
        <w:t> </w:t>
      </w:r>
    </w:p>
    <w:p w14:paraId="46C57F9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lang w:val="en-US"/>
        </w:rPr>
        <w:t> </w:t>
      </w:r>
    </w:p>
    <w:p w14:paraId="21BC3D44" w14:textId="77777777" w:rsidR="006F0E59" w:rsidRPr="00407A21" w:rsidRDefault="006F0E59" w:rsidP="006F0E59">
      <w:pPr>
        <w:spacing w:before="100" w:beforeAutospacing="1" w:after="100" w:afterAutospacing="1" w:line="240" w:lineRule="auto"/>
        <w:jc w:val="both"/>
        <w:textAlignment w:val="baseline"/>
        <w:rPr>
          <w:rFonts w:ascii="Times New Roman" w:eastAsia="Times New Roman" w:hAnsi="Times New Roman" w:cs="Times New Roman"/>
          <w:sz w:val="24"/>
          <w:szCs w:val="24"/>
          <w:lang w:val="en-US"/>
        </w:rPr>
      </w:pPr>
      <w:r w:rsidRPr="00407A21">
        <w:rPr>
          <w:rFonts w:ascii="Arial" w:eastAsia="Times New Roman" w:hAnsi="Arial" w:cs="Arial"/>
          <w:color w:val="000000"/>
        </w:rPr>
        <w:t>Finally, the needed ICT building blocks to support the abovementioned workflow are:</w:t>
      </w:r>
      <w:r w:rsidRPr="00407A21">
        <w:rPr>
          <w:rFonts w:ascii="Arial" w:eastAsia="Times New Roman" w:hAnsi="Arial" w:cs="Arial"/>
          <w:lang w:val="en-US"/>
        </w:rPr>
        <w:t> </w:t>
      </w:r>
    </w:p>
    <w:p w14:paraId="4D870DC7"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Support of novel functional architecture (e.g., slicing, support URLLC networks, integrated fixed-mobile architectures, satellite communications, intent-driven and AI/ML management of network etc.).</w:t>
      </w:r>
      <w:r w:rsidRPr="00407A21">
        <w:rPr>
          <w:rFonts w:ascii="Arial" w:eastAsia="Times New Roman" w:hAnsi="Arial" w:cs="Arial"/>
          <w:lang w:val="en-US"/>
        </w:rPr>
        <w:t> </w:t>
      </w:r>
    </w:p>
    <w:p w14:paraId="51286E59"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Seamless fog/edge/cloud orchestration to support V2X Application servers.</w:t>
      </w:r>
      <w:r w:rsidRPr="00407A21">
        <w:rPr>
          <w:rFonts w:ascii="Arial" w:eastAsia="Times New Roman" w:hAnsi="Arial" w:cs="Arial"/>
          <w:lang w:val="en-US"/>
        </w:rPr>
        <w:t> </w:t>
      </w:r>
    </w:p>
    <w:p w14:paraId="171E2B1F"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Provide efficient and affordable means for coverage and capacity in telecommunication systems (spectrum, bandwidth adaptation, advanced edge computing, improved radio technology and signal processing, e.g., Terahertz, mmWave, VLC, capacity scaling).</w:t>
      </w:r>
      <w:r w:rsidRPr="00407A21">
        <w:rPr>
          <w:rFonts w:ascii="Arial" w:eastAsia="Times New Roman" w:hAnsi="Arial" w:cs="Arial"/>
          <w:lang w:val="en-US"/>
        </w:rPr>
        <w:t> </w:t>
      </w:r>
    </w:p>
    <w:p w14:paraId="7B68EF1E"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Network wide security and trust on an end-to-end basis.</w:t>
      </w:r>
      <w:r w:rsidRPr="00407A21">
        <w:rPr>
          <w:rFonts w:ascii="Arial" w:eastAsia="Times New Roman" w:hAnsi="Arial" w:cs="Arial"/>
          <w:lang w:val="en-US"/>
        </w:rPr>
        <w:t> </w:t>
      </w:r>
    </w:p>
    <w:p w14:paraId="03AA4E35" w14:textId="77777777" w:rsidR="006F0E59" w:rsidRPr="00407A21" w:rsidRDefault="006F0E59" w:rsidP="00124439">
      <w:pPr>
        <w:numPr>
          <w:ilvl w:val="0"/>
          <w:numId w:val="57"/>
        </w:numPr>
        <w:spacing w:after="0" w:line="240" w:lineRule="auto"/>
        <w:ind w:left="1276"/>
        <w:jc w:val="both"/>
        <w:textAlignment w:val="baseline"/>
        <w:rPr>
          <w:rFonts w:ascii="Arial" w:eastAsia="Times New Roman" w:hAnsi="Arial" w:cs="Arial"/>
          <w:lang w:val="en-US"/>
        </w:rPr>
      </w:pPr>
      <w:r w:rsidRPr="00407A21">
        <w:rPr>
          <w:rFonts w:ascii="Arial" w:eastAsia="Times New Roman" w:hAnsi="Arial" w:cs="Arial"/>
          <w:color w:val="000000"/>
        </w:rPr>
        <w:t>Native integration of AI and ML solutions for both the network and the applications.</w:t>
      </w:r>
      <w:r w:rsidRPr="00407A21">
        <w:rPr>
          <w:rFonts w:ascii="Arial" w:eastAsia="Times New Roman" w:hAnsi="Arial" w:cs="Arial"/>
          <w:lang w:val="en-US"/>
        </w:rPr>
        <w:t> </w:t>
      </w:r>
    </w:p>
    <w:p w14:paraId="581E3109" w14:textId="77777777" w:rsidR="006F0E59" w:rsidRPr="006F0E59" w:rsidRDefault="006F0E59" w:rsidP="006F0E59">
      <w:pPr>
        <w:rPr>
          <w:lang w:val="en-US"/>
        </w:rPr>
      </w:pPr>
    </w:p>
    <w:bookmarkEnd w:id="391"/>
    <w:p w14:paraId="4B0E93A9" w14:textId="77777777" w:rsidR="00E90061" w:rsidRPr="0063079E" w:rsidRDefault="00E90061" w:rsidP="00E90061">
      <w:pPr>
        <w:spacing w:after="0" w:line="240" w:lineRule="auto"/>
        <w:rPr>
          <w:rFonts w:ascii="Arial" w:hAnsi="Arial" w:cs="Arial"/>
        </w:rPr>
      </w:pPr>
    </w:p>
    <w:p w14:paraId="730B8F29" w14:textId="0F8C83E0" w:rsidR="001A3B3E" w:rsidRPr="0063079E" w:rsidRDefault="001A3B3E" w:rsidP="00511447">
      <w:pPr>
        <w:spacing w:after="0" w:line="240" w:lineRule="auto"/>
        <w:rPr>
          <w:rFonts w:ascii="Arial" w:hAnsi="Arial" w:cs="Arial"/>
        </w:rPr>
      </w:pPr>
    </w:p>
    <w:p w14:paraId="1F47D85B" w14:textId="77777777" w:rsidR="00F20A73" w:rsidRDefault="00F20A73">
      <w:pPr>
        <w:rPr>
          <w:rFonts w:ascii="Arial" w:eastAsiaTheme="majorEastAsia" w:hAnsi="Arial" w:cstheme="majorBidi"/>
          <w:b/>
          <w:sz w:val="36"/>
          <w:szCs w:val="32"/>
          <w:lang w:eastAsia="de-DE"/>
        </w:rPr>
      </w:pPr>
      <w:bookmarkStart w:id="478" w:name="_Toc37227339"/>
      <w:r>
        <w:rPr>
          <w:lang w:eastAsia="de-DE"/>
        </w:rPr>
        <w:br w:type="page"/>
      </w:r>
    </w:p>
    <w:p w14:paraId="1D801D0B" w14:textId="5F281203" w:rsidR="000E12A5" w:rsidRPr="0063079E" w:rsidRDefault="000E12A5" w:rsidP="00DE7527">
      <w:pPr>
        <w:pStyle w:val="Heading1"/>
        <w:rPr>
          <w:lang w:eastAsia="de-DE"/>
        </w:rPr>
      </w:pPr>
      <w:bookmarkStart w:id="479" w:name="_Toc42177386"/>
      <w:r w:rsidRPr="0063079E">
        <w:rPr>
          <w:lang w:eastAsia="de-DE"/>
        </w:rPr>
        <w:lastRenderedPageBreak/>
        <w:t>References</w:t>
      </w:r>
      <w:bookmarkStart w:id="480" w:name="_Toc511140423"/>
      <w:bookmarkEnd w:id="478"/>
      <w:bookmarkEnd w:id="479"/>
      <w:bookmarkEnd w:id="480"/>
    </w:p>
    <w:p w14:paraId="42FA5E55" w14:textId="6AB1AA68" w:rsidR="001C336A" w:rsidRDefault="001C336A" w:rsidP="001C336A">
      <w:pPr>
        <w:spacing w:after="120" w:line="240" w:lineRule="auto"/>
        <w:jc w:val="both"/>
        <w:rPr>
          <w:rFonts w:ascii="Arial" w:hAnsi="Arial" w:cs="Arial"/>
        </w:rPr>
      </w:pPr>
    </w:p>
    <w:p w14:paraId="6FA9380D" w14:textId="63A73C1E" w:rsidR="00DE4AC9" w:rsidRDefault="00DE4AC9" w:rsidP="008059BC">
      <w:pPr>
        <w:spacing w:after="120" w:line="240" w:lineRule="auto"/>
        <w:ind w:left="993" w:hanging="993"/>
        <w:rPr>
          <w:rFonts w:ascii="Arial" w:hAnsi="Arial" w:cs="Arial"/>
        </w:rPr>
      </w:pPr>
      <w:r>
        <w:rPr>
          <w:rFonts w:ascii="Arial" w:hAnsi="Arial" w:cs="Arial"/>
        </w:rPr>
        <w:t xml:space="preserve">[C1-1] </w:t>
      </w:r>
      <w:r>
        <w:rPr>
          <w:rFonts w:ascii="Arial" w:hAnsi="Arial" w:cs="Arial"/>
        </w:rPr>
        <w:tab/>
      </w:r>
      <w:r w:rsidRPr="00625E6C">
        <w:rPr>
          <w:rFonts w:ascii="Arial" w:hAnsi="Arial" w:cs="Arial"/>
        </w:rPr>
        <w:t xml:space="preserve">United Nations: Sustainable Development Goals, August 12, 2015, </w:t>
      </w:r>
      <w:hyperlink r:id="rId38" w:history="1">
        <w:r w:rsidRPr="00625E6C">
          <w:rPr>
            <w:rStyle w:val="Hyperlink"/>
            <w:rFonts w:ascii="Arial" w:hAnsi="Arial" w:cs="Arial"/>
          </w:rPr>
          <w:t>http://www.un.org/sustainabledevelopment/sustainable-development-goals/</w:t>
        </w:r>
      </w:hyperlink>
      <w:r w:rsidRPr="00625E6C">
        <w:rPr>
          <w:rFonts w:ascii="Arial" w:hAnsi="Arial" w:cs="Arial"/>
        </w:rPr>
        <w:t>.</w:t>
      </w:r>
    </w:p>
    <w:p w14:paraId="49D82CBB" w14:textId="21BA2E08" w:rsidR="00DE4AC9" w:rsidRPr="00726918" w:rsidRDefault="00DE4AC9" w:rsidP="008059BC">
      <w:pPr>
        <w:spacing w:after="0" w:line="240" w:lineRule="auto"/>
        <w:ind w:left="993" w:hanging="993"/>
        <w:rPr>
          <w:rFonts w:ascii="Arial" w:hAnsi="Arial" w:cs="Arial"/>
          <w:lang w:val="de-DE"/>
        </w:rPr>
      </w:pPr>
      <w:r>
        <w:rPr>
          <w:rFonts w:ascii="Arial" w:hAnsi="Arial" w:cs="Arial"/>
        </w:rPr>
        <w:t>[C1-2]</w:t>
      </w:r>
      <w:r>
        <w:rPr>
          <w:rFonts w:ascii="Arial" w:hAnsi="Arial" w:cs="Arial"/>
        </w:rPr>
        <w:tab/>
      </w:r>
      <w:r w:rsidRPr="005E184F">
        <w:rPr>
          <w:rFonts w:ascii="Arial" w:hAnsi="Arial" w:cs="Arial"/>
        </w:rPr>
        <w:t xml:space="preserve">United Nations – Broadband Commission for Sustainable Development 2025 Targets: ”Connecting the Other Half”. </w:t>
      </w:r>
      <w:hyperlink r:id="rId39" w:history="1">
        <w:r w:rsidRPr="00726918">
          <w:rPr>
            <w:rStyle w:val="Hyperlink"/>
            <w:rFonts w:ascii="Arial" w:hAnsi="Arial" w:cs="Arial"/>
            <w:lang w:val="de-DE"/>
          </w:rPr>
          <w:t>http://www.broadbandcommission.org/Documents/publications/wef2018.pdf</w:t>
        </w:r>
      </w:hyperlink>
      <w:r w:rsidRPr="00726918">
        <w:rPr>
          <w:rFonts w:ascii="Arial" w:hAnsi="Arial" w:cs="Arial"/>
          <w:lang w:val="de-DE"/>
        </w:rPr>
        <w:t>.</w:t>
      </w:r>
    </w:p>
    <w:p w14:paraId="0538CBE4" w14:textId="77777777" w:rsidR="00DE4AC9" w:rsidRPr="00726918" w:rsidRDefault="00DE4AC9" w:rsidP="008059BC">
      <w:pPr>
        <w:spacing w:after="0" w:line="240" w:lineRule="auto"/>
        <w:ind w:left="993" w:hanging="993"/>
        <w:rPr>
          <w:rFonts w:ascii="Arial" w:hAnsi="Arial" w:cs="Arial"/>
          <w:color w:val="000000" w:themeColor="text1"/>
          <w:lang w:val="de-DE"/>
        </w:rPr>
      </w:pPr>
      <w:r w:rsidRPr="00726918">
        <w:rPr>
          <w:rFonts w:ascii="Arial" w:hAnsi="Arial" w:cs="Arial"/>
          <w:lang w:val="de-DE"/>
        </w:rPr>
        <w:t>[C1-3]</w:t>
      </w:r>
      <w:r w:rsidRPr="00726918">
        <w:rPr>
          <w:rFonts w:ascii="Arial" w:hAnsi="Arial" w:cs="Arial"/>
          <w:lang w:val="de-DE"/>
        </w:rPr>
        <w:tab/>
      </w:r>
      <w:r w:rsidRPr="00726918">
        <w:rPr>
          <w:rFonts w:ascii="Arial" w:hAnsi="Arial" w:cs="Arial"/>
          <w:color w:val="000000" w:themeColor="text1"/>
          <w:lang w:val="de-DE"/>
        </w:rPr>
        <w:t>Dufva, M. Megatrends 2020. Sitra studies 162, Finland</w:t>
      </w:r>
    </w:p>
    <w:p w14:paraId="6EF2A804" w14:textId="7E84A84B" w:rsidR="00DE4AC9" w:rsidRDefault="00DE4AC9" w:rsidP="008059BC">
      <w:pPr>
        <w:spacing w:after="0" w:line="240" w:lineRule="auto"/>
        <w:ind w:left="993" w:hanging="993"/>
        <w:rPr>
          <w:rStyle w:val="Hyperlink"/>
          <w:rFonts w:ascii="Arial" w:hAnsi="Arial" w:cs="Arial"/>
        </w:rPr>
      </w:pPr>
      <w:r>
        <w:rPr>
          <w:rFonts w:ascii="Arial" w:hAnsi="Arial" w:cs="Arial"/>
          <w:color w:val="000000" w:themeColor="text1"/>
        </w:rPr>
        <w:t>[C1-4]</w:t>
      </w:r>
      <w:r>
        <w:rPr>
          <w:rFonts w:ascii="Arial" w:hAnsi="Arial" w:cs="Arial"/>
          <w:color w:val="000000" w:themeColor="text1"/>
        </w:rPr>
        <w:tab/>
      </w:r>
      <w:r w:rsidRPr="00A41C93">
        <w:rPr>
          <w:rFonts w:ascii="Arial" w:hAnsi="Arial" w:cs="Arial"/>
          <w:color w:val="000000" w:themeColor="text1"/>
        </w:rPr>
        <w:t xml:space="preserve">''Digital Transformation and Development Policy", Norwegian Government, Message to the Parliament, Meld. St. 11 (2019-2020), Apr2020, </w:t>
      </w:r>
      <w:hyperlink r:id="rId40" w:history="1">
        <w:r w:rsidRPr="00A41C93">
          <w:rPr>
            <w:rStyle w:val="Hyperlink"/>
            <w:rFonts w:ascii="Arial" w:hAnsi="Arial" w:cs="Arial"/>
          </w:rPr>
          <w:t>https://www.regjeringen.no/no/dokumenter/meldst11_summary/id2699502/?ch=1</w:t>
        </w:r>
      </w:hyperlink>
      <w:r>
        <w:rPr>
          <w:rStyle w:val="Hyperlink"/>
          <w:rFonts w:ascii="Arial" w:hAnsi="Arial" w:cs="Arial"/>
        </w:rPr>
        <w:t xml:space="preserve"> </w:t>
      </w:r>
    </w:p>
    <w:p w14:paraId="6E249883" w14:textId="423938B6" w:rsidR="00DE4AC9" w:rsidRPr="00C42C17" w:rsidRDefault="00DE4AC9" w:rsidP="008059BC">
      <w:pPr>
        <w:spacing w:after="0" w:line="240" w:lineRule="auto"/>
        <w:ind w:left="993" w:hanging="993"/>
        <w:jc w:val="both"/>
        <w:rPr>
          <w:rFonts w:ascii="Arial" w:hAnsi="Arial" w:cs="Arial"/>
          <w:color w:val="000000" w:themeColor="text1"/>
          <w:lang w:val="es-ES"/>
        </w:rPr>
      </w:pPr>
      <w:r w:rsidRPr="00C42C17">
        <w:rPr>
          <w:rFonts w:ascii="Arial" w:hAnsi="Arial" w:cs="Arial"/>
          <w:lang w:val="es-ES"/>
        </w:rPr>
        <w:t>[C1-5]</w:t>
      </w:r>
      <w:r w:rsidRPr="00C42C17">
        <w:rPr>
          <w:rFonts w:ascii="Arial" w:hAnsi="Arial" w:cs="Arial"/>
          <w:lang w:val="es-ES"/>
        </w:rPr>
        <w:tab/>
      </w:r>
      <w:r w:rsidRPr="00C42C17">
        <w:rPr>
          <w:rFonts w:ascii="Arial" w:hAnsi="Arial" w:cs="Arial"/>
          <w:color w:val="000000" w:themeColor="text1"/>
          <w:lang w:val="es-ES"/>
        </w:rPr>
        <w:t>UN SDG report 2019 (</w:t>
      </w:r>
      <w:hyperlink r:id="rId41" w:history="1">
        <w:r w:rsidRPr="00C42C17">
          <w:rPr>
            <w:rStyle w:val="Hyperlink"/>
            <w:rFonts w:ascii="Arial" w:hAnsi="Arial" w:cs="Arial"/>
            <w:lang w:val="es-ES"/>
          </w:rPr>
          <w:t>https://unstats.un.org/sdgs/report/2019/The-Sustainable-Development-Goals-Report-2019.pdf</w:t>
        </w:r>
      </w:hyperlink>
      <w:r w:rsidRPr="00C42C17">
        <w:rPr>
          <w:rFonts w:ascii="Arial" w:hAnsi="Arial" w:cs="Arial"/>
          <w:color w:val="000000" w:themeColor="text1"/>
          <w:lang w:val="es-ES"/>
        </w:rPr>
        <w:t>)</w:t>
      </w:r>
    </w:p>
    <w:p w14:paraId="0CFBCB8F" w14:textId="77777777" w:rsidR="00DE4AC9" w:rsidRDefault="00DE4AC9" w:rsidP="008059BC">
      <w:pPr>
        <w:spacing w:after="0" w:line="240" w:lineRule="auto"/>
        <w:ind w:left="993" w:hanging="993"/>
        <w:jc w:val="both"/>
        <w:rPr>
          <w:rFonts w:ascii="Arial" w:hAnsi="Arial" w:cs="Arial"/>
          <w:color w:val="000000" w:themeColor="text1"/>
        </w:rPr>
      </w:pPr>
      <w:r>
        <w:rPr>
          <w:rFonts w:ascii="Arial" w:hAnsi="Arial" w:cs="Arial"/>
          <w:color w:val="000000" w:themeColor="text1"/>
        </w:rPr>
        <w:t>[C1-6]</w:t>
      </w:r>
      <w:r>
        <w:rPr>
          <w:rFonts w:ascii="Arial" w:hAnsi="Arial" w:cs="Arial"/>
          <w:color w:val="000000" w:themeColor="text1"/>
        </w:rPr>
        <w:tab/>
        <w:t>S. Yrjölä et al. 6G Flagship, “</w:t>
      </w:r>
      <w:r w:rsidRPr="00A41C93">
        <w:rPr>
          <w:rFonts w:ascii="Arial" w:hAnsi="Arial" w:cs="Arial"/>
          <w:color w:val="000000" w:themeColor="text1"/>
        </w:rPr>
        <w:t>White paper on Business of 6G</w:t>
      </w:r>
      <w:r>
        <w:rPr>
          <w:rFonts w:ascii="Arial" w:hAnsi="Arial" w:cs="Arial"/>
          <w:color w:val="000000" w:themeColor="text1"/>
        </w:rPr>
        <w:t>”</w:t>
      </w:r>
      <w:r w:rsidRPr="00A41C93">
        <w:rPr>
          <w:rFonts w:ascii="Arial" w:hAnsi="Arial" w:cs="Arial"/>
          <w:color w:val="000000" w:themeColor="text1"/>
        </w:rPr>
        <w:t>, 2020</w:t>
      </w:r>
      <w:r>
        <w:rPr>
          <w:rFonts w:ascii="Arial" w:hAnsi="Arial" w:cs="Arial"/>
          <w:color w:val="000000" w:themeColor="text1"/>
        </w:rPr>
        <w:t xml:space="preserve"> (to appear)</w:t>
      </w:r>
    </w:p>
    <w:p w14:paraId="32BCEB11" w14:textId="77777777" w:rsidR="00DE4AC9" w:rsidRDefault="00DE4AC9" w:rsidP="008059BC">
      <w:pPr>
        <w:spacing w:after="0" w:line="240" w:lineRule="auto"/>
        <w:ind w:left="993" w:hanging="993"/>
        <w:jc w:val="both"/>
        <w:rPr>
          <w:rFonts w:ascii="Arial" w:hAnsi="Arial" w:cs="Arial"/>
          <w:color w:val="000000" w:themeColor="text1"/>
        </w:rPr>
      </w:pPr>
      <w:r w:rsidRPr="00C36ACC">
        <w:rPr>
          <w:rFonts w:ascii="Arial" w:hAnsi="Arial" w:cs="Arial"/>
          <w:color w:val="000000" w:themeColor="text1"/>
          <w:lang w:val="en-US"/>
        </w:rPr>
        <w:t>[C1-7]</w:t>
      </w:r>
      <w:r w:rsidRPr="00C36ACC">
        <w:rPr>
          <w:rFonts w:ascii="Arial" w:hAnsi="Arial" w:cs="Arial"/>
          <w:color w:val="000000" w:themeColor="text1"/>
          <w:lang w:val="en-US"/>
        </w:rPr>
        <w:tab/>
        <w:t>M. Matinmikko-Blue et al. ”</w:t>
      </w:r>
      <w:r w:rsidRPr="00A41C93">
        <w:rPr>
          <w:rFonts w:ascii="Arial" w:hAnsi="Arial" w:cs="Arial"/>
          <w:color w:val="000000" w:themeColor="text1"/>
        </w:rPr>
        <w:t>White Paper on 6G Drivers and the UN SDGs</w:t>
      </w:r>
      <w:r>
        <w:rPr>
          <w:rFonts w:ascii="Arial" w:hAnsi="Arial" w:cs="Arial"/>
          <w:color w:val="000000" w:themeColor="text1"/>
        </w:rPr>
        <w:t>”</w:t>
      </w:r>
      <w:r w:rsidRPr="00A41C93">
        <w:rPr>
          <w:rFonts w:ascii="Arial" w:hAnsi="Arial" w:cs="Arial"/>
          <w:color w:val="000000" w:themeColor="text1"/>
        </w:rPr>
        <w:t>, 2020</w:t>
      </w:r>
      <w:r>
        <w:rPr>
          <w:rFonts w:ascii="Arial" w:hAnsi="Arial" w:cs="Arial"/>
          <w:color w:val="000000" w:themeColor="text1"/>
        </w:rPr>
        <w:t xml:space="preserve">, </w:t>
      </w:r>
      <w:r w:rsidRPr="00C36ACC">
        <w:rPr>
          <w:rFonts w:ascii="Arial" w:hAnsi="Arial" w:cs="Arial"/>
          <w:color w:val="000000" w:themeColor="text1"/>
        </w:rPr>
        <w:t>arXiv:2004.14695 [eess.SP]</w:t>
      </w:r>
    </w:p>
    <w:p w14:paraId="1492B4E8" w14:textId="77777777" w:rsidR="00DE4AC9" w:rsidRDefault="00DE4AC9" w:rsidP="008059BC">
      <w:pPr>
        <w:spacing w:after="0" w:line="240" w:lineRule="auto"/>
        <w:ind w:left="993" w:hanging="993"/>
        <w:jc w:val="both"/>
        <w:rPr>
          <w:rFonts w:ascii="Arial" w:hAnsi="Arial" w:cs="Arial"/>
          <w:color w:val="000000" w:themeColor="text1"/>
        </w:rPr>
      </w:pPr>
      <w:r>
        <w:rPr>
          <w:rFonts w:ascii="Arial" w:hAnsi="Arial" w:cs="Arial"/>
          <w:color w:val="000000" w:themeColor="text1"/>
        </w:rPr>
        <w:t>[C1-8]</w:t>
      </w:r>
      <w:r>
        <w:rPr>
          <w:rFonts w:ascii="Arial" w:hAnsi="Arial" w:cs="Arial"/>
          <w:color w:val="000000" w:themeColor="text1"/>
        </w:rPr>
        <w:tab/>
      </w:r>
      <w:r w:rsidRPr="00A41C93">
        <w:rPr>
          <w:rFonts w:ascii="Arial" w:hAnsi="Arial" w:cs="Arial"/>
          <w:color w:val="000000" w:themeColor="text1"/>
        </w:rPr>
        <w:t>Carayannis, E. G., Barth, T. D., &amp; Campbell, D. F. (2012). The Quintuple Helix innovation model: global warming as a challenge and driver for innovation. Journal of innovation and entrepreneurship, 1(1), 1-12.</w:t>
      </w:r>
    </w:p>
    <w:p w14:paraId="5B32F7EE" w14:textId="28417483" w:rsidR="00DE4AC9" w:rsidRDefault="00DE4AC9" w:rsidP="008059BC">
      <w:pPr>
        <w:spacing w:after="0" w:line="240" w:lineRule="auto"/>
        <w:ind w:left="993" w:hanging="993"/>
        <w:jc w:val="both"/>
        <w:rPr>
          <w:rStyle w:val="Hyperlink"/>
          <w:rFonts w:ascii="Arial" w:hAnsi="Arial" w:cs="Arial"/>
        </w:rPr>
      </w:pPr>
      <w:r>
        <w:rPr>
          <w:rFonts w:ascii="Arial" w:hAnsi="Arial" w:cs="Arial"/>
          <w:color w:val="000000" w:themeColor="text1"/>
        </w:rPr>
        <w:t>[C1-9]</w:t>
      </w:r>
      <w:r>
        <w:rPr>
          <w:rFonts w:ascii="Arial" w:hAnsi="Arial" w:cs="Arial"/>
          <w:color w:val="000000" w:themeColor="text1"/>
        </w:rPr>
        <w:tab/>
      </w:r>
      <w:r w:rsidRPr="00A41C93">
        <w:rPr>
          <w:rFonts w:ascii="Arial" w:hAnsi="Arial" w:cs="Arial"/>
          <w:color w:val="000000" w:themeColor="text1"/>
        </w:rPr>
        <w:t xml:space="preserve">Key Drivers and Research Challenges for 6G Ubiquitous Wireless Intelligence. M. Latva-aho &amp; K. Leppänen (Eds). 6G Flagship White Paper, September 2019. </w:t>
      </w:r>
      <w:hyperlink r:id="rId42" w:history="1">
        <w:r w:rsidRPr="00336CDE">
          <w:rPr>
            <w:rStyle w:val="Hyperlink"/>
            <w:rFonts w:ascii="Arial" w:hAnsi="Arial" w:cs="Arial"/>
          </w:rPr>
          <w:t>http://jultika.oulu.fi/files/isbn9789526223544.pdf</w:t>
        </w:r>
      </w:hyperlink>
    </w:p>
    <w:p w14:paraId="4D5E4285" w14:textId="6AE452A1" w:rsidR="00DE4AC9" w:rsidRPr="002B1E23" w:rsidRDefault="00DE4AC9" w:rsidP="00A51503">
      <w:pPr>
        <w:spacing w:after="120" w:line="240" w:lineRule="auto"/>
        <w:ind w:left="993" w:hanging="993"/>
        <w:rPr>
          <w:rFonts w:ascii="Arial" w:hAnsi="Arial" w:cs="Arial"/>
        </w:rPr>
      </w:pPr>
      <w:r>
        <w:rPr>
          <w:rFonts w:ascii="Arial" w:hAnsi="Arial" w:cs="Arial"/>
        </w:rPr>
        <w:t>[C1-10]</w:t>
      </w:r>
      <w:r>
        <w:rPr>
          <w:rFonts w:ascii="Arial" w:hAnsi="Arial" w:cs="Arial"/>
        </w:rPr>
        <w:tab/>
      </w:r>
      <w:r w:rsidR="00A51503" w:rsidRPr="00A51503">
        <w:rPr>
          <w:rFonts w:ascii="Arial" w:hAnsi="Arial" w:cs="Arial"/>
        </w:rPr>
        <w:t>European Commission: Digital Agenda Scoreboard – The EU ICT Sector and its R&amp;D Performance. 2018, http://ec.europa.eu/newsroom/dae/document.cfm?doc_id=52246.</w:t>
      </w:r>
    </w:p>
    <w:p w14:paraId="342AD916"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[C1-11]</w:t>
      </w:r>
      <w:r>
        <w:rPr>
          <w:rFonts w:ascii="Arial" w:hAnsi="Arial" w:cs="Arial"/>
        </w:rPr>
        <w:tab/>
      </w:r>
      <w:r w:rsidRPr="002B1E23">
        <w:rPr>
          <w:rFonts w:ascii="Arial" w:hAnsi="Arial" w:cs="Arial"/>
        </w:rPr>
        <w:t xml:space="preserve">World Bank: Exploring the Relationship Between Broadband and Economic Growth. Michael Minges, World Development Report, 2016, </w:t>
      </w:r>
    </w:p>
    <w:p w14:paraId="6AD6E2A1" w14:textId="721F899F" w:rsidR="00DE4AC9" w:rsidRPr="0063079E" w:rsidRDefault="000C66C8" w:rsidP="008059BC">
      <w:pPr>
        <w:spacing w:after="120" w:line="240" w:lineRule="auto"/>
        <w:ind w:left="993" w:hanging="993"/>
        <w:jc w:val="both"/>
        <w:rPr>
          <w:rFonts w:ascii="Arial" w:hAnsi="Arial" w:cs="Arial"/>
        </w:rPr>
      </w:pPr>
      <w:hyperlink r:id="rId43" w:history="1">
        <w:r w:rsidR="00DE4AC9" w:rsidRPr="0063079E">
          <w:rPr>
            <w:rStyle w:val="Hyperlink"/>
            <w:rFonts w:ascii="Arial" w:hAnsi="Arial" w:cs="Arial"/>
          </w:rPr>
          <w:t>http://documents.worldbank.org/curated/en/178701467988875888/pdf/102955-WP-Box394845B-PUBLIC-WDR16-BP-Exploring-the-Relationship-between-Broadband-and-Economic-Growth-Minges.pdf</w:t>
        </w:r>
      </w:hyperlink>
      <w:r w:rsidR="00DE4AC9" w:rsidRPr="0012294F">
        <w:rPr>
          <w:rStyle w:val="Hyperlink"/>
          <w:rFonts w:ascii="Arial" w:hAnsi="Arial" w:cs="Arial"/>
        </w:rPr>
        <w:t>.</w:t>
      </w:r>
    </w:p>
    <w:p w14:paraId="50C118D3"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[C1-12]</w:t>
      </w:r>
      <w:r>
        <w:rPr>
          <w:rFonts w:ascii="Arial" w:hAnsi="Arial" w:cs="Arial"/>
        </w:rPr>
        <w:tab/>
      </w:r>
      <w:r w:rsidRPr="002B1E23">
        <w:rPr>
          <w:rFonts w:ascii="Arial" w:hAnsi="Arial" w:cs="Arial"/>
        </w:rPr>
        <w:t xml:space="preserve">McKinsey &amp; Company: The Internet of Things: Mapping the value beyond the hype. McKinsey Global Institute, June 2015, </w:t>
      </w:r>
    </w:p>
    <w:p w14:paraId="1AE22481" w14:textId="3EEF9644" w:rsidR="00DE4AC9" w:rsidRPr="0012294F" w:rsidRDefault="000C66C8" w:rsidP="008059BC">
      <w:pPr>
        <w:spacing w:after="120" w:line="240" w:lineRule="auto"/>
        <w:ind w:left="993" w:hanging="993"/>
        <w:jc w:val="both"/>
        <w:rPr>
          <w:rFonts w:ascii="Arial" w:hAnsi="Arial" w:cs="Arial"/>
        </w:rPr>
      </w:pPr>
      <w:hyperlink r:id="rId44" w:history="1">
        <w:r w:rsidR="00DE4AC9" w:rsidRPr="0063079E">
          <w:rPr>
            <w:rStyle w:val="Hyperlink"/>
            <w:rFonts w:ascii="Arial" w:hAnsi="Arial" w:cs="Arial"/>
            <w:spacing w:val="-2"/>
          </w:rPr>
          <w:t>https://www.mckinsey.de/files/unlocking_the_potential_of_the_internet_of_things_full_report.pdf</w:t>
        </w:r>
      </w:hyperlink>
      <w:r w:rsidR="00DE4AC9" w:rsidRPr="0012294F">
        <w:rPr>
          <w:rFonts w:ascii="Arial" w:hAnsi="Arial" w:cs="Arial"/>
        </w:rPr>
        <w:t>.</w:t>
      </w:r>
    </w:p>
    <w:p w14:paraId="709F3823" w14:textId="08649223" w:rsidR="00DE4AC9" w:rsidRPr="002B1E23" w:rsidRDefault="00DE4AC9" w:rsidP="008059BC">
      <w:pPr>
        <w:spacing w:after="60" w:line="240" w:lineRule="auto"/>
        <w:ind w:left="993" w:hanging="993"/>
        <w:jc w:val="both"/>
        <w:rPr>
          <w:rFonts w:ascii="Arial" w:hAnsi="Arial" w:cs="Arial"/>
        </w:rPr>
      </w:pPr>
      <w:r>
        <w:rPr>
          <w:rFonts w:ascii="Arial" w:hAnsi="Arial" w:cs="Arial"/>
        </w:rPr>
        <w:t>[C1-13]</w:t>
      </w:r>
      <w:r>
        <w:rPr>
          <w:rFonts w:ascii="Arial" w:hAnsi="Arial" w:cs="Arial"/>
        </w:rPr>
        <w:tab/>
      </w:r>
      <w:r w:rsidRPr="002B1E23">
        <w:rPr>
          <w:rFonts w:ascii="Arial" w:hAnsi="Arial" w:cs="Arial"/>
        </w:rPr>
        <w:t xml:space="preserve">EU Commission: Digital Single Market. Making the most of the digital opportunities in Europe. 2017, </w:t>
      </w:r>
      <w:hyperlink r:id="rId45" w:history="1">
        <w:r w:rsidRPr="002B1E23">
          <w:rPr>
            <w:rStyle w:val="Hyperlink"/>
            <w:rFonts w:ascii="Arial" w:hAnsi="Arial" w:cs="Arial"/>
          </w:rPr>
          <w:t>https://ec.europa.eu/digital-single-market/en/policies/shaping-digital-single-market</w:t>
        </w:r>
      </w:hyperlink>
      <w:r w:rsidRPr="002B1E23">
        <w:rPr>
          <w:rStyle w:val="Hyperlink"/>
          <w:rFonts w:ascii="Arial" w:hAnsi="Arial" w:cs="Arial"/>
        </w:rPr>
        <w:t>.</w:t>
      </w:r>
    </w:p>
    <w:p w14:paraId="2739774D" w14:textId="77777777" w:rsidR="00DE4AC9" w:rsidRPr="002B1E23" w:rsidRDefault="00DE4AC9" w:rsidP="008059BC">
      <w:pPr>
        <w:spacing w:after="0" w:line="240" w:lineRule="auto"/>
        <w:ind w:left="993" w:hanging="993"/>
        <w:jc w:val="both"/>
        <w:rPr>
          <w:rFonts w:ascii="Arial" w:hAnsi="Arial" w:cs="Arial"/>
        </w:rPr>
      </w:pPr>
      <w:r>
        <w:rPr>
          <w:rFonts w:ascii="Arial" w:hAnsi="Arial" w:cs="Arial"/>
        </w:rPr>
        <w:t>[C1-14]</w:t>
      </w:r>
      <w:r>
        <w:rPr>
          <w:rFonts w:ascii="Arial" w:hAnsi="Arial" w:cs="Arial"/>
        </w:rPr>
        <w:tab/>
      </w:r>
      <w:r w:rsidRPr="002B1E23">
        <w:rPr>
          <w:rFonts w:ascii="Arial" w:hAnsi="Arial" w:cs="Arial"/>
        </w:rPr>
        <w:t xml:space="preserve">EU Commission: Europe's Digital Progress Report 2017. Commission Staff Working Document, SWD (2017) 160 final, </w:t>
      </w:r>
    </w:p>
    <w:p w14:paraId="62A27DB1" w14:textId="1546FD9E" w:rsidR="00DE4AC9" w:rsidRPr="0012294F" w:rsidRDefault="000C66C8" w:rsidP="008059BC">
      <w:pPr>
        <w:spacing w:after="120" w:line="240" w:lineRule="auto"/>
        <w:ind w:left="993" w:hanging="993"/>
        <w:jc w:val="both"/>
        <w:rPr>
          <w:rFonts w:ascii="Arial" w:hAnsi="Arial" w:cs="Arial"/>
        </w:rPr>
      </w:pPr>
      <w:hyperlink r:id="rId46" w:history="1">
        <w:r w:rsidR="00DE4AC9" w:rsidRPr="0063079E">
          <w:rPr>
            <w:rStyle w:val="Hyperlink"/>
            <w:rFonts w:ascii="Arial" w:hAnsi="Arial" w:cs="Arial"/>
          </w:rPr>
          <w:t>https://ec.europa.eu/transparency/regdoc/rep/10102/2017/EN/SWD-2017-160-F1-EN-MAIN-PART-27.PDF</w:t>
        </w:r>
      </w:hyperlink>
      <w:r w:rsidR="00DE4AC9" w:rsidRPr="0012294F">
        <w:rPr>
          <w:rFonts w:ascii="Arial" w:hAnsi="Arial" w:cs="Arial"/>
        </w:rPr>
        <w:t>.</w:t>
      </w:r>
    </w:p>
    <w:p w14:paraId="0EBCDC66" w14:textId="5F7C5304" w:rsidR="00DE4AC9" w:rsidRDefault="00DE4AC9" w:rsidP="008059BC">
      <w:pPr>
        <w:spacing w:after="120" w:line="240" w:lineRule="auto"/>
        <w:ind w:left="993" w:hanging="993"/>
        <w:jc w:val="both"/>
        <w:rPr>
          <w:rFonts w:ascii="Arial" w:hAnsi="Arial" w:cs="Arial"/>
        </w:rPr>
      </w:pPr>
      <w:r>
        <w:rPr>
          <w:rFonts w:ascii="Arial" w:hAnsi="Arial" w:cs="Arial"/>
        </w:rPr>
        <w:t>[C1-15]</w:t>
      </w:r>
      <w:r>
        <w:rPr>
          <w:rFonts w:ascii="Arial" w:hAnsi="Arial" w:cs="Arial"/>
        </w:rPr>
        <w:tab/>
      </w:r>
      <w:r w:rsidRPr="002B1E23">
        <w:rPr>
          <w:rFonts w:ascii="Arial" w:hAnsi="Arial" w:cs="Arial"/>
        </w:rPr>
        <w:t xml:space="preserve">ETNO: Accenture Study ”Lead or Lose – A Vision for Europe’s digital future”. </w:t>
      </w:r>
      <w:hyperlink r:id="rId47" w:history="1">
        <w:r w:rsidRPr="002B1E23">
          <w:rPr>
            <w:rStyle w:val="Hyperlink"/>
            <w:rFonts w:ascii="Arial" w:hAnsi="Arial" w:cs="Arial"/>
          </w:rPr>
          <w:t>https://etno.eu/digital2030/people-planet-prosperity</w:t>
        </w:r>
      </w:hyperlink>
      <w:r w:rsidRPr="002B1E23">
        <w:rPr>
          <w:rFonts w:ascii="Arial" w:hAnsi="Arial" w:cs="Arial"/>
        </w:rPr>
        <w:t>.</w:t>
      </w:r>
    </w:p>
    <w:p w14:paraId="7E5FFA82" w14:textId="6EF61E05" w:rsidR="00DE4AC9" w:rsidRDefault="00DE4AC9" w:rsidP="008059BC">
      <w:pPr>
        <w:spacing w:after="120" w:line="240" w:lineRule="auto"/>
        <w:ind w:left="993" w:hanging="993"/>
        <w:jc w:val="both"/>
        <w:rPr>
          <w:rFonts w:ascii="Arial" w:hAnsi="Arial" w:cs="Arial"/>
        </w:rPr>
      </w:pPr>
      <w:r>
        <w:rPr>
          <w:rFonts w:ascii="Arial" w:hAnsi="Arial" w:cs="Arial"/>
        </w:rPr>
        <w:t>[C1-16]</w:t>
      </w:r>
      <w:r>
        <w:rPr>
          <w:rFonts w:ascii="Arial" w:hAnsi="Arial" w:cs="Arial"/>
        </w:rPr>
        <w:tab/>
        <w:t>SNS proposal</w:t>
      </w:r>
      <w:r w:rsidR="00DA6395">
        <w:rPr>
          <w:rFonts w:ascii="Arial" w:hAnsi="Arial" w:cs="Arial"/>
        </w:rPr>
        <w:t>, private document between European Telecom associations and the European Community.</w:t>
      </w:r>
    </w:p>
    <w:p w14:paraId="431A5C0A" w14:textId="3F899845" w:rsidR="00DE4AC9" w:rsidRDefault="00DE4AC9" w:rsidP="008059BC">
      <w:pPr>
        <w:spacing w:after="120" w:line="240" w:lineRule="auto"/>
        <w:ind w:left="993" w:hanging="993"/>
        <w:jc w:val="both"/>
        <w:rPr>
          <w:rFonts w:ascii="Arial" w:hAnsi="Arial" w:cs="Arial"/>
          <w:color w:val="000000" w:themeColor="text1"/>
        </w:rPr>
      </w:pPr>
      <w:r>
        <w:rPr>
          <w:rFonts w:ascii="Arial" w:hAnsi="Arial" w:cs="Arial"/>
        </w:rPr>
        <w:t>[C1-17]</w:t>
      </w:r>
      <w:r>
        <w:rPr>
          <w:rFonts w:ascii="Arial" w:hAnsi="Arial" w:cs="Arial"/>
        </w:rPr>
        <w:tab/>
      </w:r>
      <w:r w:rsidRPr="00141D46">
        <w:rPr>
          <w:rFonts w:ascii="Arial" w:hAnsi="Arial" w:cs="Arial"/>
          <w:color w:val="000000" w:themeColor="text1"/>
        </w:rPr>
        <w:t xml:space="preserve">Rongpeng Li, Zhifeng Zhao, Xuan Zhou, Guoru Ding, Yan Chen, Zhongyao Wang, and Honggang Zhang: Intelligent 5G: When Cellular Networks Meet Artificial Intelligence </w:t>
      </w:r>
      <w:r w:rsidRPr="00141D46">
        <w:rPr>
          <w:rFonts w:ascii="Arial" w:hAnsi="Arial" w:cs="Arial"/>
          <w:color w:val="000000" w:themeColor="text1"/>
          <w:lang w:eastAsia="de-DE"/>
        </w:rPr>
        <w:t>– Section on “Challenges”</w:t>
      </w:r>
      <w:r w:rsidRPr="00141D46">
        <w:rPr>
          <w:rFonts w:ascii="Arial" w:hAnsi="Arial" w:cs="Arial"/>
          <w:color w:val="000000" w:themeColor="text1"/>
        </w:rPr>
        <w:t xml:space="preserve">. IEEE Wireless Communications, Vol. 24(5), October 2017; DOI: 10.1109/MWC.2017.1600304WC, </w:t>
      </w:r>
      <w:hyperlink r:id="rId48" w:history="1">
        <w:r w:rsidRPr="00141D46">
          <w:rPr>
            <w:rStyle w:val="Hyperlink"/>
            <w:rFonts w:ascii="Arial" w:hAnsi="Arial" w:cs="Arial"/>
          </w:rPr>
          <w:t>https://ieeexplore.ieee.org/document/7886994?ALU=LU1043073</w:t>
        </w:r>
      </w:hyperlink>
      <w:r w:rsidRPr="00287635">
        <w:rPr>
          <w:rFonts w:ascii="Arial" w:hAnsi="Arial" w:cs="Arial"/>
          <w:color w:val="000000" w:themeColor="text1"/>
        </w:rPr>
        <w:t>.</w:t>
      </w:r>
    </w:p>
    <w:p w14:paraId="6549CD90" w14:textId="1CA3646A" w:rsidR="00DE4AC9" w:rsidRPr="00065596" w:rsidRDefault="00DE4AC9" w:rsidP="008059BC">
      <w:pPr>
        <w:spacing w:after="120" w:line="240" w:lineRule="auto"/>
        <w:ind w:left="993" w:hanging="993"/>
        <w:jc w:val="both"/>
        <w:rPr>
          <w:rFonts w:ascii="Arial" w:hAnsi="Arial" w:cs="Arial"/>
          <w:color w:val="0563C1" w:themeColor="hyperlink"/>
          <w:u w:val="single"/>
          <w:lang w:eastAsia="de-DE"/>
        </w:rPr>
      </w:pPr>
      <w:r>
        <w:rPr>
          <w:rFonts w:ascii="Arial" w:hAnsi="Arial" w:cs="Arial"/>
          <w:color w:val="000000" w:themeColor="text1"/>
        </w:rPr>
        <w:lastRenderedPageBreak/>
        <w:t>[C1-18]</w:t>
      </w:r>
      <w:r>
        <w:rPr>
          <w:rFonts w:ascii="Arial" w:hAnsi="Arial" w:cs="Arial"/>
          <w:color w:val="000000" w:themeColor="text1"/>
        </w:rPr>
        <w:tab/>
      </w:r>
      <w:r w:rsidRPr="00287635">
        <w:rPr>
          <w:rFonts w:ascii="Arial" w:hAnsi="Arial" w:cs="Arial"/>
          <w:color w:val="000000" w:themeColor="text1"/>
        </w:rPr>
        <w:t xml:space="preserve">Kagan, M.: Networking Trends in High-Performance Computing. CIOReview, </w:t>
      </w:r>
      <w:hyperlink r:id="rId49" w:history="1">
        <w:r w:rsidRPr="00141D46">
          <w:rPr>
            <w:rStyle w:val="Hyperlink"/>
            <w:rFonts w:ascii="Arial" w:hAnsi="Arial" w:cs="Arial"/>
            <w:lang w:eastAsia="de-DE"/>
          </w:rPr>
          <w:t>https://high-performance-computing.cioreview.com/cxoinsight/networking-trends-in-highperformance-computing--nid-12770-cid-84.html</w:t>
        </w:r>
      </w:hyperlink>
      <w:r>
        <w:rPr>
          <w:rStyle w:val="Hyperlink"/>
          <w:rFonts w:ascii="Arial" w:hAnsi="Arial" w:cs="Arial"/>
          <w:lang w:eastAsia="de-DE"/>
        </w:rPr>
        <w:t xml:space="preserve"> </w:t>
      </w:r>
    </w:p>
    <w:p w14:paraId="5B5FF6A9" w14:textId="434FE5B6" w:rsidR="00DE4AC9" w:rsidRDefault="00DE4AC9" w:rsidP="008059BC">
      <w:pPr>
        <w:spacing w:after="120" w:line="240" w:lineRule="auto"/>
        <w:ind w:left="993" w:hanging="993"/>
        <w:jc w:val="both"/>
        <w:rPr>
          <w:rFonts w:ascii="Arial" w:hAnsi="Arial" w:cs="Arial"/>
        </w:rPr>
      </w:pPr>
      <w:r>
        <w:rPr>
          <w:rFonts w:ascii="Arial" w:hAnsi="Arial" w:cs="Arial"/>
        </w:rPr>
        <w:t>[C1-19]</w:t>
      </w:r>
      <w:r>
        <w:rPr>
          <w:rFonts w:ascii="Arial" w:hAnsi="Arial" w:cs="Arial"/>
        </w:rPr>
        <w:tab/>
      </w:r>
      <w:r w:rsidRPr="003B2305">
        <w:rPr>
          <w:rFonts w:ascii="Arial" w:hAnsi="Arial" w:cs="Arial"/>
          <w:color w:val="000000" w:themeColor="text1"/>
          <w:lang w:eastAsia="de-DE"/>
        </w:rPr>
        <w:t>European Commission: Resilience, Deterrence and Defence: Building strong cybersecurity for the EU. Joint communication to the European Parliament and the Council. Brussels, 13.9.2017,</w:t>
      </w:r>
      <w:r w:rsidRPr="003B2305">
        <w:rPr>
          <w:rFonts w:ascii="Arial" w:hAnsi="Arial" w:cs="Arial"/>
          <w:color w:val="000000"/>
        </w:rPr>
        <w:t xml:space="preserve"> JOIN(2017) 450 final,</w:t>
      </w:r>
      <w:r w:rsidRPr="003B2305">
        <w:rPr>
          <w:rFonts w:ascii="Arial" w:hAnsi="Arial" w:cs="Arial"/>
          <w:color w:val="000000" w:themeColor="text1"/>
          <w:lang w:eastAsia="de-DE"/>
        </w:rPr>
        <w:t xml:space="preserve"> </w:t>
      </w:r>
      <w:hyperlink r:id="rId50" w:history="1">
        <w:r w:rsidRPr="003B2305">
          <w:rPr>
            <w:rStyle w:val="Hyperlink"/>
            <w:rFonts w:ascii="Arial" w:hAnsi="Arial" w:cs="Arial"/>
          </w:rPr>
          <w:t>https://eur-lex.europa.eu/legal-content/EN/TXT/PDF/?uri=CELEX:52017JC0450&amp;from=en</w:t>
        </w:r>
      </w:hyperlink>
      <w:r w:rsidRPr="003B2305">
        <w:rPr>
          <w:rFonts w:ascii="Arial" w:hAnsi="Arial" w:cs="Arial"/>
        </w:rPr>
        <w:t>.</w:t>
      </w:r>
    </w:p>
    <w:p w14:paraId="0B869A13" w14:textId="6B2C6197" w:rsidR="00DE4AC9" w:rsidRDefault="00DE4AC9" w:rsidP="008059BC">
      <w:pPr>
        <w:spacing w:after="120" w:line="240" w:lineRule="auto"/>
        <w:ind w:left="993" w:hanging="993"/>
        <w:jc w:val="both"/>
        <w:rPr>
          <w:rFonts w:ascii="Arial" w:hAnsi="Arial" w:cs="Arial"/>
          <w:color w:val="000000" w:themeColor="text1"/>
          <w:lang w:eastAsia="de-DE"/>
        </w:rPr>
      </w:pPr>
      <w:r>
        <w:rPr>
          <w:rFonts w:ascii="Arial" w:hAnsi="Arial" w:cs="Arial"/>
        </w:rPr>
        <w:t>[C1-</w:t>
      </w:r>
      <w:r w:rsidRPr="003B2305">
        <w:rPr>
          <w:rFonts w:ascii="Arial" w:hAnsi="Arial" w:cs="Arial"/>
        </w:rPr>
        <w:t>20]</w:t>
      </w:r>
      <w:r w:rsidRPr="003B2305">
        <w:rPr>
          <w:rFonts w:ascii="Arial" w:hAnsi="Arial" w:cs="Arial"/>
        </w:rPr>
        <w:tab/>
      </w:r>
      <w:r w:rsidRPr="003B2305">
        <w:rPr>
          <w:rFonts w:ascii="Arial" w:eastAsia="Times New Roman" w:hAnsi="Arial" w:cs="Arial"/>
          <w:color w:val="000000" w:themeColor="text1"/>
          <w:lang w:eastAsia="de-DE"/>
        </w:rPr>
        <w:t>European Commission: Impact assessment accompanying the document Proposal for a Regulation of the European Parliament and of the Council on ENISA, the "EU Cybersecurity Agency", and repealing Regulation (EU) 526/2013, and on Information and Communication Technology cybersecurity certification (''Cybersecurity Act''), Brussels, 13.9.2017,</w:t>
      </w:r>
      <w:r w:rsidRPr="003B2305">
        <w:rPr>
          <w:rFonts w:ascii="Arial" w:hAnsi="Arial" w:cs="Arial"/>
          <w:color w:val="000000" w:themeColor="text1"/>
          <w:lang w:eastAsia="de-DE"/>
        </w:rPr>
        <w:t xml:space="preserve"> </w:t>
      </w:r>
      <w:hyperlink r:id="rId51" w:history="1">
        <w:r w:rsidRPr="003B2305">
          <w:rPr>
            <w:rStyle w:val="Hyperlink"/>
            <w:rFonts w:ascii="Arial" w:hAnsi="Arial" w:cs="Arial"/>
            <w:lang w:eastAsia="de-DE"/>
          </w:rPr>
          <w:t>https://eur-lex.europa.eu/legal-content/EN/TXT/?uri=CELEX:52017SC0500</w:t>
        </w:r>
      </w:hyperlink>
      <w:r w:rsidRPr="003B2305">
        <w:rPr>
          <w:rFonts w:ascii="Arial" w:hAnsi="Arial" w:cs="Arial"/>
          <w:color w:val="000000" w:themeColor="text1"/>
          <w:lang w:eastAsia="de-DE"/>
        </w:rPr>
        <w:t>.</w:t>
      </w:r>
    </w:p>
    <w:p w14:paraId="45D174DD" w14:textId="64021850" w:rsidR="00DE4AC9" w:rsidRDefault="00DE4AC9" w:rsidP="008059BC">
      <w:pPr>
        <w:spacing w:after="120" w:line="240" w:lineRule="auto"/>
        <w:ind w:left="993" w:hanging="993"/>
        <w:jc w:val="both"/>
        <w:rPr>
          <w:rFonts w:ascii="Arial" w:hAnsi="Arial" w:cs="Arial"/>
          <w:lang w:val="en-US"/>
        </w:rPr>
      </w:pPr>
      <w:r>
        <w:rPr>
          <w:rFonts w:ascii="Arial" w:hAnsi="Arial" w:cs="Arial"/>
          <w:color w:val="000000" w:themeColor="text1"/>
          <w:lang w:eastAsia="de-DE"/>
        </w:rPr>
        <w:t>[C1-21]</w:t>
      </w:r>
      <w:r>
        <w:rPr>
          <w:rFonts w:ascii="Arial" w:hAnsi="Arial" w:cs="Arial"/>
          <w:color w:val="000000" w:themeColor="text1"/>
          <w:lang w:eastAsia="de-DE"/>
        </w:rPr>
        <w:tab/>
      </w:r>
      <w:r w:rsidRPr="003B2305">
        <w:rPr>
          <w:rFonts w:ascii="Arial" w:hAnsi="Arial" w:cs="Arial"/>
          <w:lang w:val="en-US"/>
        </w:rPr>
        <w:t xml:space="preserve">Network 2030: </w:t>
      </w:r>
      <w:r>
        <w:rPr>
          <w:rFonts w:ascii="Arial" w:hAnsi="Arial" w:cs="Arial"/>
          <w:lang w:val="en-US"/>
        </w:rPr>
        <w:t>“</w:t>
      </w:r>
      <w:r w:rsidRPr="003B2305">
        <w:rPr>
          <w:rFonts w:ascii="Arial" w:hAnsi="Arial" w:cs="Arial"/>
          <w:lang w:val="en-US"/>
        </w:rPr>
        <w:t>A Blueprint of Technology, Applications and Market Drivers Towards the Year 2030 and Beyond", FG-NET-2030 ITU-T, May 2019</w:t>
      </w:r>
    </w:p>
    <w:p w14:paraId="4C0DEA3D" w14:textId="20A8BBF8" w:rsidR="00AA3EAB" w:rsidRDefault="00AA3EAB" w:rsidP="008059BC">
      <w:pPr>
        <w:ind w:left="993" w:hanging="993"/>
        <w:rPr>
          <w:rFonts w:ascii="Arial" w:hAnsi="Arial" w:cs="Arial"/>
        </w:rPr>
      </w:pPr>
      <w:r>
        <w:rPr>
          <w:rFonts w:ascii="Arial" w:hAnsi="Arial" w:cs="Arial"/>
        </w:rPr>
        <w:t>[C2-1]</w:t>
      </w:r>
      <w:r w:rsidRPr="000B395D">
        <w:rPr>
          <w:rFonts w:ascii="Arial" w:hAnsi="Arial" w:cs="Arial"/>
        </w:rPr>
        <w:tab/>
        <w:t xml:space="preserve">GSMA: The Mobile Economy 2018. 2018, </w:t>
      </w:r>
      <w:hyperlink r:id="rId52" w:history="1">
        <w:r w:rsidRPr="000B395D">
          <w:rPr>
            <w:rStyle w:val="Hyperlink"/>
            <w:rFonts w:ascii="Arial" w:hAnsi="Arial" w:cs="Arial"/>
          </w:rPr>
          <w:t>https://www.gsma.com/mobileeconomy/wp-content/uploads/2018/05/The-Mobile-Economy-2018.pdf</w:t>
        </w:r>
      </w:hyperlink>
      <w:r w:rsidRPr="000B395D">
        <w:rPr>
          <w:rFonts w:ascii="Arial" w:hAnsi="Arial" w:cs="Arial"/>
        </w:rPr>
        <w:t>.</w:t>
      </w:r>
    </w:p>
    <w:p w14:paraId="4CDFFC1A" w14:textId="043FD1F8" w:rsidR="00AA3EAB" w:rsidRDefault="00AA3EAB" w:rsidP="008059BC">
      <w:pPr>
        <w:ind w:left="993" w:hanging="993"/>
        <w:rPr>
          <w:rFonts w:ascii="Arial" w:hAnsi="Arial" w:cs="Arial"/>
        </w:rPr>
      </w:pPr>
      <w:r>
        <w:rPr>
          <w:rFonts w:ascii="Arial" w:hAnsi="Arial" w:cs="Arial"/>
        </w:rPr>
        <w:t>[C2-2]</w:t>
      </w:r>
      <w:r>
        <w:rPr>
          <w:rFonts w:ascii="Arial" w:hAnsi="Arial" w:cs="Arial"/>
        </w:rPr>
        <w:tab/>
      </w:r>
      <w:r w:rsidRPr="000B395D">
        <w:rPr>
          <w:rFonts w:ascii="Arial" w:hAnsi="Arial" w:cs="Arial"/>
        </w:rPr>
        <w:t xml:space="preserve">ITU: ITU News, October 31, 2018, </w:t>
      </w:r>
      <w:hyperlink r:id="rId53" w:history="1">
        <w:r w:rsidRPr="000B395D">
          <w:rPr>
            <w:rStyle w:val="Hyperlink"/>
            <w:rFonts w:ascii="Arial" w:hAnsi="Arial" w:cs="Arial"/>
          </w:rPr>
          <w:t>https://www.itu.int/en/itunews/Documents/2018/2018-04/2018_ITUNews04-en.pdf</w:t>
        </w:r>
      </w:hyperlink>
      <w:r w:rsidRPr="000B395D">
        <w:rPr>
          <w:rFonts w:ascii="Arial" w:hAnsi="Arial" w:cs="Arial"/>
        </w:rPr>
        <w:t>.</w:t>
      </w:r>
    </w:p>
    <w:p w14:paraId="47D75866" w14:textId="1F66C567" w:rsidR="00AA3EAB" w:rsidRPr="000B395D" w:rsidRDefault="00AA3EAB" w:rsidP="008059BC">
      <w:pPr>
        <w:ind w:left="993" w:hanging="993"/>
        <w:rPr>
          <w:rFonts w:ascii="Arial" w:hAnsi="Arial" w:cs="Arial"/>
          <w:color w:val="0563C1" w:themeColor="hyperlink"/>
          <w:u w:val="single"/>
          <w:lang w:val="fr-CH"/>
        </w:rPr>
      </w:pPr>
      <w:r>
        <w:rPr>
          <w:rFonts w:ascii="Arial" w:hAnsi="Arial" w:cs="Arial"/>
        </w:rPr>
        <w:t>[C2-3]</w:t>
      </w:r>
      <w:r>
        <w:rPr>
          <w:rFonts w:ascii="Arial" w:hAnsi="Arial" w:cs="Arial"/>
        </w:rPr>
        <w:tab/>
      </w:r>
      <w:r w:rsidRPr="000B395D">
        <w:rPr>
          <w:rFonts w:ascii="Arial" w:hAnsi="Arial" w:cs="Arial"/>
        </w:rPr>
        <w:t xml:space="preserve">ITU: </w:t>
      </w:r>
      <w:r w:rsidRPr="000B395D">
        <w:rPr>
          <w:rFonts w:ascii="Arial" w:hAnsi="Arial" w:cs="Arial"/>
          <w:bCs/>
        </w:rPr>
        <w:t xml:space="preserve">SDG Digital Investment Framework - </w:t>
      </w:r>
      <w:r w:rsidRPr="000B395D">
        <w:rPr>
          <w:rFonts w:ascii="Arial" w:hAnsi="Arial" w:cs="Arial"/>
        </w:rPr>
        <w:t xml:space="preserve">A Whole-of-Government Approach to Investing in Digital Technologies to Achieve the SDGs. </w:t>
      </w:r>
      <w:r w:rsidRPr="000B395D">
        <w:rPr>
          <w:rFonts w:ascii="Arial" w:hAnsi="Arial" w:cs="Arial"/>
          <w:lang w:val="fr-CH"/>
        </w:rPr>
        <w:t xml:space="preserve">ITU, 2019, </w:t>
      </w:r>
      <w:hyperlink r:id="rId54" w:history="1">
        <w:r w:rsidRPr="000B395D">
          <w:rPr>
            <w:rStyle w:val="Hyperlink"/>
            <w:rFonts w:ascii="Arial" w:hAnsi="Arial" w:cs="Arial"/>
            <w:lang w:val="fr-CH"/>
          </w:rPr>
          <w:t>https://www.itu.int/dms_pub/itu-d/opb/str/D-STR-DIGITAL.02-2019-PDF-E.pdf</w:t>
        </w:r>
      </w:hyperlink>
    </w:p>
    <w:p w14:paraId="2B670A90" w14:textId="44AFBDA2" w:rsidR="00AA3EAB" w:rsidRDefault="00AA3EAB" w:rsidP="008059BC">
      <w:pPr>
        <w:ind w:left="993" w:hanging="993"/>
        <w:rPr>
          <w:rStyle w:val="Hyperlink"/>
          <w:rFonts w:ascii="Arial" w:hAnsi="Arial" w:cs="Arial"/>
          <w:lang w:val="fr-CH"/>
        </w:rPr>
      </w:pPr>
      <w:r>
        <w:rPr>
          <w:rFonts w:ascii="Arial" w:hAnsi="Arial" w:cs="Arial"/>
          <w:lang w:val="fr-CH"/>
        </w:rPr>
        <w:t>[C2-4]</w:t>
      </w:r>
      <w:r>
        <w:rPr>
          <w:rFonts w:ascii="Arial" w:hAnsi="Arial" w:cs="Arial"/>
          <w:lang w:val="fr-CH"/>
        </w:rPr>
        <w:tab/>
      </w:r>
      <w:hyperlink r:id="rId55" w:history="1">
        <w:r w:rsidRPr="000B395D">
          <w:rPr>
            <w:rStyle w:val="Hyperlink"/>
            <w:rFonts w:ascii="Arial" w:hAnsi="Arial" w:cs="Arial"/>
            <w:lang w:val="fr-CH"/>
          </w:rPr>
          <w:t>https://ec.europa.eu/info/horizon-europe-next-research-and-innovation-framework-programme/missions-horizon-europe_en</w:t>
        </w:r>
      </w:hyperlink>
      <w:r w:rsidRPr="000B395D">
        <w:rPr>
          <w:rStyle w:val="Hyperlink"/>
          <w:rFonts w:ascii="Arial" w:hAnsi="Arial" w:cs="Arial"/>
          <w:lang w:val="fr-CH"/>
        </w:rPr>
        <w:t xml:space="preserve">  </w:t>
      </w:r>
    </w:p>
    <w:p w14:paraId="2B0CF10F" w14:textId="250AD90E" w:rsidR="00AA3EAB" w:rsidRDefault="00AA3EAB" w:rsidP="008059BC">
      <w:pPr>
        <w:ind w:left="993" w:hanging="993"/>
        <w:rPr>
          <w:rFonts w:ascii="Arial" w:hAnsi="Arial" w:cs="Arial"/>
          <w:lang w:val="fr-CH"/>
        </w:rPr>
      </w:pPr>
      <w:r>
        <w:rPr>
          <w:rFonts w:ascii="Arial" w:hAnsi="Arial" w:cs="Arial"/>
          <w:lang w:val="fr-CH"/>
        </w:rPr>
        <w:t>[C2-5]</w:t>
      </w:r>
      <w:r>
        <w:rPr>
          <w:rFonts w:ascii="Arial" w:hAnsi="Arial" w:cs="Arial"/>
          <w:lang w:val="fr-CH"/>
        </w:rPr>
        <w:tab/>
      </w:r>
      <w:r w:rsidRPr="00287635">
        <w:rPr>
          <w:rFonts w:ascii="Arial" w:hAnsi="Arial" w:cs="Arial"/>
        </w:rPr>
        <w:t xml:space="preserve">European Commission: The European Green Deal. Communication from the Commission to the European Parliament, the European Council, the Council, the European Economic and Social Committee and the Committee of the Regions, </w:t>
      </w:r>
      <w:r w:rsidRPr="00287635">
        <w:rPr>
          <w:rFonts w:ascii="Arial" w:hAnsi="Arial" w:cs="Arial"/>
          <w:color w:val="000000"/>
        </w:rPr>
        <w:t xml:space="preserve">Brussels, 11.12.2019 COM(2019) 640 final, </w:t>
      </w:r>
      <w:hyperlink r:id="rId56" w:history="1">
        <w:r w:rsidRPr="00287635">
          <w:rPr>
            <w:rStyle w:val="Hyperlink"/>
            <w:rFonts w:ascii="Arial" w:hAnsi="Arial" w:cs="Arial"/>
          </w:rPr>
          <w:t>https://ec.europa.eu/info/sites/info/files/european-green-deal-communication_en.pdf</w:t>
        </w:r>
      </w:hyperlink>
      <w:r w:rsidRPr="00287635">
        <w:rPr>
          <w:rStyle w:val="Hyperlink"/>
          <w:rFonts w:ascii="Arial" w:hAnsi="Arial" w:cs="Arial"/>
        </w:rPr>
        <w:t>.</w:t>
      </w:r>
    </w:p>
    <w:p w14:paraId="2A888F83" w14:textId="77777777" w:rsidR="00AA3EAB" w:rsidRDefault="00AA3EAB" w:rsidP="008059BC">
      <w:pPr>
        <w:ind w:left="993" w:hanging="993"/>
        <w:rPr>
          <w:rFonts w:ascii="Arial" w:hAnsi="Arial" w:cs="Arial"/>
          <w:lang w:val="fr-CH"/>
        </w:rPr>
      </w:pPr>
      <w:r>
        <w:rPr>
          <w:rFonts w:ascii="Arial" w:hAnsi="Arial" w:cs="Arial"/>
          <w:lang w:val="fr-CH"/>
        </w:rPr>
        <w:t>[C2-6]</w:t>
      </w:r>
      <w:r>
        <w:rPr>
          <w:rFonts w:ascii="Arial" w:hAnsi="Arial" w:cs="Arial"/>
          <w:lang w:val="fr-CH"/>
        </w:rPr>
        <w:tab/>
      </w:r>
      <w:r w:rsidRPr="007368FD">
        <w:rPr>
          <w:rFonts w:ascii="Arial" w:hAnsi="Arial" w:cs="Arial"/>
          <w:lang w:val="en-US"/>
        </w:rPr>
        <w:t>"Fourth Report on the State of the Energy Union", European Commission, 9 April, 2019, to be retrieved via: https://ec.europa.eu/commission/publications/4th-state-energy-union_en</w:t>
      </w:r>
    </w:p>
    <w:p w14:paraId="53F65DDE" w14:textId="2C35A276" w:rsidR="00AA3EAB" w:rsidRDefault="00AA3EAB" w:rsidP="008059BC">
      <w:pPr>
        <w:ind w:left="993" w:hanging="993"/>
        <w:rPr>
          <w:rFonts w:ascii="Arial" w:hAnsi="Arial" w:cs="Arial"/>
          <w:lang w:val="fr-CH"/>
        </w:rPr>
      </w:pPr>
      <w:r>
        <w:rPr>
          <w:rFonts w:ascii="Arial" w:hAnsi="Arial" w:cs="Arial"/>
          <w:lang w:val="fr-CH"/>
        </w:rPr>
        <w:t>[C2-7]</w:t>
      </w:r>
      <w:r>
        <w:rPr>
          <w:rFonts w:ascii="Arial" w:hAnsi="Arial" w:cs="Arial"/>
          <w:lang w:val="fr-CH"/>
        </w:rPr>
        <w:tab/>
      </w:r>
      <w:r w:rsidRPr="00287635">
        <w:rPr>
          <w:rFonts w:ascii="Arial" w:hAnsi="Arial" w:cs="Arial"/>
          <w:color w:val="000000" w:themeColor="text1"/>
        </w:rPr>
        <w:t xml:space="preserve">The Economist Intelligence Unit: Next Generation Connectivity. October 2018, </w:t>
      </w:r>
      <w:hyperlink r:id="rId57" w:history="1">
        <w:r w:rsidRPr="00287635">
          <w:rPr>
            <w:rStyle w:val="Hyperlink"/>
            <w:rFonts w:ascii="Arial" w:hAnsi="Arial" w:cs="Arial"/>
          </w:rPr>
          <w:t>http://www.osborneclarke.com/insights/next-generation-connectivity-jeremy-kingsley-the-economist-intelligence-unit/</w:t>
        </w:r>
      </w:hyperlink>
    </w:p>
    <w:p w14:paraId="2D7C0037" w14:textId="77777777" w:rsidR="00AA3EAB" w:rsidRDefault="00AA3EAB" w:rsidP="008059BC">
      <w:pPr>
        <w:ind w:left="993" w:hanging="993"/>
        <w:rPr>
          <w:rFonts w:ascii="Arial" w:hAnsi="Arial" w:cs="Arial"/>
          <w:lang w:val="fr-CH"/>
        </w:rPr>
      </w:pPr>
      <w:r>
        <w:rPr>
          <w:rFonts w:ascii="Arial" w:hAnsi="Arial" w:cs="Arial"/>
          <w:lang w:val="fr-CH"/>
        </w:rPr>
        <w:t>[C2-8]</w:t>
      </w:r>
      <w:r>
        <w:rPr>
          <w:rFonts w:ascii="Arial" w:hAnsi="Arial" w:cs="Arial"/>
          <w:lang w:val="fr-CH"/>
        </w:rPr>
        <w:tab/>
        <w:t xml:space="preserve">ICNIRP Guidelines for Limiting Exposure to </w:t>
      </w:r>
      <w:r w:rsidRPr="007368FD">
        <w:rPr>
          <w:rFonts w:ascii="Arial" w:hAnsi="Arial" w:cs="Arial"/>
          <w:lang w:val="fr-CH"/>
        </w:rPr>
        <w:t>Electromagnetic Fields (100 K</w:t>
      </w:r>
      <w:r>
        <w:rPr>
          <w:rFonts w:ascii="Arial" w:hAnsi="Arial" w:cs="Arial"/>
          <w:lang w:val="fr-CH"/>
        </w:rPr>
        <w:t>Hz t</w:t>
      </w:r>
      <w:r w:rsidRPr="007368FD">
        <w:rPr>
          <w:rFonts w:ascii="Arial" w:hAnsi="Arial" w:cs="Arial"/>
          <w:lang w:val="fr-CH"/>
        </w:rPr>
        <w:t>o 300 G</w:t>
      </w:r>
      <w:r>
        <w:rPr>
          <w:rFonts w:ascii="Arial" w:hAnsi="Arial" w:cs="Arial"/>
          <w:lang w:val="fr-CH"/>
        </w:rPr>
        <w:t>H</w:t>
      </w:r>
      <w:r w:rsidRPr="007368FD">
        <w:rPr>
          <w:rFonts w:ascii="Arial" w:hAnsi="Arial" w:cs="Arial"/>
          <w:lang w:val="fr-CH"/>
        </w:rPr>
        <w:t>z)</w:t>
      </w:r>
    </w:p>
    <w:p w14:paraId="09210D68" w14:textId="77777777" w:rsidR="00AA3EAB" w:rsidRDefault="00AA3EAB" w:rsidP="008059BC">
      <w:pPr>
        <w:ind w:left="993" w:hanging="993"/>
        <w:rPr>
          <w:rFonts w:ascii="Arial" w:hAnsi="Arial" w:cs="Arial"/>
          <w:lang w:val="fr-CH"/>
        </w:rPr>
      </w:pPr>
      <w:r>
        <w:rPr>
          <w:rFonts w:ascii="Arial" w:hAnsi="Arial" w:cs="Arial"/>
          <w:lang w:val="fr-CH"/>
        </w:rPr>
        <w:t>[C2-9]</w:t>
      </w:r>
      <w:r>
        <w:rPr>
          <w:rFonts w:ascii="Arial" w:hAnsi="Arial" w:cs="Arial"/>
          <w:lang w:val="fr-CH"/>
        </w:rPr>
        <w:tab/>
      </w:r>
      <w:r w:rsidRPr="007368FD">
        <w:rPr>
          <w:rFonts w:ascii="Arial" w:hAnsi="Arial" w:cs="Arial"/>
          <w:lang w:val="fr-CH"/>
        </w:rPr>
        <w:t>International Commission on Non-Ionizing Radiation Protection (ICNIRP): March 2020, https://www.i</w:t>
      </w:r>
      <w:r>
        <w:rPr>
          <w:rFonts w:ascii="Arial" w:hAnsi="Arial" w:cs="Arial"/>
          <w:lang w:val="fr-CH"/>
        </w:rPr>
        <w:t>cnirp.org/en/differences.html. « </w:t>
      </w:r>
      <w:r w:rsidRPr="007368FD">
        <w:rPr>
          <w:rFonts w:ascii="Arial" w:hAnsi="Arial" w:cs="Arial"/>
          <w:lang w:val="fr-CH"/>
        </w:rPr>
        <w:t>Differences between the ICNIRP (2020) and previous guidelines</w:t>
      </w:r>
      <w:r>
        <w:rPr>
          <w:rFonts w:ascii="Arial" w:hAnsi="Arial" w:cs="Arial"/>
          <w:lang w:val="fr-CH"/>
        </w:rPr>
        <w:t> »</w:t>
      </w:r>
    </w:p>
    <w:p w14:paraId="540C16F0" w14:textId="20A6616F" w:rsidR="00AA3EAB" w:rsidRDefault="00AA3EAB" w:rsidP="008059BC">
      <w:pPr>
        <w:ind w:left="993" w:hanging="993"/>
        <w:rPr>
          <w:rFonts w:ascii="Arial" w:hAnsi="Arial" w:cs="Arial"/>
          <w:lang w:val="fr-CH"/>
        </w:rPr>
      </w:pPr>
      <w:r>
        <w:rPr>
          <w:rFonts w:ascii="Arial" w:hAnsi="Arial" w:cs="Arial"/>
          <w:lang w:val="fr-CH"/>
        </w:rPr>
        <w:t>[C2-10]</w:t>
      </w:r>
      <w:r>
        <w:rPr>
          <w:rFonts w:ascii="Arial" w:hAnsi="Arial" w:cs="Arial"/>
          <w:lang w:val="fr-CH"/>
        </w:rPr>
        <w:tab/>
      </w:r>
      <w:r w:rsidRPr="00CE51ED">
        <w:rPr>
          <w:rFonts w:ascii="Arial" w:hAnsi="Arial" w:cs="Arial"/>
          <w:color w:val="000000" w:themeColor="text1"/>
          <w:lang w:val="fr-CH"/>
        </w:rPr>
        <w:t xml:space="preserve">Viola, R.: Blogpost, </w:t>
      </w:r>
      <w:hyperlink r:id="rId58" w:history="1">
        <w:r w:rsidRPr="00CE51ED">
          <w:rPr>
            <w:rStyle w:val="Hyperlink"/>
            <w:rFonts w:ascii="Arial" w:hAnsi="Arial" w:cs="Arial"/>
            <w:lang w:val="fr-CH"/>
          </w:rPr>
          <w:t>https://ec.europa.eu/digital-single-market/en/blog/speech-roberto-viola-director-general-dg-connect-european-commission</w:t>
        </w:r>
      </w:hyperlink>
      <w:r w:rsidRPr="00CE51ED">
        <w:rPr>
          <w:rFonts w:ascii="Arial" w:hAnsi="Arial" w:cs="Arial"/>
          <w:color w:val="000000" w:themeColor="text1"/>
          <w:lang w:val="fr-CH"/>
        </w:rPr>
        <w:t>.</w:t>
      </w:r>
    </w:p>
    <w:p w14:paraId="6ED8CBF4" w14:textId="29F4ADA0" w:rsidR="00AA3EAB" w:rsidRDefault="00AA3EAB" w:rsidP="008059BC">
      <w:pPr>
        <w:ind w:left="993" w:hanging="993"/>
        <w:rPr>
          <w:rFonts w:ascii="Arial" w:hAnsi="Arial" w:cs="Arial"/>
          <w:lang w:val="fr-CH"/>
        </w:rPr>
      </w:pPr>
      <w:r>
        <w:rPr>
          <w:rFonts w:ascii="Arial" w:hAnsi="Arial" w:cs="Arial"/>
          <w:lang w:val="fr-CH"/>
        </w:rPr>
        <w:lastRenderedPageBreak/>
        <w:t>[C2-11]</w:t>
      </w:r>
      <w:r>
        <w:rPr>
          <w:rFonts w:ascii="Arial" w:hAnsi="Arial" w:cs="Arial"/>
          <w:lang w:val="fr-CH"/>
        </w:rPr>
        <w:tab/>
      </w:r>
      <w:r w:rsidRPr="003E7291">
        <w:rPr>
          <w:rFonts w:ascii="Arial" w:hAnsi="Arial" w:cs="Arial"/>
        </w:rPr>
        <w:t xml:space="preserve">United Nations – Broadband Commission for Sustainable Development 2025 Targets: “Connecting the Other Half”. </w:t>
      </w:r>
      <w:hyperlink r:id="rId59" w:history="1">
        <w:r w:rsidRPr="003E7291">
          <w:rPr>
            <w:rStyle w:val="Hyperlink"/>
            <w:rFonts w:ascii="Arial" w:hAnsi="Arial" w:cs="Arial"/>
          </w:rPr>
          <w:t>http://www.broadbandcommission.org/Documents/publications/wef2018.pdf</w:t>
        </w:r>
      </w:hyperlink>
      <w:r w:rsidRPr="003E7291">
        <w:rPr>
          <w:rFonts w:ascii="Arial" w:hAnsi="Arial" w:cs="Arial"/>
        </w:rPr>
        <w:t>.</w:t>
      </w:r>
    </w:p>
    <w:p w14:paraId="0E153685" w14:textId="77777777" w:rsidR="00AA3EAB" w:rsidRDefault="00AA3EAB" w:rsidP="008059BC">
      <w:pPr>
        <w:spacing w:after="40" w:line="240" w:lineRule="auto"/>
        <w:ind w:left="993" w:hanging="993"/>
        <w:jc w:val="both"/>
        <w:rPr>
          <w:rFonts w:ascii="Arial" w:hAnsi="Arial" w:cs="Arial"/>
          <w:color w:val="000000" w:themeColor="text1"/>
        </w:rPr>
      </w:pPr>
      <w:r w:rsidRPr="003E7291">
        <w:rPr>
          <w:rFonts w:ascii="Arial" w:hAnsi="Arial" w:cs="Arial"/>
          <w:lang w:val="fr-CH"/>
        </w:rPr>
        <w:t>[C2-12]</w:t>
      </w:r>
      <w:r>
        <w:rPr>
          <w:rFonts w:ascii="Arial" w:hAnsi="Arial" w:cs="Arial"/>
          <w:lang w:val="fr-CH"/>
        </w:rPr>
        <w:tab/>
      </w:r>
      <w:r w:rsidRPr="003E7291">
        <w:rPr>
          <w:rFonts w:ascii="Arial" w:hAnsi="Arial" w:cs="Arial"/>
          <w:color w:val="000000" w:themeColor="text1"/>
        </w:rPr>
        <w:t>GSMA: 2018 Mobile Industry Impact Report: Sust</w:t>
      </w:r>
      <w:r>
        <w:rPr>
          <w:rFonts w:ascii="Arial" w:hAnsi="Arial" w:cs="Arial"/>
          <w:color w:val="000000" w:themeColor="text1"/>
        </w:rPr>
        <w:t>ainable Development Goals. 2018</w:t>
      </w:r>
    </w:p>
    <w:p w14:paraId="5ED94EED" w14:textId="2AB5A5D9" w:rsidR="00AA3EAB" w:rsidRPr="003E7291" w:rsidRDefault="00AA3EAB" w:rsidP="008059BC">
      <w:pPr>
        <w:spacing w:after="40" w:line="240" w:lineRule="auto"/>
        <w:ind w:left="993" w:hanging="993"/>
        <w:jc w:val="both"/>
        <w:rPr>
          <w:rFonts w:ascii="Arial" w:eastAsia="Times New Roman" w:hAnsi="Arial" w:cs="Arial"/>
          <w:sz w:val="20"/>
          <w:szCs w:val="20"/>
          <w:lang w:val="en-US"/>
        </w:rPr>
      </w:pPr>
      <w:r>
        <w:rPr>
          <w:rFonts w:ascii="Arial" w:hAnsi="Arial" w:cs="Arial"/>
          <w:color w:val="000000" w:themeColor="text1"/>
        </w:rPr>
        <w:t>[C2-13]</w:t>
      </w:r>
      <w:r w:rsidRPr="003E7291">
        <w:rPr>
          <w:rFonts w:ascii="Arial" w:hAnsi="Arial" w:cs="Arial"/>
          <w:color w:val="000000" w:themeColor="text1"/>
        </w:rPr>
        <w:tab/>
      </w:r>
      <w:r w:rsidRPr="003E7291">
        <w:rPr>
          <w:rFonts w:ascii="Arial" w:hAnsi="Arial" w:cs="Arial"/>
        </w:rPr>
        <w:t xml:space="preserve">EU Commission: The Sustainable Development Goals. </w:t>
      </w:r>
      <w:hyperlink r:id="rId60" w:history="1">
        <w:r w:rsidRPr="003E7291">
          <w:rPr>
            <w:rStyle w:val="Hyperlink"/>
            <w:rFonts w:ascii="Arial" w:hAnsi="Arial" w:cs="Arial"/>
            <w:iCs/>
            <w:noProof/>
          </w:rPr>
          <w:t>https://ec.europa.eu/europeaid/policies/sustainable-development-goals_en</w:t>
        </w:r>
      </w:hyperlink>
      <w:r w:rsidRPr="003E7291">
        <w:rPr>
          <w:rFonts w:ascii="Arial" w:hAnsi="Arial" w:cs="Arial"/>
        </w:rPr>
        <w:t>.</w:t>
      </w:r>
    </w:p>
    <w:p w14:paraId="51B5C64B" w14:textId="15A83DB1" w:rsidR="00AA3EAB" w:rsidRDefault="00AA3EAB" w:rsidP="008059BC">
      <w:pPr>
        <w:spacing w:after="40" w:line="240" w:lineRule="auto"/>
        <w:ind w:left="993" w:hanging="993"/>
        <w:jc w:val="both"/>
        <w:rPr>
          <w:rFonts w:ascii="Arial" w:hAnsi="Arial" w:cs="Arial"/>
          <w:iCs/>
          <w:noProof/>
          <w:color w:val="000000"/>
        </w:rPr>
      </w:pPr>
      <w:r>
        <w:rPr>
          <w:rFonts w:ascii="Arial" w:hAnsi="Arial" w:cs="Arial"/>
        </w:rPr>
        <w:t>[C</w:t>
      </w:r>
      <w:r w:rsidRPr="003E7291">
        <w:rPr>
          <w:rFonts w:ascii="Arial" w:hAnsi="Arial" w:cs="Arial"/>
        </w:rPr>
        <w:t>2-14]</w:t>
      </w:r>
      <w:r>
        <w:rPr>
          <w:rFonts w:ascii="Arial" w:hAnsi="Arial" w:cs="Arial"/>
        </w:rPr>
        <w:tab/>
        <w:t xml:space="preserve">Juncker, J.-C.: State </w:t>
      </w:r>
      <w:r w:rsidRPr="003E7291">
        <w:rPr>
          <w:rFonts w:ascii="Arial" w:hAnsi="Arial" w:cs="Arial"/>
        </w:rPr>
        <w:t xml:space="preserve">f the Union speech. 2017, </w:t>
      </w:r>
      <w:hyperlink r:id="rId61" w:history="1">
        <w:r w:rsidRPr="003E7291">
          <w:rPr>
            <w:rStyle w:val="Hyperlink"/>
            <w:rFonts w:ascii="Arial" w:hAnsi="Arial" w:cs="Arial"/>
            <w:bCs/>
          </w:rPr>
          <w:t>http://europa.eu/rapid/attachment/SPEECH-17-3165/en/EN-FR-DE-Speech.pdf</w:t>
        </w:r>
      </w:hyperlink>
      <w:r w:rsidRPr="003E7291">
        <w:rPr>
          <w:rFonts w:ascii="Arial" w:hAnsi="Arial" w:cs="Arial"/>
          <w:iCs/>
          <w:noProof/>
          <w:color w:val="000000"/>
        </w:rPr>
        <w:t>.</w:t>
      </w:r>
    </w:p>
    <w:p w14:paraId="4585102D" w14:textId="72536A31" w:rsidR="00AA3EAB" w:rsidRDefault="00AA3EAB" w:rsidP="008059BC">
      <w:pPr>
        <w:spacing w:after="40" w:line="240" w:lineRule="auto"/>
        <w:ind w:left="993" w:hanging="993"/>
        <w:jc w:val="both"/>
        <w:rPr>
          <w:rStyle w:val="Hyperlink"/>
          <w:rFonts w:ascii="Arial" w:hAnsi="Arial" w:cs="Arial"/>
          <w:iCs/>
          <w:noProof/>
        </w:rPr>
      </w:pPr>
      <w:r>
        <w:rPr>
          <w:rFonts w:ascii="Arial" w:hAnsi="Arial" w:cs="Arial"/>
          <w:iCs/>
          <w:noProof/>
          <w:color w:val="000000"/>
        </w:rPr>
        <w:t>[C2-15]</w:t>
      </w:r>
      <w:r>
        <w:rPr>
          <w:rFonts w:ascii="Arial" w:hAnsi="Arial" w:cs="Arial"/>
          <w:iCs/>
          <w:noProof/>
          <w:color w:val="000000"/>
        </w:rPr>
        <w:tab/>
      </w:r>
      <w:r w:rsidRPr="00AA3EAB">
        <w:rPr>
          <w:rFonts w:ascii="Arial" w:hAnsi="Arial" w:cs="Arial"/>
          <w:iCs/>
          <w:noProof/>
          <w:color w:val="000000"/>
        </w:rPr>
        <w:t xml:space="preserve">European Commission: EU Budget for the Future. May 2018 </w:t>
      </w:r>
      <w:hyperlink r:id="rId62" w:history="1">
        <w:r w:rsidRPr="00AA3EAB">
          <w:rPr>
            <w:rStyle w:val="Hyperlink"/>
            <w:rFonts w:ascii="Arial" w:hAnsi="Arial" w:cs="Arial"/>
            <w:iCs/>
            <w:noProof/>
          </w:rPr>
          <w:t>https://ec.europa.eu/commission/sites/beta-political/files/communication-modern-budget-may_2018_en.pdf</w:t>
        </w:r>
      </w:hyperlink>
      <w:r w:rsidRPr="00AA3EAB">
        <w:rPr>
          <w:rStyle w:val="Hyperlink"/>
          <w:rFonts w:ascii="Arial" w:hAnsi="Arial" w:cs="Arial"/>
          <w:iCs/>
          <w:noProof/>
        </w:rPr>
        <w:t>.</w:t>
      </w:r>
    </w:p>
    <w:p w14:paraId="4693399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 </w:t>
      </w:r>
      <w:r w:rsidRPr="000E1333">
        <w:rPr>
          <w:rFonts w:ascii="Arial" w:eastAsiaTheme="minorEastAsia" w:hAnsi="Arial" w:cs="Arial"/>
        </w:rPr>
        <w:tab/>
        <w:t xml:space="preserve">J. Si, Y. Niu, J. Lu and H. Zhang, "High-Precision Estimation of Steering Angle of Agricultural Tractors Using GPS and Low-Accuracy MEMS," in IEEE Transactions on Vehicular Technology, vol. 68, no. 12, pp. 11738-11745, Dec. 2019. </w:t>
      </w:r>
    </w:p>
    <w:p w14:paraId="19142D58"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 </w:t>
      </w:r>
      <w:r w:rsidRPr="000E1333">
        <w:rPr>
          <w:rFonts w:ascii="Arial" w:eastAsiaTheme="minorEastAsia" w:hAnsi="Arial" w:cs="Arial"/>
        </w:rPr>
        <w:tab/>
        <w:t xml:space="preserve">T. C. Thayer, S. Vougioukas, K. Goldberg and S. Carpin, "Multirobot Routing Algorithms for Robots Operating in Vineyards," in IEEE Transactions on Automation Science and Engineering. </w:t>
      </w:r>
    </w:p>
    <w:p w14:paraId="361C4F4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[C3-3] </w:t>
      </w:r>
      <w:r w:rsidRPr="000E1333">
        <w:rPr>
          <w:rFonts w:ascii="Arial" w:eastAsiaTheme="minorEastAsia" w:hAnsi="Arial" w:cs="Arial"/>
        </w:rPr>
        <w:tab/>
        <w:t xml:space="preserve">B. R. Jerosheja and C. Mythili, "Solar Powered Automated Multi-Tasking Agricultural Robot," 2020 International Conference on Innovative Trends in Information Technology (ICITIIT), Kottayam, India, 2020, pp. 1-5. </w:t>
      </w:r>
    </w:p>
    <w:p w14:paraId="7719329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 </w:t>
      </w:r>
      <w:r w:rsidRPr="000E1333">
        <w:rPr>
          <w:rFonts w:ascii="Arial" w:eastAsiaTheme="minorEastAsia" w:hAnsi="Arial" w:cs="Arial"/>
        </w:rPr>
        <w:tab/>
        <w:t xml:space="preserve">V. Krueger et al., "A Vertical and Cyber–Physical Integration of Cognitive Robots in Manufacturing," in Proceedings of the IEEE, vol. 104, no. 5, pp. 1114-1127, May 2016. </w:t>
      </w:r>
    </w:p>
    <w:p w14:paraId="1CB7FEF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[C3-5] </w:t>
      </w:r>
      <w:r w:rsidRPr="000E1333">
        <w:rPr>
          <w:rFonts w:ascii="Arial" w:eastAsiaTheme="minorEastAsia" w:hAnsi="Arial" w:cs="Arial"/>
        </w:rPr>
        <w:tab/>
        <w:t xml:space="preserve">A. Schwung, D. Schwung and M. S. Abdul Hameed, "Cooperative Robot Control in Flexible Manufacturing Cells: Centralized vs. Distributed Approaches," 2019 IEEE 17th International Conference on Industrial Informatics (INDIN), Helsinki, Finland, 2019, pp. 233-238. </w:t>
      </w:r>
    </w:p>
    <w:p w14:paraId="59BC1CB8" w14:textId="77777777" w:rsidR="000E1333" w:rsidRPr="000E1333" w:rsidRDefault="000E1333" w:rsidP="000E1333">
      <w:pPr>
        <w:spacing w:after="120" w:line="240" w:lineRule="auto"/>
        <w:ind w:left="993" w:hanging="993"/>
        <w:jc w:val="both"/>
        <w:rPr>
          <w:rFonts w:ascii="Arial" w:eastAsiaTheme="minorEastAsia" w:hAnsi="Arial" w:cs="Arial"/>
        </w:rPr>
      </w:pPr>
      <w:r w:rsidRPr="00CE51ED">
        <w:rPr>
          <w:rFonts w:ascii="Arial" w:eastAsiaTheme="minorEastAsia" w:hAnsi="Arial" w:cs="Arial"/>
          <w:lang w:val="pt-PT"/>
        </w:rPr>
        <w:t xml:space="preserve">[C3-6] </w:t>
      </w:r>
      <w:r w:rsidRPr="00CE51ED">
        <w:rPr>
          <w:rFonts w:ascii="Arial" w:eastAsiaTheme="minorEastAsia" w:hAnsi="Arial" w:cs="Arial"/>
          <w:lang w:val="pt-PT"/>
        </w:rPr>
        <w:tab/>
        <w:t xml:space="preserve">Kachouie, Reza &amp; Sedighadeli, &amp; Khosla, Rajiv &amp; Chu,. </w:t>
      </w:r>
      <w:r w:rsidRPr="000E1333">
        <w:rPr>
          <w:rFonts w:ascii="Arial" w:eastAsiaTheme="minorEastAsia" w:hAnsi="Arial" w:cs="Arial"/>
        </w:rPr>
        <w:t xml:space="preserve">(2014). Socially Assistive Robots in Elderly Care: A MixedMethod Systematic Literature Review. International Journal of Human-Computer Interaction. 30. 10.1080/10447318.2013.873278. </w:t>
      </w:r>
    </w:p>
    <w:p w14:paraId="20A6AF63"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[C3-7] </w:t>
      </w:r>
      <w:r w:rsidRPr="000E1333">
        <w:rPr>
          <w:rFonts w:ascii="Arial" w:eastAsiaTheme="minorEastAsia" w:hAnsi="Arial" w:cs="Arial"/>
        </w:rPr>
        <w:tab/>
        <w:t xml:space="preserve">R. Hussain and S. Zeadally, "Autonomous Cars: Research Results, Issues, and Future Challenges," in IEEE Communications Surveys &amp; Tutorials, vol. 21, no. 2, pp. 1275-1313, Secondquarter 2019. </w:t>
      </w:r>
    </w:p>
    <w:p w14:paraId="35A33C1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[C3-8] </w:t>
      </w:r>
      <w:r w:rsidRPr="000E1333">
        <w:rPr>
          <w:rFonts w:ascii="Arial" w:eastAsiaTheme="minorEastAsia" w:hAnsi="Arial" w:cs="Arial"/>
        </w:rPr>
        <w:tab/>
        <w:t xml:space="preserve">M. Beul, D. Droeschel, M. Nieuwenhuisen, J. Quenzel, S. Houben and S. Behnke, "Fast Autonomous Flight in Warehouses for Inventory Applications," in IEEE Robotics and Automation Letters, vol. 3, no. 4, pp. 3121-3128, Oct. 2018. </w:t>
      </w:r>
    </w:p>
    <w:p w14:paraId="5243F62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[C3-9] </w:t>
      </w:r>
      <w:r w:rsidRPr="000E1333">
        <w:rPr>
          <w:rFonts w:ascii="Arial" w:eastAsiaTheme="minorEastAsia" w:hAnsi="Arial" w:cs="Arial"/>
        </w:rPr>
        <w:tab/>
        <w:t xml:space="preserve">S. Iranmanesh, R. Raad, M. S. Raheel, F. Tubbal and T. Jan, "Novel DTN Mobility-Driven Routing in Autonomous Drone Logistics Networks," in IEEE Access, vol. 8, pp. 13661-13673, 2020. </w:t>
      </w:r>
    </w:p>
    <w:p w14:paraId="1446DC7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[C3-10 ] </w:t>
      </w:r>
      <w:r w:rsidRPr="000E1333">
        <w:rPr>
          <w:rFonts w:ascii="Arial" w:eastAsiaTheme="minorEastAsia" w:hAnsi="Arial" w:cs="Arial"/>
        </w:rPr>
        <w:tab/>
        <w:t xml:space="preserve">S. F. Rafique, M. K. Bodla, Z. Ahmed, U. Nasir, A. Zaidi and M. Saleem, "Design and implementation of a UAV for power system utility inspection," 2014 16th International Power Electronics and Motion Control Conference and Exposition, Antalya, 2014, pp. 1146-1150. </w:t>
      </w:r>
    </w:p>
    <w:p w14:paraId="7D84475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[C3-11] </w:t>
      </w:r>
      <w:r w:rsidRPr="000E1333">
        <w:rPr>
          <w:rFonts w:ascii="Arial" w:eastAsiaTheme="minorEastAsia" w:hAnsi="Arial" w:cs="Arial"/>
        </w:rPr>
        <w:tab/>
        <w:t xml:space="preserve">Z. Mao, Y. Yan, J. Wu, J. F. Hajjar and T. Padlr, "Towards Automated Post-Disaster Damage Assessment of Critical Infrastructure with Small Unmanned Aircraft Systems," 2018 IEEE International Symposium on Technologies for Homeland Security (HST), Woburn, MA, 2018, pp. 1-6. </w:t>
      </w:r>
    </w:p>
    <w:p w14:paraId="56B303A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 xml:space="preserve">[C3-12] </w:t>
      </w:r>
      <w:r w:rsidRPr="000E1333">
        <w:rPr>
          <w:rFonts w:ascii="Arial" w:eastAsiaTheme="minorEastAsia" w:hAnsi="Arial" w:cs="Arial"/>
        </w:rPr>
        <w:tab/>
        <w:t xml:space="preserve">M. P. Kokare and S. H. Pawar, "Energy Monitoring System In Electric Grids: The Role Of Advanced Intelligent And Iot For Future Electric Grid," 2020 International Conference on Emerging Trends in Information Technology and Engineering (ic-ETITE), Vellore, India, 2020, pp. 1-4. </w:t>
      </w:r>
    </w:p>
    <w:p w14:paraId="2CA0903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[C3-13] </w:t>
      </w:r>
      <w:r w:rsidRPr="000E1333">
        <w:rPr>
          <w:rFonts w:ascii="Arial" w:eastAsiaTheme="minorEastAsia" w:hAnsi="Arial" w:cs="Arial"/>
        </w:rPr>
        <w:tab/>
        <w:t xml:space="preserve">N. Mhaisen, O. Abazeed, Y. A. Hariri, A. Alsalemi and O. Halabi, "Self-Powered IoT-Enabled Water Monitoring System," 2018 International Conference on Computer and Applications (ICCA), Beirut, 2018, pp. 41-45. </w:t>
      </w:r>
    </w:p>
    <w:p w14:paraId="26C9405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[C3-14] </w:t>
      </w:r>
      <w:r w:rsidRPr="000E1333">
        <w:rPr>
          <w:rFonts w:ascii="Arial" w:eastAsiaTheme="minorEastAsia" w:hAnsi="Arial" w:cs="Arial"/>
        </w:rPr>
        <w:tab/>
        <w:t xml:space="preserve">T. Wiangtong and P. Sirisuk, "IoT-based Versatile Platform for Precision Farming," 2018 18th International Symposium on Communications and Information Technologies (ISCIT), Bangkok, 2018, pp. 438-441. </w:t>
      </w:r>
    </w:p>
    <w:p w14:paraId="11B5D91E"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[C3-15] </w:t>
      </w:r>
      <w:r w:rsidRPr="000E1333">
        <w:rPr>
          <w:rFonts w:ascii="Arial" w:eastAsiaTheme="minorEastAsia" w:hAnsi="Arial" w:cs="Arial"/>
        </w:rPr>
        <w:tab/>
        <w:t xml:space="preserve">H. T. Yew, M. F. Ng, S. Z. Ping, S. K. Chung, A. Chekima and J. A. Dargham, "IoT Based Real-Time Remote Patient Monitoring System," 2020 16th IEEE International Colloquium on Signal Processing &amp; Its Applications (CSPA), Langkawi, Malaysia, 2020, pp. 176-179. </w:t>
      </w:r>
    </w:p>
    <w:p w14:paraId="08571E62"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[C3-16] </w:t>
      </w:r>
      <w:r w:rsidRPr="000E1333">
        <w:rPr>
          <w:rFonts w:ascii="Arial" w:eastAsiaTheme="minorEastAsia" w:hAnsi="Arial" w:cs="Arial"/>
        </w:rPr>
        <w:tab/>
        <w:t xml:space="preserve">J. Chen, A. Valehi and A. Razi, "Smart Heart Monitoring: Early Prediction of Heart Problems Through Predictive Analysis of ECG Signals," in IEEE Access, vol. 7, pp. 120831-120839, 2019. </w:t>
      </w:r>
    </w:p>
    <w:p w14:paraId="113537D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[C3-17] </w:t>
      </w:r>
      <w:r w:rsidRPr="000E1333">
        <w:rPr>
          <w:rFonts w:ascii="Arial" w:eastAsiaTheme="minorEastAsia" w:hAnsi="Arial" w:cs="Arial"/>
        </w:rPr>
        <w:tab/>
        <w:t xml:space="preserve">A. W. Colombo, S. Karnouskos, O. Kaynak, Y. Shi and S. Yin, "Industrial Cyberphysical Systems: A Backbone of the Fourth Industrial Revolution," in IEEE Industrial Electronics Magazine, vol. 11, no. 1, pp. 6-16, March 2017. </w:t>
      </w:r>
    </w:p>
    <w:p w14:paraId="41AC33AF"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[C3-18] </w:t>
      </w:r>
      <w:r w:rsidRPr="000E1333">
        <w:rPr>
          <w:rFonts w:ascii="Arial" w:eastAsiaTheme="minorEastAsia" w:hAnsi="Arial" w:cs="Arial"/>
        </w:rPr>
        <w:tab/>
        <w:t xml:space="preserve">FG-NET2030 – Focus Group on Technologies for Network 2030 "Representative use cases and key network requirements for Network 2030", ITU-T Technical report, 16 January 2020, to be retrieved via: https://www.itu.int/dms_pub/itu-t/opb/fg/T-FG-NET2030-2020-SUB.G1-PDF-E.pdf </w:t>
      </w:r>
    </w:p>
    <w:p w14:paraId="06478EBA"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[C3-19] </w:t>
      </w:r>
      <w:r w:rsidRPr="000E1333">
        <w:rPr>
          <w:rFonts w:ascii="Arial" w:eastAsiaTheme="minorEastAsia" w:hAnsi="Arial" w:cs="Arial"/>
        </w:rPr>
        <w:tab/>
        <w:t>"Network 2030: A Blueprint of Technology, Applications and Market Drivers Towards the Year 2030 and Beyond", FG-NET-2030 ITU-T, May 2019.</w:t>
      </w:r>
    </w:p>
    <w:p w14:paraId="023B3A5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[C3-20] </w:t>
      </w:r>
      <w:r w:rsidRPr="000E1333">
        <w:rPr>
          <w:rFonts w:ascii="Arial" w:eastAsiaTheme="minorEastAsia" w:hAnsi="Arial" w:cs="Arial"/>
        </w:rPr>
        <w:tab/>
        <w:t xml:space="preserve">A Survey on Holography: http://drrajivdesaimd.com/2017/09/17/hologram </w:t>
      </w:r>
    </w:p>
    <w:p w14:paraId="353A8528"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[C3-21] </w:t>
      </w:r>
      <w:r w:rsidRPr="000E1333">
        <w:rPr>
          <w:rFonts w:ascii="Arial" w:eastAsiaTheme="minorEastAsia" w:hAnsi="Arial" w:cs="Arial"/>
        </w:rPr>
        <w:tab/>
        <w:t xml:space="preserve">Holoportation, Microsoft Research, https://www.microsoft.com/en-us/research/project/holoportation-3 </w:t>
      </w:r>
    </w:p>
    <w:p w14:paraId="2113300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[C3-22] </w:t>
      </w:r>
      <w:r w:rsidRPr="000E1333">
        <w:rPr>
          <w:rFonts w:ascii="Arial" w:eastAsiaTheme="minorEastAsia" w:hAnsi="Arial" w:cs="Arial"/>
        </w:rPr>
        <w:tab/>
        <w:t xml:space="preserve">Mazin Gilbert, Artificial Intelligence for Autonomous Networks (Book, CRC Press, 2018) </w:t>
      </w:r>
    </w:p>
    <w:p w14:paraId="7826DEA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[C3-23] </w:t>
      </w:r>
      <w:r w:rsidRPr="000E1333">
        <w:rPr>
          <w:rFonts w:ascii="Arial" w:eastAsiaTheme="minorEastAsia" w:hAnsi="Arial" w:cs="Arial"/>
        </w:rPr>
        <w:tab/>
        <w:t xml:space="preserve">The Space-Terrestrial Integrated Network (STIN): An Overview, Haipeng Yao, Luyao Wang, Xiaodong Wang, Zhou Lu, and Yunjie Liu, IEEE Communications Magazine, 2018. </w:t>
      </w:r>
    </w:p>
    <w:p w14:paraId="0639740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[C3-24] </w:t>
      </w:r>
      <w:r w:rsidRPr="000E1333">
        <w:rPr>
          <w:rFonts w:ascii="Arial" w:eastAsiaTheme="minorEastAsia" w:hAnsi="Arial" w:cs="Arial"/>
        </w:rPr>
        <w:tab/>
        <w:t xml:space="preserve">Page 6: Commented [GK34]   Georgios Karagiannis   19-Apr-20 10:21:00 PM FG Network 2030 Sub-Group 1's interim activities: &lt;https://extranet.itu.int/sites/itu-t/focusgroups/net-2030/SitePages/SubGroup%201.aspx&gt;. </w:t>
      </w:r>
    </w:p>
    <w:p w14:paraId="65252102"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[C3-25]</w:t>
      </w:r>
      <w:r w:rsidRPr="000E1333">
        <w:rPr>
          <w:rFonts w:ascii="Arial" w:eastAsiaTheme="minorEastAsia" w:hAnsi="Arial" w:cs="Arial"/>
        </w:rPr>
        <w:tab/>
        <w:t>ATOS: Journey2022: Resolving Digital Dilemmas 2019,  https://atos.net/content/mini-sites/journey-2022/index.html.</w:t>
      </w:r>
    </w:p>
    <w:p w14:paraId="5C703C37"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[C3-26]</w:t>
      </w:r>
      <w:r w:rsidRPr="000E1333">
        <w:rPr>
          <w:rFonts w:ascii="Arial" w:eastAsiaTheme="minorEastAsia" w:hAnsi="Arial" w:cs="Arial"/>
        </w:rPr>
        <w:tab/>
        <w:t>Ericsson: 5G Business Potential. 2017, https://www.ericsson.com/assets/local/news-and-events/events/2017/mwcs-2017/topic-3_ericsson_5g_business_potential.pdf.</w:t>
      </w:r>
    </w:p>
    <w:p w14:paraId="58C2F8CC"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[C3-27]</w:t>
      </w:r>
      <w:r w:rsidRPr="000E1333">
        <w:rPr>
          <w:rFonts w:ascii="Arial" w:eastAsiaTheme="minorEastAsia" w:hAnsi="Arial" w:cs="Arial"/>
        </w:rPr>
        <w:tab/>
        <w:t>Huawei: Next generation assurance. November 2017, https://www.sdxcentral.com/articles/featured/huawei-next-generation-assurance/2017/11.</w:t>
      </w:r>
    </w:p>
    <w:p w14:paraId="4ACF9CC0"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[C3-28]</w:t>
      </w:r>
      <w:r w:rsidRPr="000E1333">
        <w:rPr>
          <w:rFonts w:ascii="Arial" w:eastAsiaTheme="minorEastAsia" w:hAnsi="Arial" w:cs="Arial"/>
        </w:rPr>
        <w:tab/>
        <w:t>ABIResearch: Mobile World Congress Highlights the Challenges Facing Mobile Service Providers. https://www.abiresearch.com/pages/future-mobile-industry.</w:t>
      </w:r>
    </w:p>
    <w:p w14:paraId="19BD482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[C3-29]</w:t>
      </w:r>
      <w:r w:rsidRPr="000E1333">
        <w:rPr>
          <w:rFonts w:ascii="Arial" w:eastAsiaTheme="minorEastAsia" w:hAnsi="Arial" w:cs="Arial"/>
        </w:rPr>
        <w:tab/>
        <w:t>OPENET: Digital Evolution: Cut BSS/ OSS Costs, Reduce Delivery Timescales. 2018, https://www.openet.com/doc-redirect/index_form2.php?docid=724.</w:t>
      </w:r>
    </w:p>
    <w:p w14:paraId="0D85777B"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[C3-30]</w:t>
      </w:r>
      <w:r w:rsidRPr="000E1333">
        <w:rPr>
          <w:rFonts w:ascii="Arial" w:eastAsiaTheme="minorEastAsia" w:hAnsi="Arial" w:cs="Arial"/>
        </w:rPr>
        <w:tab/>
        <w:t>Neuralink: Ultra-high bandwidth brain-machine interfaces to connect humans and computers. 2018, https://www.neuralink.com.</w:t>
      </w:r>
    </w:p>
    <w:p w14:paraId="54455A76"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[C3-31]</w:t>
      </w:r>
      <w:r w:rsidRPr="000E1333">
        <w:rPr>
          <w:rFonts w:ascii="Arial" w:eastAsiaTheme="minorEastAsia" w:hAnsi="Arial" w:cs="Arial"/>
        </w:rPr>
        <w:tab/>
        <w:t>statista – The Statistics Portal: Global digital population as of January 2018 (in millions). 2018, https://www.statista.com/statistics/617136/digital-population-worldwide.</w:t>
      </w:r>
    </w:p>
    <w:p w14:paraId="03AC443A"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[C3-32]</w:t>
      </w:r>
      <w:r w:rsidRPr="000E1333">
        <w:rPr>
          <w:rFonts w:ascii="Arial" w:eastAsiaTheme="minorEastAsia" w:hAnsi="Arial" w:cs="Arial"/>
        </w:rPr>
        <w:tab/>
        <w:t>ETSI: ETSI NFV ”Zero touch network and Service Management” (ETSI ZSM ISG). December 2017, http://www.etsi.org/technologies-clusters/technologies/zero-touch-network-service-management.</w:t>
      </w:r>
    </w:p>
    <w:p w14:paraId="02C21301"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[C3-33]</w:t>
      </w:r>
      <w:r w:rsidRPr="000E1333">
        <w:rPr>
          <w:rFonts w:ascii="Arial" w:eastAsiaTheme="minorEastAsia" w:hAnsi="Arial" w:cs="Arial"/>
        </w:rPr>
        <w:tab/>
        <w:t>TMForum whitepaper: ”OSS of the Future”. 2017, https://www.tmforum.org/resources/whitepapers/oss-of-the-future.</w:t>
      </w:r>
    </w:p>
    <w:p w14:paraId="6A5FCE1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[C3-34]</w:t>
      </w:r>
      <w:r w:rsidRPr="000E1333">
        <w:rPr>
          <w:rFonts w:ascii="Arial" w:eastAsiaTheme="minorEastAsia" w:hAnsi="Arial" w:cs="Arial"/>
        </w:rPr>
        <w:tab/>
        <w:t>Ericsson: Zero-touch networks with cloud-optimized Network Applications. Ericsson whitepaper, 2017, https://archive.ericsson.net/service/internet/picov/get?DocNo=4/28701-FGB1010325&amp;Lang=EN&amp;HighestFree=Y.</w:t>
      </w:r>
    </w:p>
    <w:p w14:paraId="787292E3"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[C3-35]</w:t>
      </w:r>
      <w:r w:rsidRPr="000E1333">
        <w:rPr>
          <w:rFonts w:ascii="Arial" w:eastAsiaTheme="minorEastAsia" w:hAnsi="Arial" w:cs="Arial"/>
        </w:rPr>
        <w:tab/>
        <w:t>ETSI: ETSI ISG Experiential Network Intelligence Whitepaper. October 2017, http://www.etsi.org/images/files/ETSIWhitePapers/etsi_wp22_ENI_FINAL.pdf.</w:t>
      </w:r>
    </w:p>
    <w:p w14:paraId="5E79FE55"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[C3-36]</w:t>
      </w:r>
      <w:r w:rsidRPr="000E1333">
        <w:rPr>
          <w:rFonts w:ascii="Arial" w:eastAsiaTheme="minorEastAsia" w:hAnsi="Arial" w:cs="Arial"/>
        </w:rPr>
        <w:tab/>
        <w:t>YuLing Chen, Alon Bernstein: Bridging the Gap Between ETSI-NFV and Cloud Native Architecture. Cisco Systems Inc., October 2017, https://www.google.de/url?sa=t&amp;rct=j&amp;q=&amp;esrc=s&amp;source=web&amp;cd=2&amp;ved=0ahUKEwiss4DOr63aAhUojK0KHQYuAsEQFgguMAE&amp;url=https%3A%2F%2Fwww.nctatechnicalpapers.com%2FPaper%2F2017%2F2017-bridging-the-gap-between-etsi-nfv-and-cloud-native-architecture%2Fdownload&amp;usg=AOvVaw3f517ofWFJMSssNLiEALDX.</w:t>
      </w:r>
    </w:p>
    <w:p w14:paraId="091EE411" w14:textId="77777777" w:rsidR="000E1333" w:rsidRPr="00726918" w:rsidRDefault="000E1333" w:rsidP="000E1333">
      <w:pPr>
        <w:spacing w:after="120" w:line="240" w:lineRule="auto"/>
        <w:ind w:left="993" w:hanging="993"/>
        <w:jc w:val="both"/>
        <w:rPr>
          <w:rFonts w:ascii="Arial" w:eastAsiaTheme="minorEastAsia" w:hAnsi="Arial" w:cs="Arial"/>
          <w:lang w:val="de-DE"/>
        </w:rPr>
      </w:pPr>
      <w:r w:rsidRPr="000E1333">
        <w:rPr>
          <w:rFonts w:ascii="Arial" w:eastAsiaTheme="minorEastAsia" w:hAnsi="Arial" w:cs="Arial"/>
        </w:rPr>
        <w:t>[C3-37]</w:t>
      </w:r>
      <w:r w:rsidRPr="000E1333">
        <w:rPr>
          <w:rFonts w:ascii="Arial" w:eastAsiaTheme="minorEastAsia" w:hAnsi="Arial" w:cs="Arial"/>
        </w:rPr>
        <w:tab/>
        <w:t xml:space="preserve">ETSI: Network Functions Virtualisation (NFV); Architecture; Report on the Enhancements of the NFV architecture towards ”Cloud-native” and ”PaaS” Release 3. </w:t>
      </w:r>
      <w:r w:rsidRPr="00726918">
        <w:rPr>
          <w:rFonts w:ascii="Arial" w:eastAsiaTheme="minorEastAsia" w:hAnsi="Arial" w:cs="Arial"/>
          <w:lang w:val="de-DE"/>
        </w:rPr>
        <w:t>Draft version. January 2018, https://www.google.de/url?sa=t&amp;rct=j&amp;q=&amp;esrc=s&amp;source=web&amp;cd=1&amp;ved=0ahUKEwjLosm2sa3aAhVNmK0KHZGzDIgQFggnMAA&amp;url=https%3A%2F%2Fdocbox.etsi.org%2FISG%2FNFV%2FOpen%2FDrafts%2FIFA029_Arch_enhancement_for_Cloud-native_%2526_PaaS%2FNFV-IFA029v001.docx&amp;usg=AOvVaw3eJ1RrMe6CbOHH7tEQFLFD.</w:t>
      </w:r>
    </w:p>
    <w:p w14:paraId="012003D9" w14:textId="77777777"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[C3-38]</w:t>
      </w:r>
      <w:r w:rsidRPr="000E1333">
        <w:rPr>
          <w:rFonts w:ascii="Arial" w:eastAsiaTheme="minorEastAsia" w:hAnsi="Arial" w:cs="Arial"/>
        </w:rPr>
        <w:tab/>
        <w:t>Analysis Mason: Flexible, extensible, adaptable: towards a universal template for VNFs onboarding and lifecycle management. Analysis Mason Limited, 2017, http://www.analysysmason.com/Research/Content/Reports/flexible-extensible-adaptable-towards-a-universal-template-for-vnf-onboarding-and-lifecycle-management-white-paper.</w:t>
      </w:r>
    </w:p>
    <w:p w14:paraId="44403AA1" w14:textId="5348A562" w:rsidR="000E1333" w:rsidRPr="000E1333" w:rsidRDefault="000E1333" w:rsidP="000E1333">
      <w:pPr>
        <w:spacing w:after="120" w:line="240" w:lineRule="auto"/>
        <w:ind w:left="993" w:hanging="993"/>
        <w:jc w:val="both"/>
        <w:rPr>
          <w:rFonts w:ascii="Arial" w:eastAsiaTheme="minorEastAsia" w:hAnsi="Arial" w:cs="Arial"/>
        </w:rPr>
      </w:pPr>
      <w:r>
        <w:rPr>
          <w:rFonts w:ascii="Arial" w:eastAsiaTheme="minorEastAsia" w:hAnsi="Arial" w:cs="Arial"/>
        </w:rPr>
        <w:t>[C3-39]</w:t>
      </w:r>
      <w:r>
        <w:rPr>
          <w:rFonts w:ascii="Arial" w:eastAsiaTheme="minorEastAsia" w:hAnsi="Arial" w:cs="Arial"/>
        </w:rPr>
        <w:tab/>
      </w:r>
      <w:r w:rsidRPr="000E1333">
        <w:rPr>
          <w:rFonts w:ascii="Arial" w:eastAsiaTheme="minorEastAsia" w:hAnsi="Arial" w:cs="Arial"/>
        </w:rPr>
        <w:t>AI for IT &amp; Network Operations (AIOps) 2019 https://www.tmforum.org/collaboration/catalyst-program/artificial-intelligence-operations-aiops/</w:t>
      </w:r>
    </w:p>
    <w:p w14:paraId="6F15FF10" w14:textId="3C79BC61" w:rsidR="000E1333" w:rsidRPr="000E1333" w:rsidRDefault="000E1333" w:rsidP="000E1333">
      <w:pPr>
        <w:spacing w:after="120" w:line="240" w:lineRule="auto"/>
        <w:ind w:left="993" w:hanging="993"/>
        <w:jc w:val="both"/>
        <w:rPr>
          <w:rFonts w:ascii="Arial" w:eastAsiaTheme="minorEastAsia" w:hAnsi="Arial" w:cs="Arial"/>
          <w:lang w:val="fi-FI"/>
        </w:rPr>
      </w:pPr>
      <w:r w:rsidRPr="000E1333">
        <w:rPr>
          <w:rFonts w:ascii="Arial" w:eastAsiaTheme="minorEastAsia" w:hAnsi="Arial" w:cs="Arial"/>
          <w:lang w:val="fi-FI"/>
        </w:rPr>
        <w:t xml:space="preserve">[C3-40] </w:t>
      </w:r>
      <w:r>
        <w:rPr>
          <w:rFonts w:ascii="Arial" w:eastAsiaTheme="minorEastAsia" w:hAnsi="Arial" w:cs="Arial"/>
          <w:lang w:val="fi-FI"/>
        </w:rPr>
        <w:tab/>
      </w:r>
      <w:r w:rsidRPr="000E1333">
        <w:rPr>
          <w:rFonts w:ascii="Arial" w:eastAsiaTheme="minorEastAsia" w:hAnsi="Arial" w:cs="Arial"/>
          <w:lang w:val="fi-FI"/>
        </w:rPr>
        <w:t>Sayadi et al, 5G-PPP 2019 https://5g-ppp.eu/wp-content/uploads/2019/09/5GPPP-Software-Network-WG-White-Paper-2019_FINAL.pdf</w:t>
      </w:r>
    </w:p>
    <w:p w14:paraId="39E7068B" w14:textId="77777777" w:rsidR="000E1333" w:rsidRPr="00C42C17" w:rsidRDefault="000E1333" w:rsidP="000E1333">
      <w:pPr>
        <w:spacing w:after="120" w:line="240" w:lineRule="auto"/>
        <w:ind w:left="993" w:hanging="993"/>
        <w:jc w:val="both"/>
        <w:rPr>
          <w:rFonts w:ascii="Arial" w:eastAsiaTheme="minorEastAsia" w:hAnsi="Arial" w:cs="Arial"/>
          <w:lang w:val="es-ES"/>
        </w:rPr>
      </w:pPr>
      <w:r w:rsidRPr="00C42C17">
        <w:rPr>
          <w:rFonts w:ascii="Arial" w:eastAsiaTheme="minorEastAsia" w:hAnsi="Arial" w:cs="Arial"/>
          <w:lang w:val="es-ES"/>
        </w:rPr>
        <w:t>[C3-41] EuroDIG 2018 https://www.ngi.eu/news/2018/06/05/a-human-centric-internet-trustworthy-resilient-sustainable-and-inclusive/</w:t>
      </w:r>
    </w:p>
    <w:p w14:paraId="6EF2D48A" w14:textId="2D0F108F" w:rsidR="000E1333" w:rsidRPr="000E1333" w:rsidRDefault="000E1333" w:rsidP="000E1333">
      <w:pPr>
        <w:spacing w:after="120" w:line="240" w:lineRule="auto"/>
        <w:ind w:left="993" w:hanging="993"/>
        <w:jc w:val="both"/>
        <w:rPr>
          <w:rFonts w:ascii="Arial" w:eastAsiaTheme="minorEastAsia" w:hAnsi="Arial" w:cs="Arial"/>
          <w:lang w:val="fi-FI"/>
        </w:rPr>
      </w:pPr>
      <w:r w:rsidRPr="000E1333">
        <w:rPr>
          <w:rFonts w:ascii="Arial" w:eastAsiaTheme="minorEastAsia" w:hAnsi="Arial" w:cs="Arial"/>
        </w:rPr>
        <w:t xml:space="preserve">[C3-42] </w:t>
      </w:r>
      <w:r>
        <w:rPr>
          <w:rFonts w:ascii="Arial" w:eastAsiaTheme="minorEastAsia" w:hAnsi="Arial" w:cs="Arial"/>
        </w:rPr>
        <w:tab/>
      </w:r>
      <w:r w:rsidRPr="000E1333">
        <w:rPr>
          <w:rFonts w:ascii="Arial" w:eastAsiaTheme="minorEastAsia" w:hAnsi="Arial" w:cs="Arial"/>
        </w:rPr>
        <w:t xml:space="preserve">Principles in a data economy. </w:t>
      </w:r>
      <w:r w:rsidRPr="000E1333">
        <w:rPr>
          <w:rFonts w:ascii="Arial" w:eastAsiaTheme="minorEastAsia" w:hAnsi="Arial" w:cs="Arial"/>
          <w:lang w:val="fi-FI"/>
        </w:rPr>
        <w:t>EU2019.FI https://dataprinciples2019.fi/wp-content/uploads/2019/09/Dataprinciples_web_1.0.pdf</w:t>
      </w:r>
    </w:p>
    <w:p w14:paraId="74D0AE5C" w14:textId="6552B950"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lastRenderedPageBreak/>
        <w:t xml:space="preserve">[C3-43] </w:t>
      </w:r>
      <w:r>
        <w:rPr>
          <w:rFonts w:ascii="Arial" w:eastAsiaTheme="minorEastAsia" w:hAnsi="Arial" w:cs="Arial"/>
        </w:rPr>
        <w:tab/>
      </w:r>
      <w:r w:rsidRPr="000E1333">
        <w:rPr>
          <w:rFonts w:ascii="Arial" w:eastAsiaTheme="minorEastAsia" w:hAnsi="Arial" w:cs="Arial"/>
        </w:rPr>
        <w:t xml:space="preserve">EC Communication to the EU Parliament Secure 5G deployment in the EU - Implementing the EU toolbox. https://ec.europa.eu/newsroom/dae/document.cfm?doc_id=64481 </w:t>
      </w:r>
    </w:p>
    <w:p w14:paraId="04BE05EC" w14:textId="08642979"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[C3-44] </w:t>
      </w:r>
      <w:r>
        <w:rPr>
          <w:rFonts w:ascii="Arial" w:eastAsiaTheme="minorEastAsia" w:hAnsi="Arial" w:cs="Arial"/>
        </w:rPr>
        <w:tab/>
      </w:r>
      <w:r w:rsidRPr="000E1333">
        <w:rPr>
          <w:rFonts w:ascii="Arial" w:eastAsiaTheme="minorEastAsia" w:hAnsi="Arial" w:cs="Arial"/>
        </w:rPr>
        <w:t>H. D. Trinh, E. Zeydan, L. Giupponi, P. Dini, Detecting Mobile Traffic Anomalies Through Physical Control Channel Fingerprinting: A Deep Semi-Supervised Approach, IEEE Access, Vol. 7, pp. 152187-152201, October 2019.</w:t>
      </w:r>
    </w:p>
    <w:p w14:paraId="08F5E403" w14:textId="49C65F85"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[C3-45] </w:t>
      </w:r>
      <w:r>
        <w:rPr>
          <w:rFonts w:ascii="Arial" w:eastAsiaTheme="minorEastAsia" w:hAnsi="Arial" w:cs="Arial"/>
        </w:rPr>
        <w:tab/>
      </w:r>
      <w:r w:rsidRPr="000E1333">
        <w:rPr>
          <w:rFonts w:ascii="Arial" w:eastAsiaTheme="minorEastAsia" w:hAnsi="Arial" w:cs="Arial"/>
        </w:rPr>
        <w:t>The real-time city: Unlocking the potential of smart mobility. Hussein Dia. Centre of Sustainable Infrastructure-Swinburne University of Technology Melbourne. Nov’16.</w:t>
      </w:r>
    </w:p>
    <w:p w14:paraId="5C39002F" w14:textId="5F608742"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[C3-46] </w:t>
      </w:r>
      <w:r>
        <w:rPr>
          <w:rFonts w:ascii="Arial" w:eastAsiaTheme="minorEastAsia" w:hAnsi="Arial" w:cs="Arial"/>
        </w:rPr>
        <w:tab/>
      </w:r>
      <w:r w:rsidRPr="000E1333">
        <w:rPr>
          <w:rFonts w:ascii="Arial" w:eastAsiaTheme="minorEastAsia" w:hAnsi="Arial" w:cs="Arial"/>
        </w:rPr>
        <w:t>5G: Evolution and Revolution. TMForum. April’19</w:t>
      </w:r>
    </w:p>
    <w:p w14:paraId="11C8F4A7" w14:textId="5EAACB7A"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[C3-47] </w:t>
      </w:r>
      <w:r>
        <w:rPr>
          <w:rFonts w:ascii="Arial" w:eastAsiaTheme="minorEastAsia" w:hAnsi="Arial" w:cs="Arial"/>
        </w:rPr>
        <w:tab/>
      </w:r>
      <w:r w:rsidRPr="000E1333">
        <w:rPr>
          <w:rFonts w:ascii="Arial" w:eastAsiaTheme="minorEastAsia" w:hAnsi="Arial" w:cs="Arial"/>
        </w:rPr>
        <w:t>5G and connected vehicles: communication and cooperation. Orange – Hello Future research blog 2019</w:t>
      </w:r>
    </w:p>
    <w:p w14:paraId="655E5B85" w14:textId="0A6401EB" w:rsidR="000E1333" w:rsidRPr="000E1333" w:rsidRDefault="000E1333" w:rsidP="000E1333">
      <w:pPr>
        <w:spacing w:after="120" w:line="240" w:lineRule="auto"/>
        <w:ind w:left="993" w:hanging="993"/>
        <w:jc w:val="both"/>
        <w:rPr>
          <w:rFonts w:ascii="Arial" w:eastAsiaTheme="minorEastAsia" w:hAnsi="Arial" w:cs="Arial"/>
        </w:rPr>
      </w:pPr>
      <w:r w:rsidRPr="000E1333">
        <w:rPr>
          <w:rFonts w:ascii="Arial" w:eastAsiaTheme="minorEastAsia" w:hAnsi="Arial" w:cs="Arial"/>
        </w:rPr>
        <w:t xml:space="preserve">[C3-48] </w:t>
      </w:r>
      <w:r>
        <w:rPr>
          <w:rFonts w:ascii="Arial" w:eastAsiaTheme="minorEastAsia" w:hAnsi="Arial" w:cs="Arial"/>
        </w:rPr>
        <w:tab/>
      </w:r>
      <w:r w:rsidRPr="000E1333">
        <w:rPr>
          <w:rFonts w:ascii="Arial" w:eastAsiaTheme="minorEastAsia" w:hAnsi="Arial" w:cs="Arial"/>
        </w:rPr>
        <w:t>Impact-Mobility, Report: Mobility Data Marketplaces and Integrating Mobility into the Data Economy. Jun 2019</w:t>
      </w:r>
    </w:p>
    <w:p w14:paraId="6FE9E7A3" w14:textId="160FBB69" w:rsidR="000E1333" w:rsidRPr="000E1333" w:rsidRDefault="000E1333" w:rsidP="000E1333">
      <w:pPr>
        <w:spacing w:after="120" w:line="240" w:lineRule="auto"/>
        <w:ind w:left="993" w:hanging="993"/>
        <w:jc w:val="both"/>
        <w:rPr>
          <w:rFonts w:ascii="Arial" w:eastAsiaTheme="minorEastAsia" w:hAnsi="Arial" w:cs="Arial"/>
        </w:rPr>
      </w:pPr>
      <w:r>
        <w:rPr>
          <w:rFonts w:ascii="Arial" w:eastAsiaTheme="minorEastAsia" w:hAnsi="Arial" w:cs="Arial"/>
        </w:rPr>
        <w:t>[C3-49]</w:t>
      </w:r>
      <w:r>
        <w:rPr>
          <w:rFonts w:ascii="Arial" w:eastAsiaTheme="minorEastAsia" w:hAnsi="Arial" w:cs="Arial"/>
        </w:rPr>
        <w:tab/>
      </w:r>
      <w:r w:rsidRPr="000E1333">
        <w:rPr>
          <w:rFonts w:ascii="Arial" w:eastAsiaTheme="minorEastAsia" w:hAnsi="Arial" w:cs="Arial"/>
        </w:rPr>
        <w:t>Atos secures communications in connected vehicles. Jan 2019. https://erticonetwork.com/atos-secures-communications-in-connected-vehicles/</w:t>
      </w:r>
    </w:p>
    <w:p w14:paraId="2055087F" w14:textId="051DD12A" w:rsidR="007755E6" w:rsidRDefault="000E1333" w:rsidP="000E1333">
      <w:pPr>
        <w:spacing w:after="120" w:line="240" w:lineRule="auto"/>
        <w:ind w:left="993" w:hanging="993"/>
        <w:jc w:val="both"/>
        <w:rPr>
          <w:rFonts w:ascii="Arial" w:hAnsi="Arial" w:cs="Arial"/>
          <w:lang w:val="en-US"/>
        </w:rPr>
      </w:pPr>
      <w:r w:rsidRPr="000E1333">
        <w:rPr>
          <w:rFonts w:ascii="Arial" w:eastAsiaTheme="minorEastAsia" w:hAnsi="Arial" w:cs="Arial"/>
        </w:rPr>
        <w:t xml:space="preserve">[C3-50] </w:t>
      </w:r>
      <w:r>
        <w:rPr>
          <w:rFonts w:ascii="Arial" w:eastAsiaTheme="minorEastAsia" w:hAnsi="Arial" w:cs="Arial"/>
        </w:rPr>
        <w:tab/>
      </w:r>
      <w:r w:rsidRPr="000E1333">
        <w:rPr>
          <w:rFonts w:ascii="Arial" w:eastAsiaTheme="minorEastAsia" w:hAnsi="Arial" w:cs="Arial"/>
        </w:rPr>
        <w:t>Networld2020 “SatCom Resources for Smart and Sustainable Networks and Services” Nov. 2019, available at https://www.networld2020.eu/wp-content/uploads/2019/11/satcom-ss-whitepaper_v1_final.pdf</w:t>
      </w:r>
      <w:r w:rsidRPr="000E1333">
        <w:rPr>
          <w:rFonts w:ascii="Arial" w:eastAsiaTheme="minorEastAsia" w:hAnsi="Arial" w:cs="Arial"/>
          <w:lang w:val="en-US"/>
        </w:rPr>
        <w:t xml:space="preserve"> </w:t>
      </w:r>
      <w:r w:rsidR="007755E6">
        <w:rPr>
          <w:rFonts w:ascii="Arial" w:hAnsi="Arial" w:cs="Arial"/>
          <w:lang w:val="en-US"/>
        </w:rPr>
        <w:t>[C5-1]</w:t>
      </w:r>
      <w:r w:rsidR="007755E6">
        <w:rPr>
          <w:rFonts w:ascii="Arial" w:hAnsi="Arial" w:cs="Arial"/>
          <w:lang w:val="en-US"/>
        </w:rPr>
        <w:tab/>
      </w:r>
      <w:r w:rsidR="007755E6" w:rsidRPr="006F79DA">
        <w:rPr>
          <w:rFonts w:ascii="Arial" w:hAnsi="Arial" w:cs="Arial"/>
        </w:rPr>
        <w:t>N. Rajatheva et al</w:t>
      </w:r>
      <w:r w:rsidR="007755E6" w:rsidRPr="006F79DA">
        <w:rPr>
          <w:rFonts w:ascii="Arial" w:hAnsi="Arial" w:cs="Arial"/>
          <w:lang w:val="en-US"/>
        </w:rPr>
        <w:t>: “</w:t>
      </w:r>
      <w:r w:rsidR="007755E6" w:rsidRPr="006F79DA">
        <w:rPr>
          <w:rFonts w:ascii="Arial" w:hAnsi="Arial" w:cs="Arial"/>
        </w:rPr>
        <w:t>White paper on broadband connectivity in 6G</w:t>
      </w:r>
      <w:r w:rsidR="007755E6" w:rsidRPr="006F79DA">
        <w:rPr>
          <w:rFonts w:ascii="Arial" w:hAnsi="Arial" w:cs="Arial"/>
          <w:lang w:val="en-US"/>
        </w:rPr>
        <w:t xml:space="preserve">,” </w:t>
      </w:r>
      <w:r w:rsidR="007755E6" w:rsidRPr="006F79DA">
        <w:rPr>
          <w:rFonts w:ascii="Arial" w:hAnsi="Arial"/>
        </w:rPr>
        <w:t xml:space="preserve">arXiv preprint: </w:t>
      </w:r>
      <w:hyperlink r:id="rId63" w:history="1">
        <w:r w:rsidR="007755E6" w:rsidRPr="006F79DA">
          <w:rPr>
            <w:rFonts w:ascii="Arial" w:hAnsi="Arial" w:cs="Arial"/>
            <w:color w:val="0563C1" w:themeColor="hyperlink"/>
            <w:u w:val="single"/>
          </w:rPr>
          <w:t>https://arxiv.org/abs/2004.14247</w:t>
        </w:r>
      </w:hyperlink>
      <w:r w:rsidR="007755E6" w:rsidRPr="006F79DA">
        <w:rPr>
          <w:rFonts w:ascii="Arial" w:hAnsi="Arial" w:cs="Arial"/>
          <w:lang w:val="en-US"/>
        </w:rPr>
        <w:t>, 2020.</w:t>
      </w:r>
    </w:p>
    <w:p w14:paraId="2A17E65A" w14:textId="781736DD"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[C4-01] </w:t>
      </w:r>
      <w:r>
        <w:rPr>
          <w:rFonts w:ascii="Arial" w:hAnsi="Arial"/>
        </w:rPr>
        <w:tab/>
      </w:r>
      <w:r w:rsidRPr="006C4FDF">
        <w:rPr>
          <w:rFonts w:ascii="Arial" w:hAnsi="Arial"/>
        </w:rPr>
        <w:t>“62% of all Internet traffic in Asia Pacific will cross Content Delivery Networks (CDNs) by 2021”, online: https://www.prnewswire.com/news-releases/62-of-all-internet-traffic-in-asia-pacific-will-cross-content-delivery-networks-cdns-by-20211-300528121.html. Last accessed May 20, 2020.</w:t>
      </w:r>
    </w:p>
    <w:p w14:paraId="71ECDAB7" w14:textId="008D269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[C4-02] </w:t>
      </w:r>
      <w:r>
        <w:rPr>
          <w:rFonts w:ascii="Arial" w:hAnsi="Arial"/>
        </w:rPr>
        <w:tab/>
      </w:r>
      <w:r w:rsidRPr="006C4FDF">
        <w:rPr>
          <w:rFonts w:ascii="Arial" w:hAnsi="Arial"/>
        </w:rPr>
        <w:t>“Netflix Eats Up 15% of All Internet Downstream Traffic Worldwide”, Available online: https://variety.com/2018/digital/news/netflix-15-percent-internet-bandwidth-worldwide-study-1202963207/. Last accessed May 20, 2020.</w:t>
      </w:r>
    </w:p>
    <w:p w14:paraId="268F9E63" w14:textId="162972F0"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[C4-03] </w:t>
      </w:r>
      <w:r>
        <w:rPr>
          <w:rFonts w:ascii="Arial" w:hAnsi="Arial"/>
        </w:rPr>
        <w:tab/>
      </w:r>
      <w:r w:rsidRPr="006C4FDF">
        <w:rPr>
          <w:rFonts w:ascii="Arial" w:hAnsi="Arial"/>
        </w:rPr>
        <w:t>IETF SFC WG. Available Online: https://datatracker.ietf.org/wg/sfc/about/. Last accessed May 20, 2020.</w:t>
      </w:r>
    </w:p>
    <w:p w14:paraId="6EBBF1D6" w14:textId="5252945F"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[C4-04] </w:t>
      </w:r>
      <w:r>
        <w:rPr>
          <w:rFonts w:ascii="Arial" w:hAnsi="Arial"/>
        </w:rPr>
        <w:tab/>
      </w:r>
      <w:r w:rsidRPr="006C4FDF">
        <w:rPr>
          <w:rFonts w:ascii="Arial" w:hAnsi="Arial"/>
        </w:rPr>
        <w:t>IETF ANIMA WG. Available Online: https://datatracker.ietf.org/wg/anima/about/. Last accessed May 20, 2020.</w:t>
      </w:r>
    </w:p>
    <w:p w14:paraId="3B398F96" w14:textId="2CB8EDB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[C4-05] </w:t>
      </w:r>
      <w:r>
        <w:rPr>
          <w:rFonts w:ascii="Arial" w:hAnsi="Arial"/>
        </w:rPr>
        <w:tab/>
      </w:r>
      <w:r w:rsidRPr="006C4FDF">
        <w:rPr>
          <w:rFonts w:ascii="Arial" w:hAnsi="Arial"/>
        </w:rPr>
        <w:t>IETF COIN RG. Available Online: https://irtf.org/coinrg. Last accessed May 20, 2020.</w:t>
      </w:r>
    </w:p>
    <w:p w14:paraId="2A463640" w14:textId="085B617A"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[C4-06] </w:t>
      </w:r>
      <w:r>
        <w:rPr>
          <w:rFonts w:ascii="Arial" w:hAnsi="Arial"/>
        </w:rPr>
        <w:tab/>
      </w:r>
      <w:r w:rsidRPr="006C4FDF">
        <w:rPr>
          <w:rFonts w:ascii="Arial" w:hAnsi="Arial"/>
        </w:rPr>
        <w:t>IETF FORCES WG. Available Online: https://datatracker.ietf.org/wg/forces/about/. Last accessed May 20, 2020.</w:t>
      </w:r>
    </w:p>
    <w:p w14:paraId="629BF709" w14:textId="161E32A0"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[C4-07] </w:t>
      </w:r>
      <w:r>
        <w:rPr>
          <w:rFonts w:ascii="Arial" w:hAnsi="Arial"/>
        </w:rPr>
        <w:tab/>
      </w:r>
      <w:r w:rsidRPr="006C4FDF">
        <w:rPr>
          <w:rFonts w:ascii="Arial" w:hAnsi="Arial"/>
        </w:rPr>
        <w:t>IETF QUIC WG. Online: https://datatracker.ietf.org/wg/quic/about/. Last accessed May 20, 2020.</w:t>
      </w:r>
    </w:p>
    <w:p w14:paraId="1461008B" w14:textId="38174D8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[C4-08] </w:t>
      </w:r>
      <w:r>
        <w:rPr>
          <w:rFonts w:ascii="Arial" w:hAnsi="Arial"/>
        </w:rPr>
        <w:tab/>
      </w:r>
      <w:r w:rsidRPr="006C4FDF">
        <w:rPr>
          <w:rFonts w:ascii="Arial" w:hAnsi="Arial"/>
        </w:rPr>
        <w:t>L. Popa, A. Ghodsi, I. Stoica, ‘HTTP as the narrow waist of the future internet’, Hotnets-IX: Proceedings of the 9th ACM SIGCOMM Workshop on Hot Topics in Networks October 2010.</w:t>
      </w:r>
    </w:p>
    <w:p w14:paraId="685E9A07" w14:textId="62E49B1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[C4-09] </w:t>
      </w:r>
      <w:r>
        <w:rPr>
          <w:rFonts w:ascii="Arial" w:hAnsi="Arial"/>
        </w:rPr>
        <w:tab/>
      </w:r>
      <w:r w:rsidRPr="006C4FDF">
        <w:rPr>
          <w:rFonts w:ascii="Arial" w:hAnsi="Arial"/>
        </w:rPr>
        <w:t>D. Clark, “The Design Philosophy of the DARPA Internet Protocols”, Proc. ACM SIGCOMM ‘88, Computer Communication Review Vol. 18, No. 4, August 1988, pp. 106–114.</w:t>
      </w:r>
    </w:p>
    <w:p w14:paraId="1047EDF7" w14:textId="4BD25921"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[C4-10] </w:t>
      </w:r>
      <w:r>
        <w:rPr>
          <w:rFonts w:ascii="Arial" w:hAnsi="Arial"/>
        </w:rPr>
        <w:tab/>
      </w:r>
      <w:r w:rsidRPr="006C4FDF">
        <w:rPr>
          <w:rFonts w:ascii="Arial" w:hAnsi="Arial"/>
        </w:rPr>
        <w:t>S. Ren et al., “Routing and Addressing with Length Variable IP Address”, Proc. of ACM SIGCOMM NEAT workshop, 2019.</w:t>
      </w:r>
    </w:p>
    <w:p w14:paraId="3280D407" w14:textId="60F8ABDD" w:rsidR="006C4FDF" w:rsidRPr="006C4FDF" w:rsidRDefault="006C4FDF" w:rsidP="006C4FDF">
      <w:pPr>
        <w:spacing w:after="120" w:line="240" w:lineRule="auto"/>
        <w:ind w:left="993" w:hanging="993"/>
        <w:jc w:val="both"/>
        <w:rPr>
          <w:rFonts w:ascii="Arial" w:hAnsi="Arial"/>
        </w:rPr>
      </w:pPr>
      <w:r w:rsidRPr="006C4FDF">
        <w:rPr>
          <w:rFonts w:ascii="Arial" w:hAnsi="Arial"/>
        </w:rPr>
        <w:lastRenderedPageBreak/>
        <w:t xml:space="preserve">[C4-11] </w:t>
      </w:r>
      <w:r>
        <w:rPr>
          <w:rFonts w:ascii="Arial" w:hAnsi="Arial"/>
        </w:rPr>
        <w:tab/>
      </w:r>
      <w:r w:rsidRPr="006C4FDF">
        <w:rPr>
          <w:rFonts w:ascii="Arial" w:hAnsi="Arial"/>
        </w:rPr>
        <w:t>R. Li et al., “A Framework for Qualitative Communications using Big Packet Protocol”, Proc. of ACM SIGCOMM NEAT workshop, 2019.</w:t>
      </w:r>
    </w:p>
    <w:p w14:paraId="1352EC55" w14:textId="26EAC2E5"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[C4-12] </w:t>
      </w:r>
      <w:r>
        <w:rPr>
          <w:rFonts w:ascii="Arial" w:hAnsi="Arial"/>
        </w:rPr>
        <w:tab/>
      </w:r>
      <w:r w:rsidRPr="006C4FDF">
        <w:rPr>
          <w:rFonts w:ascii="Arial" w:hAnsi="Arial"/>
        </w:rPr>
        <w:t>R. Li, “Network 2030 and New IP”, 15th International Conference on Network and Service Management, IEEE NOMS 2020. Online: http://www.cnsm-conf.org/2019/files/slides-Richard.pdf. Last accessed May 20, 2020.</w:t>
      </w:r>
    </w:p>
    <w:p w14:paraId="6F413FE9" w14:textId="00739EEA"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[C4-13] </w:t>
      </w:r>
      <w:r>
        <w:rPr>
          <w:rFonts w:ascii="Arial" w:hAnsi="Arial"/>
        </w:rPr>
        <w:tab/>
      </w:r>
      <w:r w:rsidRPr="006C4FDF">
        <w:rPr>
          <w:rFonts w:ascii="Arial" w:hAnsi="Arial"/>
        </w:rPr>
        <w:t>Pouzin Society, “RINA: Building a Better Network”, available online: http://pouzinsociety.org/education/highlights, Last accessed May 20, 2020.</w:t>
      </w:r>
    </w:p>
    <w:p w14:paraId="353DAEFA" w14:textId="1B98B5F8"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[C4-14] </w:t>
      </w:r>
      <w:r>
        <w:rPr>
          <w:rFonts w:ascii="Arial" w:hAnsi="Arial"/>
        </w:rPr>
        <w:tab/>
        <w:t>D</w:t>
      </w:r>
      <w:r w:rsidRPr="006C4FDF">
        <w:rPr>
          <w:rFonts w:ascii="Arial" w:hAnsi="Arial"/>
        </w:rPr>
        <w:t>. Trossen et al., “Service-based Routing at the Edge”, available online: https://arxiv.org/abs/1907.01293v1. Last accessed May 20, 2020.</w:t>
      </w:r>
    </w:p>
    <w:p w14:paraId="1A6E84DD" w14:textId="39A6BD93"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[C4-15] </w:t>
      </w:r>
      <w:r>
        <w:rPr>
          <w:rFonts w:ascii="Arial" w:hAnsi="Arial"/>
        </w:rPr>
        <w:tab/>
      </w:r>
      <w:r w:rsidRPr="006C4FDF">
        <w:rPr>
          <w:rFonts w:ascii="Arial" w:hAnsi="Arial"/>
        </w:rPr>
        <w:t>SCION Internet Architecture, online: https://www.scion-architecture.net/. Last accessed May 20, 2020.</w:t>
      </w:r>
    </w:p>
    <w:p w14:paraId="1CEBD62C" w14:textId="77777777" w:rsidR="006C4FDF" w:rsidRPr="006C4FDF" w:rsidRDefault="006C4FDF" w:rsidP="006C4FDF">
      <w:pPr>
        <w:spacing w:after="120" w:line="240" w:lineRule="auto"/>
        <w:ind w:left="993" w:hanging="993"/>
        <w:jc w:val="both"/>
        <w:rPr>
          <w:rFonts w:ascii="Arial" w:hAnsi="Arial"/>
        </w:rPr>
      </w:pPr>
      <w:r w:rsidRPr="006C4FDF">
        <w:rPr>
          <w:rFonts w:ascii="Arial" w:hAnsi="Arial"/>
        </w:rPr>
        <w:t>[C4-16] European Commission, “The European Green Deal”, Available online: https://ec.europa.eu/info/sites/info/files/european-green-deal-communication_en.pdf. Last accessed May 20, 2020.</w:t>
      </w:r>
    </w:p>
    <w:p w14:paraId="1E841F31" w14:textId="110A04A4"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[C4-17] </w:t>
      </w:r>
      <w:r>
        <w:rPr>
          <w:rFonts w:ascii="Arial" w:hAnsi="Arial"/>
        </w:rPr>
        <w:tab/>
      </w:r>
      <w:r w:rsidRPr="006C4FDF">
        <w:rPr>
          <w:rFonts w:ascii="Arial" w:hAnsi="Arial"/>
        </w:rPr>
        <w:t>“Between 10 and 20% of electricity consumption from the ICT* sector in 2030?”, online: https://www.enerdata.net/publications/executive-briefing/expected-world-energy-consumption-increase-from-digitalization.html. Last accessed May 20, 2020.</w:t>
      </w:r>
    </w:p>
    <w:p w14:paraId="4DAD6009" w14:textId="25EA370B"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[C4-18] </w:t>
      </w:r>
      <w:r>
        <w:rPr>
          <w:rFonts w:ascii="Arial" w:hAnsi="Arial"/>
        </w:rPr>
        <w:tab/>
      </w:r>
      <w:r w:rsidRPr="006C4FDF">
        <w:rPr>
          <w:rFonts w:ascii="Arial" w:hAnsi="Arial"/>
        </w:rPr>
        <w:t>M. Caesar et al., “ROFL: routing on flat labels”, ACM SIGCOMM Computer Communication Review, August 2006, https://doi.org/10.1145/1151659.1159955.</w:t>
      </w:r>
    </w:p>
    <w:p w14:paraId="0F4A0CD1" w14:textId="6945F19C"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[C4-19] </w:t>
      </w:r>
      <w:r>
        <w:rPr>
          <w:rFonts w:ascii="Arial" w:hAnsi="Arial"/>
        </w:rPr>
        <w:tab/>
      </w:r>
      <w:r w:rsidRPr="006C4FDF">
        <w:rPr>
          <w:rFonts w:ascii="Arial" w:hAnsi="Arial"/>
        </w:rPr>
        <w:t>G. Xylomenos et al, “A Survey of Information-Centric Networking Research”, IEEE Communications Surveys &amp; Tutorials (Volume: 16, Issue: 2, Second Quarter 2014).</w:t>
      </w:r>
    </w:p>
    <w:p w14:paraId="26DA75B5" w14:textId="3D1E6636"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[C4-20] </w:t>
      </w:r>
      <w:r>
        <w:rPr>
          <w:rFonts w:ascii="Arial" w:hAnsi="Arial"/>
        </w:rPr>
        <w:tab/>
      </w:r>
      <w:r w:rsidRPr="006C4FDF">
        <w:rPr>
          <w:rFonts w:ascii="Arial" w:hAnsi="Arial"/>
        </w:rPr>
        <w:t>Trossen et al., “Name-Based Service Function Forwarder (nSFF) Component within a Service Function Chaining (SFC) Framework”, Internet Society, RFC 8677, online: https://datatracker.ietf.org/doc/rfc8677/. Last accessed May 20, 2020.</w:t>
      </w:r>
    </w:p>
    <w:p w14:paraId="25E27B0B" w14:textId="39F4FD4E" w:rsidR="006C4FDF" w:rsidRPr="006C4FDF" w:rsidRDefault="006C4FDF" w:rsidP="006C4FDF">
      <w:pPr>
        <w:spacing w:after="120" w:line="240" w:lineRule="auto"/>
        <w:ind w:left="993" w:hanging="993"/>
        <w:jc w:val="both"/>
        <w:rPr>
          <w:rFonts w:ascii="Arial" w:hAnsi="Arial"/>
        </w:rPr>
      </w:pPr>
      <w:r w:rsidRPr="006C4FDF">
        <w:rPr>
          <w:rFonts w:ascii="Arial" w:hAnsi="Arial"/>
        </w:rPr>
        <w:t xml:space="preserve">[C4-21] </w:t>
      </w:r>
      <w:r>
        <w:rPr>
          <w:rFonts w:ascii="Arial" w:hAnsi="Arial"/>
        </w:rPr>
        <w:tab/>
      </w:r>
      <w:r w:rsidRPr="006C4FDF">
        <w:rPr>
          <w:rFonts w:ascii="Arial" w:hAnsi="Arial"/>
        </w:rPr>
        <w:t>D. Clark, J. Wroclawski, K. Sollins, R. Braden, “Tussle in Cyberspace: Deﬁning Tomorrow’s Internet”, Proc. ACM SIGCOMM 2002. Available Online: http://conferences.sigcomm.org/sigcomm/2002/papers/tussle.pdf. Last accessed May 20, 2020.</w:t>
      </w:r>
    </w:p>
    <w:p w14:paraId="351618B7" w14:textId="395444BB" w:rsidR="006C4FDF" w:rsidRPr="00726918" w:rsidRDefault="006C4FDF" w:rsidP="006C4FDF">
      <w:pPr>
        <w:spacing w:after="120" w:line="240" w:lineRule="auto"/>
        <w:ind w:left="993" w:hanging="993"/>
        <w:jc w:val="both"/>
        <w:rPr>
          <w:rFonts w:ascii="Arial" w:hAnsi="Arial"/>
          <w:lang w:val="de-DE"/>
        </w:rPr>
      </w:pPr>
      <w:r w:rsidRPr="00726918">
        <w:rPr>
          <w:rFonts w:ascii="Arial" w:hAnsi="Arial"/>
          <w:lang w:val="de-DE"/>
        </w:rPr>
        <w:t xml:space="preserve">[C4-22] </w:t>
      </w:r>
      <w:r w:rsidRPr="00726918">
        <w:rPr>
          <w:rFonts w:ascii="Arial" w:hAnsi="Arial"/>
          <w:lang w:val="de-DE"/>
        </w:rPr>
        <w:tab/>
        <w:t>Tim Höfer, Sebastian Bierwirth und Reinhard Madlener, „C15 - Energie Mehrverbrauch in Rechenzentren bei Einführung des 5G Standards“, available online: https://www.eon.com/en/about-us/green-internet.html. Last accessed May 20, 2020.</w:t>
      </w:r>
    </w:p>
    <w:p w14:paraId="3C388F3C" w14:textId="3F5C340D"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w:t>
      </w:r>
      <w:r w:rsidRPr="003200F3">
        <w:rPr>
          <w:rFonts w:ascii="Arial" w:hAnsi="Arial" w:cs="Arial"/>
        </w:rPr>
        <w:tab/>
        <w:t>Cisco Global Cloud Index: Forecast and Methodology, 2016–2021 White Paper</w:t>
      </w:r>
    </w:p>
    <w:p w14:paraId="60DBC35E" w14:textId="3D4EB01C"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w:t>
      </w:r>
      <w:r w:rsidRPr="003200F3">
        <w:rPr>
          <w:rFonts w:ascii="Arial" w:hAnsi="Arial" w:cs="Arial"/>
        </w:rPr>
        <w:tab/>
        <w:t>Andrae, A.S.G.; Edler, T. On Global Electricity Usage of Communication Technology: Trends to 2030. Challenges 2015, 6, 117-157.</w:t>
      </w:r>
    </w:p>
    <w:p w14:paraId="69E2CD6E" w14:textId="00F2E575"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w:t>
      </w:r>
      <w:r w:rsidRPr="003200F3">
        <w:rPr>
          <w:rFonts w:ascii="Arial" w:hAnsi="Arial" w:cs="Arial"/>
        </w:rPr>
        <w:tab/>
        <w:t>E. Strubell, A. Ganesh and A. McCallum, “Energy and Policy Considerations for Deep Learning in NLP”, Annual Meeting of the Association for Computational Linguistics (ACL short). Florence, Italy. July 2019.</w:t>
      </w:r>
    </w:p>
    <w:p w14:paraId="3CEFDE76" w14:textId="5FB95F37"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4]</w:t>
      </w:r>
      <w:r w:rsidRPr="003200F3">
        <w:rPr>
          <w:rFonts w:ascii="Arial" w:hAnsi="Arial" w:cs="Arial"/>
        </w:rPr>
        <w:tab/>
        <w:t>Deng, S., Zhao, H., Yin, J., Dustdar, S., &amp; Zomaya, A. Y. (2019). Edge Intelligence: the Confluence of Edge Computing and Artificial Intelligence. arXiv preprint arXiv:1909.00560.</w:t>
      </w:r>
    </w:p>
    <w:p w14:paraId="5936251D" w14:textId="7B7ECBEE" w:rsidR="000E4D95" w:rsidRPr="003200F3" w:rsidRDefault="000E4D95" w:rsidP="000E4D95">
      <w:pPr>
        <w:spacing w:after="120" w:line="240" w:lineRule="auto"/>
        <w:ind w:left="993" w:hanging="993"/>
        <w:jc w:val="both"/>
        <w:rPr>
          <w:rFonts w:ascii="Arial" w:hAnsi="Arial" w:cs="Arial"/>
        </w:rPr>
      </w:pPr>
      <w:r>
        <w:rPr>
          <w:rFonts w:ascii="Arial" w:hAnsi="Arial" w:cs="Arial"/>
          <w:lang w:val="fi-FI"/>
        </w:rPr>
        <w:t>[C5-</w:t>
      </w:r>
      <w:r w:rsidRPr="003200F3">
        <w:rPr>
          <w:rFonts w:ascii="Arial" w:hAnsi="Arial" w:cs="Arial"/>
          <w:lang w:val="fi-FI"/>
        </w:rPr>
        <w:t>5]</w:t>
      </w:r>
      <w:r w:rsidRPr="003200F3">
        <w:rPr>
          <w:rFonts w:ascii="Arial" w:hAnsi="Arial" w:cs="Arial"/>
          <w:lang w:val="fi-FI"/>
        </w:rPr>
        <w:tab/>
        <w:t xml:space="preserve">Wang, Xiaofei, et al. </w:t>
      </w:r>
      <w:r w:rsidRPr="003200F3">
        <w:rPr>
          <w:rFonts w:ascii="Arial" w:hAnsi="Arial" w:cs="Arial"/>
        </w:rPr>
        <w:t>"In-edge ai: Intelligentizing mobile edge computing, caching and communication by federated learning." IEEE Network 33.5 (2019): 156-165.</w:t>
      </w:r>
    </w:p>
    <w:p w14:paraId="0D3AB7FC" w14:textId="3DB002BE" w:rsidR="000E4D95" w:rsidRPr="003200F3" w:rsidRDefault="000E4D95" w:rsidP="000E4D95">
      <w:pPr>
        <w:spacing w:after="120" w:line="240" w:lineRule="auto"/>
        <w:ind w:left="993" w:hanging="993"/>
        <w:jc w:val="both"/>
        <w:rPr>
          <w:rFonts w:ascii="Arial" w:hAnsi="Arial" w:cs="Arial"/>
        </w:rPr>
      </w:pPr>
      <w:r w:rsidRPr="009E4D45">
        <w:rPr>
          <w:rFonts w:ascii="Arial" w:hAnsi="Arial" w:cs="Arial"/>
          <w:lang w:val="en-US"/>
        </w:rPr>
        <w:t>[C5-6]</w:t>
      </w:r>
      <w:r w:rsidRPr="009E4D45">
        <w:rPr>
          <w:rFonts w:ascii="Arial" w:hAnsi="Arial" w:cs="Arial"/>
          <w:lang w:val="en-US"/>
        </w:rPr>
        <w:tab/>
        <w:t xml:space="preserve">Bellavista, Paolo, and Alessandro Zanni. </w:t>
      </w:r>
      <w:r w:rsidRPr="003200F3">
        <w:rPr>
          <w:rFonts w:ascii="Arial" w:hAnsi="Arial" w:cs="Arial"/>
        </w:rPr>
        <w:t>"Feasibility of fog computing deployment based on docker containerization over raspberrypi." Proceedings of the 18th international conference on distributed computing and networking. 2017.</w:t>
      </w:r>
    </w:p>
    <w:p w14:paraId="20B0E7FC" w14:textId="79367565" w:rsidR="000E4D95" w:rsidRPr="003200F3" w:rsidRDefault="000E4D95" w:rsidP="000E4D95">
      <w:pPr>
        <w:spacing w:after="120" w:line="240" w:lineRule="auto"/>
        <w:ind w:left="993" w:hanging="993"/>
        <w:jc w:val="both"/>
        <w:rPr>
          <w:rFonts w:ascii="Arial" w:hAnsi="Arial" w:cs="Arial"/>
        </w:rPr>
      </w:pPr>
      <w:r>
        <w:rPr>
          <w:rFonts w:ascii="Arial" w:hAnsi="Arial" w:cs="Arial"/>
        </w:rPr>
        <w:lastRenderedPageBreak/>
        <w:t>[C5-</w:t>
      </w:r>
      <w:r w:rsidRPr="003200F3">
        <w:rPr>
          <w:rFonts w:ascii="Arial" w:hAnsi="Arial" w:cs="Arial"/>
        </w:rPr>
        <w:t>7]</w:t>
      </w:r>
      <w:r w:rsidRPr="003200F3">
        <w:rPr>
          <w:rFonts w:ascii="Arial" w:hAnsi="Arial" w:cs="Arial"/>
        </w:rPr>
        <w:tab/>
        <w:t>IEEE 802 Nendica Report: Flexible Factory IoT: Use Cases and Communication Requirements for Wired and Wireless Bridged Networks," in IEEE 802 Nendica Report: Flexible Factory IoT: Use Cases and Communication Requirements for Wired and Wireless Bridged Networks , vol., no., pp.1-48, 17 April 2020.</w:t>
      </w:r>
    </w:p>
    <w:p w14:paraId="3DC0732F" w14:textId="4B9C451D" w:rsidR="000E4D95" w:rsidRPr="003200F3" w:rsidRDefault="000E4D95" w:rsidP="000E4D95">
      <w:pPr>
        <w:spacing w:after="120" w:line="240" w:lineRule="auto"/>
        <w:ind w:left="993" w:hanging="993"/>
        <w:jc w:val="both"/>
        <w:rPr>
          <w:rFonts w:ascii="Arial" w:hAnsi="Arial" w:cs="Arial"/>
        </w:rPr>
      </w:pPr>
      <w:r>
        <w:rPr>
          <w:rFonts w:ascii="Arial" w:hAnsi="Arial" w:cs="Arial"/>
          <w:lang w:val="fi-FI"/>
        </w:rPr>
        <w:t>[C5-</w:t>
      </w:r>
      <w:r w:rsidRPr="003200F3">
        <w:rPr>
          <w:rFonts w:ascii="Arial" w:hAnsi="Arial" w:cs="Arial"/>
          <w:lang w:val="fi-FI"/>
        </w:rPr>
        <w:t>8]</w:t>
      </w:r>
      <w:r w:rsidRPr="003200F3">
        <w:rPr>
          <w:rFonts w:ascii="Arial" w:hAnsi="Arial" w:cs="Arial"/>
          <w:lang w:val="fi-FI"/>
        </w:rPr>
        <w:tab/>
        <w:t xml:space="preserve">Chun, Byonggon, et al. </w:t>
      </w:r>
      <w:r w:rsidRPr="003200F3">
        <w:rPr>
          <w:rFonts w:ascii="Arial" w:hAnsi="Arial" w:cs="Arial"/>
        </w:rPr>
        <w:t>"Kubernetes Enhancement for 5G NFV Infrastructure." 2019 International Conference on Information and Communication Technology Convergence (ICTC). IEEE, 2019.</w:t>
      </w:r>
    </w:p>
    <w:p w14:paraId="1B0F943D" w14:textId="3755156F"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9]</w:t>
      </w:r>
      <w:r w:rsidRPr="003200F3">
        <w:rPr>
          <w:rFonts w:ascii="Arial" w:hAnsi="Arial" w:cs="Arial"/>
        </w:rPr>
        <w:tab/>
        <w:t>Ismail, B. I., Goortani, E. M., Ab Karim, M. B., Tat, W. M., Setapa, S., Luke, J. Y., &amp; Hoe, O. H. (2015, August). Evaluation of docker as edge computing platform. In 2015 IEEE Conference on Open Systems (ICOS) (pp. 130-135). IEEE.</w:t>
      </w:r>
    </w:p>
    <w:p w14:paraId="3FB6AA8C" w14:textId="404F1F26"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10]</w:t>
      </w:r>
      <w:r w:rsidRPr="003200F3">
        <w:rPr>
          <w:rFonts w:ascii="Arial" w:hAnsi="Arial" w:cs="Arial"/>
        </w:rPr>
        <w:tab/>
        <w:t>Ogbuachi, M. C., Gore, C., Reale, A., Suskovics, P., &amp; Kovács, B. (2019, September). Context-Aware K8S Scheduler for Real Time Distributed 5G Edge Computing Applications. In 2019 International Conference on Software, Telecommunications and Computer Networks (SoftCOM) (pp. 1-6). IEEE.</w:t>
      </w:r>
    </w:p>
    <w:p w14:paraId="5DB99426" w14:textId="3A2785E2"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11]</w:t>
      </w:r>
      <w:r w:rsidRPr="003200F3">
        <w:rPr>
          <w:rFonts w:ascii="Arial" w:hAnsi="Arial" w:cs="Arial"/>
        </w:rPr>
        <w:tab/>
        <w:t>H. D. Trinh, E. Zeydan, L. Giupponi, P. Dini, Detecting Mobile Traffic Anomalies Through Physical Control Channel Fingerprinting: A Deep Semi-Supervised Approach, IEEE Access, Vol. 7, pp. 152187-152201, October 2019.</w:t>
      </w:r>
    </w:p>
    <w:p w14:paraId="33756719" w14:textId="78DCD621"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12]</w:t>
      </w:r>
      <w:r w:rsidRPr="003200F3">
        <w:rPr>
          <w:rFonts w:ascii="Arial" w:hAnsi="Arial" w:cs="Arial"/>
        </w:rPr>
        <w:tab/>
        <w:t>H. C. Rudolph, A. Kunz, L. L. Iacono and H. V. Nguyen, "Security Challenges of the 3GPP 5G Service Based Architecture," in IEEE Communications Standards Magazine, vol. 3, no. 1, pp. 60-65, March 2019.</w:t>
      </w:r>
    </w:p>
    <w:p w14:paraId="3A00F623" w14:textId="31F5CFFF" w:rsidR="000E4D95" w:rsidRPr="003200F3" w:rsidRDefault="000E4D95" w:rsidP="000E4D95">
      <w:pPr>
        <w:spacing w:after="120" w:line="240" w:lineRule="auto"/>
        <w:ind w:left="993" w:hanging="993"/>
        <w:jc w:val="both"/>
        <w:rPr>
          <w:rFonts w:ascii="Arial" w:hAnsi="Arial" w:cs="Arial"/>
        </w:rPr>
      </w:pPr>
      <w:r>
        <w:rPr>
          <w:rFonts w:ascii="Arial" w:hAnsi="Arial" w:cs="Arial"/>
          <w:lang w:val="pt-PT"/>
        </w:rPr>
        <w:t>[C5-</w:t>
      </w:r>
      <w:r w:rsidRPr="00CE51ED">
        <w:rPr>
          <w:rFonts w:ascii="Arial" w:hAnsi="Arial" w:cs="Arial"/>
          <w:lang w:val="pt-PT"/>
        </w:rPr>
        <w:t>13]</w:t>
      </w:r>
      <w:r w:rsidRPr="00CE51ED">
        <w:rPr>
          <w:rFonts w:ascii="Arial" w:hAnsi="Arial" w:cs="Arial"/>
          <w:lang w:val="pt-PT"/>
        </w:rPr>
        <w:tab/>
        <w:t xml:space="preserve">Zanzi, L., Cirillo, F., Sciancalepore, V., Giust, F., Costa-Perez, X., Mangiante, S., &amp; Klas, G. (2019). </w:t>
      </w:r>
      <w:r w:rsidRPr="003200F3">
        <w:rPr>
          <w:rFonts w:ascii="Arial" w:hAnsi="Arial" w:cs="Arial"/>
        </w:rPr>
        <w:t>Evolving Multi-Access Edge Computing to Support Enhanced IoT Deployments. IEEE Communications Standards Magazine, 3(2), 26–34.</w:t>
      </w:r>
    </w:p>
    <w:p w14:paraId="51EF5E34" w14:textId="357F9543"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14]</w:t>
      </w:r>
      <w:r w:rsidRPr="003200F3">
        <w:rPr>
          <w:rFonts w:ascii="Arial" w:hAnsi="Arial" w:cs="Arial"/>
        </w:rPr>
        <w:tab/>
        <w:t xml:space="preserve">F. Giust et al., "Multi-Access Edge Computing: The Driver Behind the Wheel of 5G-Connected Cars," in IEEE Communications Standards Magazine, vol. 2, no. 3, pp. 66-73, SEPTEMBER 2018. </w:t>
      </w:r>
    </w:p>
    <w:p w14:paraId="66FDC149" w14:textId="32BA864B"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15]</w:t>
      </w:r>
      <w:r w:rsidRPr="003200F3">
        <w:rPr>
          <w:rFonts w:ascii="Arial" w:hAnsi="Arial" w:cs="Arial"/>
        </w:rPr>
        <w:tab/>
        <w:t>A. Ksentini and P. A. Frangoudis, "Toward Slicing-Enabled Multi-Access Edge Computing in 5G," in IEEE Network, vol. 34, no. 2, pp. 99-105, March/April 2020.</w:t>
      </w:r>
    </w:p>
    <w:p w14:paraId="2FED09E7" w14:textId="07AD44E9"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16]</w:t>
      </w:r>
      <w:r w:rsidRPr="003200F3">
        <w:rPr>
          <w:rFonts w:ascii="Arial" w:hAnsi="Arial" w:cs="Arial"/>
        </w:rPr>
        <w:tab/>
        <w:t>C. Campolo, A. Iera, A. Molinaro and G. Ruggeri, "MEC Support for 5G-V2X Use Cases through Docker Containers," 2019 IEEE Wireless Communications and Networking Conference (WCNC), Marrakesh, Morocco, 2019, pp. 1-6.</w:t>
      </w:r>
    </w:p>
    <w:p w14:paraId="33A1AA7A" w14:textId="3DBC6228" w:rsidR="000E4D95" w:rsidRPr="003200F3" w:rsidRDefault="000E4D95" w:rsidP="000E4D95">
      <w:pPr>
        <w:spacing w:after="120" w:line="240" w:lineRule="auto"/>
        <w:ind w:left="993" w:hanging="993"/>
        <w:jc w:val="both"/>
        <w:rPr>
          <w:rFonts w:ascii="Arial" w:hAnsi="Arial" w:cs="Arial"/>
        </w:rPr>
      </w:pPr>
      <w:r>
        <w:rPr>
          <w:rFonts w:ascii="Arial" w:hAnsi="Arial" w:cs="Arial"/>
          <w:lang w:val="fi-FI"/>
        </w:rPr>
        <w:t>[C5-</w:t>
      </w:r>
      <w:r w:rsidRPr="003200F3">
        <w:rPr>
          <w:rFonts w:ascii="Arial" w:hAnsi="Arial" w:cs="Arial"/>
          <w:lang w:val="fi-FI"/>
        </w:rPr>
        <w:t>17]</w:t>
      </w:r>
      <w:r w:rsidRPr="003200F3">
        <w:rPr>
          <w:rFonts w:ascii="Arial" w:hAnsi="Arial" w:cs="Arial"/>
          <w:lang w:val="fi-FI"/>
        </w:rPr>
        <w:tab/>
        <w:t xml:space="preserve">Cicconetti, C., Conti, M., Passarella, A., &amp; Sabella, D. (2020). </w:t>
      </w:r>
      <w:r w:rsidRPr="003200F3">
        <w:rPr>
          <w:rFonts w:ascii="Arial" w:hAnsi="Arial" w:cs="Arial"/>
        </w:rPr>
        <w:t>Toward Distributed Computing Environments with Serverless Solutions in Edge Systems. IEEE Communications Magazine, 58(3), 40–46.</w:t>
      </w:r>
    </w:p>
    <w:p w14:paraId="5C15CFB4" w14:textId="64F39E76"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18]</w:t>
      </w:r>
      <w:r w:rsidRPr="003200F3">
        <w:rPr>
          <w:rFonts w:ascii="Arial" w:hAnsi="Arial" w:cs="Arial"/>
        </w:rPr>
        <w:tab/>
        <w:t>A. Varastehy, M. De Andrade, C. Mas Machuca, L. Wosinska, W. Kellerer, “Power-Aware Virtual Network Function Placement and Routing using an Abstraction Technique,” Proc. 2018 IEEE Global Communications Conference (GLOBECOM 2018), Abu Dhabi, UAE, Dec. 2018.</w:t>
      </w:r>
    </w:p>
    <w:p w14:paraId="4BCE0DDF" w14:textId="02E5B32F"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19]</w:t>
      </w:r>
      <w:r w:rsidRPr="003200F3">
        <w:rPr>
          <w:rFonts w:ascii="Arial" w:hAnsi="Arial" w:cs="Arial"/>
        </w:rPr>
        <w:tab/>
        <w:t>R. Bolla, R. Bruschi, F. Davoli, J. F. Pajo, “A Model-Based Approach Towards Real-Time Analytics in NFV Infrastructures,” IEEE Transactions on Green Communications and Networking, published online 20 Dec. 2019; DOI: 10.1109/TGCN.2019.2961192.</w:t>
      </w:r>
    </w:p>
    <w:p w14:paraId="3AF709EA" w14:textId="45AC9ECC"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20]</w:t>
      </w:r>
      <w:r w:rsidRPr="003200F3">
        <w:rPr>
          <w:rFonts w:ascii="Arial" w:hAnsi="Arial" w:cs="Arial"/>
        </w:rPr>
        <w:tab/>
        <w:t>Castro, P., Ishakian, V., Muthusamy, V., &amp; Slominski, A. (2019). The Rise of Serverless Computing. Commun. ACM, 62(12), 44–54.</w:t>
      </w:r>
    </w:p>
    <w:p w14:paraId="3244310C" w14:textId="72A28D79"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21]</w:t>
      </w:r>
      <w:r w:rsidRPr="003200F3">
        <w:rPr>
          <w:rFonts w:ascii="Arial" w:hAnsi="Arial" w:cs="Arial"/>
        </w:rPr>
        <w:tab/>
        <w:t xml:space="preserve">L. Baresi, D. F. Mendonça, M. Garriga, S. Guinea, and G. Quattrocchi. 2019. A Unified Model for the Mobile-Edge-Cloud Continuum. ACM Trans. Internet Technol. 19, 2, Article 29 (March 2019), 21 pages. </w:t>
      </w:r>
    </w:p>
    <w:p w14:paraId="7D1A676E" w14:textId="49B53666" w:rsidR="000E4D95" w:rsidRPr="003200F3" w:rsidRDefault="000E4D95" w:rsidP="000E4D95">
      <w:pPr>
        <w:spacing w:after="120" w:line="240" w:lineRule="auto"/>
        <w:ind w:left="993" w:hanging="993"/>
        <w:jc w:val="both"/>
        <w:rPr>
          <w:rFonts w:ascii="Arial" w:hAnsi="Arial" w:cs="Arial"/>
        </w:rPr>
      </w:pPr>
      <w:r>
        <w:rPr>
          <w:rFonts w:ascii="Arial" w:hAnsi="Arial" w:cs="Arial"/>
        </w:rPr>
        <w:lastRenderedPageBreak/>
        <w:t>[C5-</w:t>
      </w:r>
      <w:r w:rsidRPr="003200F3">
        <w:rPr>
          <w:rFonts w:ascii="Arial" w:hAnsi="Arial" w:cs="Arial"/>
        </w:rPr>
        <w:t>22]</w:t>
      </w:r>
      <w:r w:rsidRPr="003200F3">
        <w:rPr>
          <w:rFonts w:ascii="Arial" w:hAnsi="Arial" w:cs="Arial"/>
        </w:rPr>
        <w:tab/>
        <w:t>Aditya, P., Akkus, I. E., Beck, A., Chen, R., Hilt, V., Rimac, I., … Stein, M. (2019). Will Serverless Computing Revolutionize NFV? Proceedings of the IEEE, 107(4), 667–678.</w:t>
      </w:r>
    </w:p>
    <w:p w14:paraId="78FEF180" w14:textId="14CC7507" w:rsidR="000E4D95" w:rsidRPr="003200F3" w:rsidRDefault="000E4D95" w:rsidP="000E4D95">
      <w:pPr>
        <w:spacing w:after="120" w:line="240" w:lineRule="auto"/>
        <w:ind w:left="993" w:hanging="993"/>
        <w:jc w:val="both"/>
        <w:rPr>
          <w:rFonts w:ascii="Arial" w:hAnsi="Arial" w:cs="Arial"/>
        </w:rPr>
      </w:pPr>
      <w:r w:rsidRPr="00D53222">
        <w:rPr>
          <w:rFonts w:ascii="Arial" w:hAnsi="Arial" w:cs="Arial"/>
          <w:lang w:val="en-US"/>
        </w:rPr>
        <w:t>[C5-23]</w:t>
      </w:r>
      <w:r w:rsidRPr="00D53222">
        <w:rPr>
          <w:rFonts w:ascii="Arial" w:hAnsi="Arial" w:cs="Arial"/>
          <w:lang w:val="en-US"/>
        </w:rPr>
        <w:tab/>
        <w:t xml:space="preserve">Hellerstein, J. M., Faleiro, J., Gonzalez, J. E., Schleier-Smith, J., Sreekanti, V., Tumanov, A., &amp; Wu, C. (2019). </w:t>
      </w:r>
      <w:r w:rsidRPr="003200F3">
        <w:rPr>
          <w:rFonts w:ascii="Arial" w:hAnsi="Arial" w:cs="Arial"/>
        </w:rPr>
        <w:t>Serverless computing: One step forward, two steps back. CIDR 2019 – 9th Biennial Conference on Innovative Data Systems Research, 3.</w:t>
      </w:r>
    </w:p>
    <w:p w14:paraId="6783B628" w14:textId="0E4C6DC6"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24]</w:t>
      </w:r>
      <w:r w:rsidRPr="003200F3">
        <w:rPr>
          <w:rFonts w:ascii="Arial" w:hAnsi="Arial" w:cs="Arial"/>
        </w:rPr>
        <w:tab/>
        <w:t>R. Zoppoli, M. Sanguineti, G. Gnecco and T. Parisini, “Neural Approximations for Optimal Control and Decision”, Springer, 2019.</w:t>
      </w:r>
    </w:p>
    <w:p w14:paraId="42F003B5" w14:textId="3BFEC300"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25]</w:t>
      </w:r>
      <w:r w:rsidRPr="003200F3">
        <w:rPr>
          <w:rFonts w:ascii="Arial" w:hAnsi="Arial" w:cs="Arial"/>
        </w:rPr>
        <w:tab/>
        <w:t>Cisco Global Cloud Index: Forecast and Methodology, 20162021 White Paper. [Online]. Available: https://www.cisco.com/c/en/us/solutions/collateral/service-provider/global-cloud-index-gci/white-paper-c11-738085.html</w:t>
      </w:r>
    </w:p>
    <w:p w14:paraId="0CCB152B" w14:textId="0608EE67"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26]</w:t>
      </w:r>
      <w:r w:rsidRPr="003200F3">
        <w:rPr>
          <w:rFonts w:ascii="Arial" w:hAnsi="Arial" w:cs="Arial"/>
        </w:rPr>
        <w:tab/>
        <w:t>Z. Zhou, X. Chen, E. Li, L. Zeng, K. Luo and J. Zhang, "Edge Intelligence: Paving the Last Mile of Artificial Intelligence With Edge Computing," in Proceedings of the IEEE, vol. 107, no. 8, pp. 1738-1762, Aug. 2019.</w:t>
      </w:r>
    </w:p>
    <w:p w14:paraId="65F7C100" w14:textId="058039A6"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27]</w:t>
      </w:r>
      <w:r w:rsidRPr="003200F3">
        <w:rPr>
          <w:rFonts w:ascii="Arial" w:hAnsi="Arial" w:cs="Arial"/>
        </w:rPr>
        <w:tab/>
        <w:t>Q. Chen, z. Zheng, C. Hu, D. Wang, and F. Liu, “Data-driven task allocation for multi-task transfer learning on the edge,” in 2019 IEEE 39th International Conference on Distributed Computing Systems (ICDCS). IEEE, 2019.</w:t>
      </w:r>
    </w:p>
    <w:p w14:paraId="6CB4078C" w14:textId="0BD58FD1"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28]</w:t>
      </w:r>
      <w:r w:rsidRPr="003200F3">
        <w:rPr>
          <w:rFonts w:ascii="Arial" w:hAnsi="Arial" w:cs="Arial"/>
        </w:rPr>
        <w:tab/>
        <w:t>R. Shokri and V. Shmatikov, “Privacy-preserving deep learning,” in Proceedings of the 22nd ACM SIGSAC conference on computer and communications security. ACM, 2015, pp. 1310–1321.</w:t>
      </w:r>
    </w:p>
    <w:p w14:paraId="51926AF0" w14:textId="2BDB7947"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29]</w:t>
      </w:r>
      <w:r w:rsidRPr="003200F3">
        <w:rPr>
          <w:rFonts w:ascii="Arial" w:hAnsi="Arial" w:cs="Arial"/>
        </w:rPr>
        <w:tab/>
        <w:t>H. Kim, J. Park, M. Bennis, and S.-L. Kim, “On-device federated learning via blockchain and its latency analysis,” arXiv:1808.03949, 2018.</w:t>
      </w:r>
    </w:p>
    <w:p w14:paraId="791D545F" w14:textId="2B5E9F7E"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30]</w:t>
      </w:r>
      <w:r w:rsidRPr="003200F3">
        <w:rPr>
          <w:rFonts w:ascii="Arial" w:hAnsi="Arial" w:cs="Arial"/>
        </w:rPr>
        <w:tab/>
        <w:t>S. Han, J. Pool, J. Tran, and W. Dally, “Learning both weights and connections for efficient neural network,” in Advances in neural information processing systems, 2015, pp. 1135–1143.</w:t>
      </w:r>
    </w:p>
    <w:p w14:paraId="753AC2E2" w14:textId="72E3F8B0"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31]</w:t>
      </w:r>
      <w:r w:rsidRPr="003200F3">
        <w:rPr>
          <w:rFonts w:ascii="Arial" w:hAnsi="Arial" w:cs="Arial"/>
        </w:rPr>
        <w:tab/>
        <w:t>T.-J. Yang, Y.-H. Chen, and V. Sze, “</w:t>
      </w:r>
      <w:r w:rsidR="00DA6395">
        <w:rPr>
          <w:rFonts w:ascii="Arial" w:hAnsi="Arial" w:cs="Arial"/>
        </w:rPr>
        <w:t>Designing energy-efficient con</w:t>
      </w:r>
      <w:r w:rsidRPr="003200F3">
        <w:rPr>
          <w:rFonts w:ascii="Arial" w:hAnsi="Arial" w:cs="Arial"/>
        </w:rPr>
        <w:t>volutional neural networks using energy-aware pruning,” in IEEE Conference on Computer Vision and Pattern Recognition (CVPR),2017.</w:t>
      </w:r>
    </w:p>
    <w:p w14:paraId="6A535A66" w14:textId="56BE81F0"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32]</w:t>
      </w:r>
      <w:r w:rsidRPr="003200F3">
        <w:rPr>
          <w:rFonts w:ascii="Arial" w:hAnsi="Arial" w:cs="Arial"/>
        </w:rPr>
        <w:tab/>
        <w:t>E. Strubell, A. Ganesh and A. McCallum, “Energy and Policy Considerations for Deep Learning in NLP”, Annual Meeting of the Association for Computational Linguistics (ACL short). Florence, Italy. July 2019.</w:t>
      </w:r>
    </w:p>
    <w:p w14:paraId="1ABFF677" w14:textId="3C0A43EC" w:rsidR="000E4D95" w:rsidRPr="003200F3" w:rsidRDefault="000E4D95" w:rsidP="000E4D95">
      <w:pPr>
        <w:spacing w:after="120" w:line="240" w:lineRule="auto"/>
        <w:ind w:left="993" w:hanging="993"/>
        <w:jc w:val="both"/>
        <w:rPr>
          <w:rFonts w:ascii="Arial" w:hAnsi="Arial" w:cs="Arial"/>
        </w:rPr>
      </w:pPr>
      <w:r>
        <w:rPr>
          <w:rFonts w:ascii="Arial" w:hAnsi="Arial" w:cs="Arial"/>
        </w:rPr>
        <w:t>[C5-</w:t>
      </w:r>
      <w:r w:rsidRPr="003200F3">
        <w:rPr>
          <w:rFonts w:ascii="Arial" w:hAnsi="Arial" w:cs="Arial"/>
        </w:rPr>
        <w:t>33]</w:t>
      </w:r>
      <w:r w:rsidRPr="003200F3">
        <w:rPr>
          <w:rFonts w:ascii="Arial" w:hAnsi="Arial" w:cs="Arial"/>
        </w:rPr>
        <w:tab/>
        <w:t>A. Lacoste, A. Luccioni, V. Schmidt, Victor and T. Dandres, "Quantifying the Carbon Emissions of Machine Learning", arXiv preprint arXiv:1910.09700, 2019</w:t>
      </w:r>
    </w:p>
    <w:p w14:paraId="10F7154F" w14:textId="63EDF95E" w:rsidR="003F2CCB" w:rsidRDefault="000E4D95" w:rsidP="00CD22D9">
      <w:pPr>
        <w:spacing w:after="120" w:line="240" w:lineRule="auto"/>
        <w:ind w:left="993" w:hanging="993"/>
        <w:jc w:val="both"/>
        <w:rPr>
          <w:rStyle w:val="Hyperlink"/>
          <w:rFonts w:ascii="Arial" w:hAnsi="Arial" w:cs="Arial"/>
        </w:rPr>
      </w:pPr>
      <w:r>
        <w:rPr>
          <w:rFonts w:ascii="Arial" w:hAnsi="Arial" w:cs="Arial"/>
        </w:rPr>
        <w:t>[C5-</w:t>
      </w:r>
      <w:r w:rsidRPr="003200F3">
        <w:rPr>
          <w:rFonts w:ascii="Arial" w:hAnsi="Arial" w:cs="Arial"/>
        </w:rPr>
        <w:t>34]</w:t>
      </w:r>
      <w:r w:rsidRPr="003200F3">
        <w:rPr>
          <w:rFonts w:ascii="Arial" w:hAnsi="Arial" w:cs="Arial"/>
        </w:rPr>
        <w:tab/>
      </w:r>
      <w:hyperlink r:id="rId64" w:history="1">
        <w:r w:rsidRPr="00B60B04">
          <w:rPr>
            <w:rStyle w:val="Hyperlink"/>
            <w:rFonts w:ascii="Arial" w:hAnsi="Arial" w:cs="Arial"/>
          </w:rPr>
          <w:t>http://www.green-algorithms.org/</w:t>
        </w:r>
      </w:hyperlink>
    </w:p>
    <w:p w14:paraId="5BFFA190" w14:textId="070FB249"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81" w:name="_Ref42070716"/>
      <w:r w:rsidRPr="00DA5FA8">
        <w:rPr>
          <w:rFonts w:ascii="Arial" w:hAnsi="Arial" w:cs="Arial"/>
        </w:rPr>
        <w:t>N. Rajatheva et al</w:t>
      </w:r>
      <w:r w:rsidRPr="00DA5FA8">
        <w:rPr>
          <w:rFonts w:ascii="Arial" w:hAnsi="Arial" w:cs="Arial"/>
          <w:lang w:val="en-US"/>
        </w:rPr>
        <w:t>: “</w:t>
      </w:r>
      <w:r w:rsidRPr="00DA5FA8">
        <w:rPr>
          <w:rFonts w:ascii="Arial" w:hAnsi="Arial" w:cs="Arial"/>
        </w:rPr>
        <w:t>White paper on broadband connectivity in 6G</w:t>
      </w:r>
      <w:r w:rsidRPr="00DA5FA8">
        <w:rPr>
          <w:rFonts w:ascii="Arial" w:hAnsi="Arial" w:cs="Arial"/>
          <w:lang w:val="en-US"/>
        </w:rPr>
        <w:t xml:space="preserve">,” </w:t>
      </w:r>
      <w:r w:rsidRPr="00DA5FA8">
        <w:rPr>
          <w:rFonts w:ascii="Arial" w:hAnsi="Arial"/>
        </w:rPr>
        <w:t xml:space="preserve">arXiv preprint: </w:t>
      </w:r>
      <w:hyperlink r:id="rId65" w:history="1">
        <w:r w:rsidRPr="00DA5FA8">
          <w:rPr>
            <w:rStyle w:val="Hyperlink"/>
            <w:rFonts w:ascii="Arial" w:hAnsi="Arial" w:cs="Arial"/>
          </w:rPr>
          <w:t>https://arxiv.org/abs/2004.14247</w:t>
        </w:r>
      </w:hyperlink>
      <w:r w:rsidRPr="00DA5FA8">
        <w:rPr>
          <w:rFonts w:ascii="Arial" w:hAnsi="Arial" w:cs="Arial"/>
          <w:lang w:val="en-US"/>
        </w:rPr>
        <w:t>, 2020.</w:t>
      </w:r>
      <w:bookmarkEnd w:id="481"/>
    </w:p>
    <w:p w14:paraId="78E5FFD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482" w:name="_Ref32421077"/>
      <w:r w:rsidRPr="00DA5FA8">
        <w:rPr>
          <w:rFonts w:ascii="Arial" w:hAnsi="Arial" w:cs="Arial"/>
        </w:rPr>
        <w:t>H. Shokri-Ghadikolaei, F. Boccardi, C. Fischione, G. Fodor, and M. Zorzi: “Spectrum sharing in mmWave cellular networks via cell association, coordination, and beamforming,” IEEE J. Sel. Areas Commun.,</w:t>
      </w:r>
      <w:r w:rsidRPr="00DA5FA8">
        <w:rPr>
          <w:rFonts w:ascii="Arial" w:hAnsi="Arial"/>
        </w:rPr>
        <w:t xml:space="preserve"> Nov. </w:t>
      </w:r>
      <w:r w:rsidRPr="00DA5FA8">
        <w:rPr>
          <w:rFonts w:ascii="Arial" w:hAnsi="Arial" w:cs="Arial"/>
        </w:rPr>
        <w:t>2016.</w:t>
      </w:r>
      <w:bookmarkEnd w:id="482"/>
    </w:p>
    <w:bookmarkStart w:id="483" w:name="_Ref38362024"/>
    <w:p w14:paraId="2A946526" w14:textId="393E6D0E"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r w:rsidRPr="00DA5FA8">
        <w:rPr>
          <w:rStyle w:val="authors"/>
          <w:rFonts w:ascii="Arial" w:hAnsi="Arial" w:cs="Arial"/>
        </w:rPr>
        <w:fldChar w:fldCharType="begin"/>
      </w:r>
      <w:r w:rsidRPr="00DA5FA8">
        <w:rPr>
          <w:rStyle w:val="authors"/>
          <w:rFonts w:ascii="Arial" w:hAnsi="Arial" w:cs="Arial"/>
        </w:rPr>
        <w:instrText xml:space="preserve"> HYPERLINK "http://www.cttc.es/people/slagen/" </w:instrText>
      </w:r>
      <w:r w:rsidRPr="00DA5FA8">
        <w:rPr>
          <w:rStyle w:val="authors"/>
          <w:rFonts w:ascii="Arial" w:hAnsi="Arial" w:cs="Arial"/>
        </w:rPr>
        <w:fldChar w:fldCharType="separate"/>
      </w:r>
      <w:r w:rsidRPr="00DA5FA8">
        <w:rPr>
          <w:rStyle w:val="Hyperlink"/>
          <w:rFonts w:ascii="Arial" w:hAnsi="Arial" w:cs="Arial"/>
          <w:color w:val="auto"/>
          <w:u w:val="none"/>
        </w:rPr>
        <w:t>S. Lagen</w:t>
      </w:r>
      <w:r w:rsidRPr="00DA5FA8">
        <w:rPr>
          <w:rStyle w:val="authors"/>
          <w:rFonts w:ascii="Arial" w:hAnsi="Arial" w:cs="Arial"/>
        </w:rPr>
        <w:fldChar w:fldCharType="end"/>
      </w:r>
      <w:r w:rsidRPr="00DA5FA8">
        <w:rPr>
          <w:rStyle w:val="authors"/>
          <w:rFonts w:ascii="Arial" w:hAnsi="Arial" w:cs="Arial"/>
        </w:rPr>
        <w:t xml:space="preserve">, </w:t>
      </w:r>
      <w:hyperlink r:id="rId66" w:history="1">
        <w:r w:rsidRPr="00DA5FA8">
          <w:rPr>
            <w:rStyle w:val="Hyperlink"/>
            <w:rFonts w:ascii="Arial" w:hAnsi="Arial" w:cs="Arial"/>
            <w:color w:val="auto"/>
            <w:u w:val="none"/>
          </w:rPr>
          <w:t>L. Giupponi</w:t>
        </w:r>
      </w:hyperlink>
      <w:r w:rsidRPr="00DA5FA8">
        <w:rPr>
          <w:rStyle w:val="authors"/>
          <w:rFonts w:ascii="Arial" w:hAnsi="Arial" w:cs="Arial"/>
        </w:rPr>
        <w:t xml:space="preserve">, S. Goyal, </w:t>
      </w:r>
      <w:hyperlink r:id="rId67" w:history="1">
        <w:r w:rsidRPr="00DA5FA8">
          <w:rPr>
            <w:rStyle w:val="Hyperlink"/>
            <w:rFonts w:ascii="Arial" w:hAnsi="Arial" w:cs="Arial"/>
            <w:color w:val="auto"/>
            <w:u w:val="none"/>
          </w:rPr>
          <w:t>N. Patriciello</w:t>
        </w:r>
      </w:hyperlink>
      <w:r w:rsidRPr="00DA5FA8">
        <w:rPr>
          <w:rStyle w:val="authors"/>
          <w:rFonts w:ascii="Arial" w:hAnsi="Arial" w:cs="Arial"/>
        </w:rPr>
        <w:t xml:space="preserve">, </w:t>
      </w:r>
      <w:hyperlink r:id="rId68" w:history="1">
        <w:r w:rsidRPr="00DA5FA8">
          <w:rPr>
            <w:rStyle w:val="Hyperlink"/>
            <w:rFonts w:ascii="Arial" w:hAnsi="Arial" w:cs="Arial"/>
            <w:color w:val="auto"/>
            <w:u w:val="none"/>
          </w:rPr>
          <w:t>B. Bojovic</w:t>
        </w:r>
      </w:hyperlink>
      <w:r w:rsidRPr="00DA5FA8">
        <w:rPr>
          <w:rStyle w:val="authors"/>
          <w:rFonts w:ascii="Arial" w:hAnsi="Arial" w:cs="Arial"/>
        </w:rPr>
        <w:t>, A. Demir, and M. Beluri: “</w:t>
      </w:r>
      <w:hyperlink r:id="rId69" w:history="1">
        <w:r w:rsidRPr="00DA5FA8">
          <w:rPr>
            <w:rStyle w:val="Hyperlink"/>
            <w:rFonts w:ascii="Arial" w:hAnsi="Arial" w:cs="Arial"/>
            <w:color w:val="auto"/>
            <w:u w:val="none"/>
          </w:rPr>
          <w:t>New radio beam-based access to unlicensed spectrum: Design challenges and solutions</w:t>
        </w:r>
      </w:hyperlink>
      <w:r w:rsidRPr="00DA5FA8">
        <w:rPr>
          <w:rStyle w:val="excerpt"/>
          <w:rFonts w:ascii="Arial" w:hAnsi="Arial" w:cs="Arial"/>
        </w:rPr>
        <w:t>,” IEEE Communications Surveys &amp; Tutorials, vol. 22, no. 1, pp. 8-37, March 2020.</w:t>
      </w:r>
      <w:bookmarkEnd w:id="483"/>
    </w:p>
    <w:p w14:paraId="19F9237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84" w:name="_Ref32424554"/>
      <w:bookmarkStart w:id="485" w:name="_Ref510624238"/>
      <w:r w:rsidRPr="00DA5FA8">
        <w:rPr>
          <w:rFonts w:ascii="Arial" w:hAnsi="Arial"/>
        </w:rPr>
        <w:t>K. Sakaguch et al: “Where, when, and how mmWave is used in 5G and beyond,” IEICE Transactions on Electronics, vol. E100-C, no.10, pp.790-808, 2017.</w:t>
      </w:r>
      <w:bookmarkEnd w:id="484"/>
      <w:bookmarkEnd w:id="485"/>
    </w:p>
    <w:p w14:paraId="05D28312" w14:textId="7BD41A8F"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486" w:name="_Ref32422856"/>
      <w:r w:rsidRPr="00DA5FA8">
        <w:rPr>
          <w:rFonts w:ascii="Arial" w:hAnsi="Arial" w:cs="Arial"/>
        </w:rPr>
        <w:lastRenderedPageBreak/>
        <w:t>P. Kumari, J. Choi, N. González-Prelcic, R.W. Heath: “</w:t>
      </w:r>
      <w:hyperlink r:id="rId70" w:history="1">
        <w:r w:rsidRPr="00DA5FA8">
          <w:rPr>
            <w:rFonts w:ascii="Arial" w:hAnsi="Arial" w:cs="Arial"/>
          </w:rPr>
          <w:t>IEEE 802.11 ad-based radar: An approach to joint vehicular communication-radar system</w:t>
        </w:r>
      </w:hyperlink>
      <w:r w:rsidRPr="00DA5FA8">
        <w:rPr>
          <w:rFonts w:ascii="Arial" w:hAnsi="Arial" w:cs="Arial"/>
        </w:rPr>
        <w:t>,” IEEE Transactions on Vehicular Technology, vol. 67, pp. 3012-3027, 2017.</w:t>
      </w:r>
      <w:bookmarkEnd w:id="486"/>
    </w:p>
    <w:p w14:paraId="77FB002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487" w:name="_Ref32423304"/>
      <w:r w:rsidRPr="00DA5FA8">
        <w:rPr>
          <w:rFonts w:ascii="Arial" w:hAnsi="Arial" w:cs="Arial"/>
        </w:rPr>
        <w:t>M.S. Elbamby, C. Perfecto, M. Bennis and K. Doppler: “Toward low-latency and ultra-reliable virtual reality,” IEEE Network, vol. 32, pp.78-84, 2018.</w:t>
      </w:r>
      <w:bookmarkEnd w:id="487"/>
    </w:p>
    <w:p w14:paraId="73420EB1" w14:textId="6BADD5F1" w:rsidR="003F2CCB" w:rsidRPr="00DA5FA8" w:rsidRDefault="003F2CCB" w:rsidP="008414EA">
      <w:pPr>
        <w:pStyle w:val="ListParagraph"/>
        <w:numPr>
          <w:ilvl w:val="0"/>
          <w:numId w:val="84"/>
        </w:numPr>
        <w:spacing w:after="120" w:line="240" w:lineRule="auto"/>
        <w:ind w:left="994" w:hanging="994"/>
        <w:contextualSpacing w:val="0"/>
        <w:rPr>
          <w:rFonts w:ascii="Arial" w:hAnsi="Arial"/>
        </w:rPr>
      </w:pPr>
      <w:bookmarkStart w:id="488" w:name="_Ref510624469"/>
      <w:r w:rsidRPr="00DA5FA8">
        <w:rPr>
          <w:rFonts w:ascii="Arial" w:hAnsi="Arial"/>
        </w:rPr>
        <w:t xml:space="preserve">Ericsson: Traffic Exploration. </w:t>
      </w:r>
      <w:hyperlink r:id="rId71" w:history="1">
        <w:r w:rsidRPr="00DA5FA8">
          <w:rPr>
            <w:rStyle w:val="Hyperlink"/>
            <w:rFonts w:ascii="Arial" w:hAnsi="Arial"/>
          </w:rPr>
          <w:t>https://www.ericsson.com/TET/trafficView/loadBasicEditor.ericsson</w:t>
        </w:r>
      </w:hyperlink>
      <w:bookmarkEnd w:id="488"/>
      <w:r w:rsidRPr="00DA5FA8">
        <w:rPr>
          <w:rStyle w:val="Hyperlink"/>
          <w:rFonts w:ascii="Arial" w:hAnsi="Arial"/>
        </w:rPr>
        <w:t>.</w:t>
      </w:r>
    </w:p>
    <w:p w14:paraId="483A886C" w14:textId="1814C696"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489" w:name="_Ref510624582"/>
      <w:r w:rsidRPr="00DA5FA8">
        <w:rPr>
          <w:rFonts w:ascii="Arial" w:hAnsi="Arial"/>
        </w:rPr>
        <w:t xml:space="preserve">WorldoMeters: Western Europe Population. </w:t>
      </w:r>
      <w:hyperlink r:id="rId72" w:history="1">
        <w:r w:rsidRPr="00DA5FA8">
          <w:rPr>
            <w:rStyle w:val="Hyperlink"/>
            <w:rFonts w:ascii="Arial" w:hAnsi="Arial"/>
          </w:rPr>
          <w:t>http://www.worldometers.info/world-population/western-europe-population/</w:t>
        </w:r>
      </w:hyperlink>
      <w:r w:rsidRPr="00DA5FA8">
        <w:rPr>
          <w:rStyle w:val="Hyperlink"/>
          <w:rFonts w:ascii="Arial" w:hAnsi="Arial"/>
        </w:rPr>
        <w:t>.</w:t>
      </w:r>
      <w:bookmarkEnd w:id="489"/>
    </w:p>
    <w:p w14:paraId="08907546" w14:textId="384A1245"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490" w:name="_Ref510624677"/>
      <w:r w:rsidRPr="00DA5FA8">
        <w:rPr>
          <w:rFonts w:ascii="Arial" w:hAnsi="Arial"/>
        </w:rPr>
        <w:t xml:space="preserve">Cisco: Cisco Visual Networking Index: Global Mobile Data Traffic Forecast Update, 2016 - 2021 (White Paper), [Online]. Available at: </w:t>
      </w:r>
      <w:hyperlink r:id="rId73" w:history="1">
        <w:r w:rsidRPr="00DA5FA8">
          <w:rPr>
            <w:rStyle w:val="Hyperlink"/>
            <w:rFonts w:ascii="Arial" w:hAnsi="Arial"/>
          </w:rPr>
          <w:t>https://www.cisco.com/c/en/us/solutions/collateral/service-provider/visual-networking-index-vni/mobile-white-paper-c11-520862.html</w:t>
        </w:r>
      </w:hyperlink>
      <w:r w:rsidRPr="00DA5FA8">
        <w:rPr>
          <w:rStyle w:val="Hyperlink"/>
          <w:rFonts w:ascii="Arial" w:hAnsi="Arial"/>
        </w:rPr>
        <w:t>.</w:t>
      </w:r>
      <w:bookmarkEnd w:id="490"/>
    </w:p>
    <w:p w14:paraId="28EFB05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olor w:val="000000" w:themeColor="text1"/>
        </w:rPr>
      </w:pPr>
      <w:bookmarkStart w:id="491" w:name="_Ref510625093"/>
      <w:r w:rsidRPr="00DA5FA8">
        <w:rPr>
          <w:rFonts w:ascii="Arial" w:hAnsi="Arial"/>
          <w:color w:val="000000" w:themeColor="text1"/>
        </w:rPr>
        <w:t>3GPP: 3GPP TS 22.261, Service Requirements for the 5G System, (Release 15), 2017.</w:t>
      </w:r>
      <w:bookmarkEnd w:id="491"/>
    </w:p>
    <w:p w14:paraId="0E4C85A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492" w:name="_Ref32423686"/>
      <w:r w:rsidRPr="00DA5FA8">
        <w:rPr>
          <w:rFonts w:ascii="Arial" w:hAnsi="Arial" w:cs="Arial"/>
        </w:rPr>
        <w:t>C. Fiandrino, H. Assasa, P. Casari and J. Widmer: “Scaling millimeter-wave networks to high density deployments and dynamic environments,” Proceedings of the IEEE, 2019.</w:t>
      </w:r>
      <w:bookmarkEnd w:id="492"/>
    </w:p>
    <w:p w14:paraId="28B0D45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olor w:val="000000" w:themeColor="text1"/>
        </w:rPr>
      </w:pPr>
      <w:bookmarkStart w:id="493" w:name="_Ref524009809"/>
      <w:r w:rsidRPr="00DA5FA8">
        <w:rPr>
          <w:rFonts w:ascii="Arial" w:hAnsi="Arial"/>
          <w:color w:val="000000" w:themeColor="text1"/>
        </w:rPr>
        <w:t>M.U. Sheikh and J. Lempiäinen: “Macro cellular network transition from traditional frequency range to 28 GHz millimeter wave frequency band,” Wireless Networks, 24(3), pp. 943-953, 2018.</w:t>
      </w:r>
      <w:bookmarkEnd w:id="493"/>
    </w:p>
    <w:p w14:paraId="22CE60E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94" w:name="_Ref510625728"/>
      <w:r w:rsidRPr="00DA5FA8">
        <w:rPr>
          <w:rFonts w:ascii="Arial" w:hAnsi="Arial"/>
        </w:rPr>
        <w:t>M.S. Islim, R.X. Ferreira, X. He, E. Xie, S. Videv, S. Viola, S. Watson, N. Bamiedakis, R. V. Penty, I.H. White, A.E. Kelly, E. Gu, H. Haas and M. D. Dawson: “Towards 10 Gb/s OFDM-based visible light communication using a GaN violet micro-LED”, Photonics Research, vol. 2, no. 5, pp.: A35-A48, 2017.</w:t>
      </w:r>
      <w:bookmarkEnd w:id="494"/>
    </w:p>
    <w:p w14:paraId="62673A5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95" w:name="_Ref510625743"/>
      <w:r w:rsidRPr="00DA5FA8">
        <w:rPr>
          <w:rFonts w:ascii="Arial" w:hAnsi="Arial"/>
        </w:rPr>
        <w:t>T. Cogalan and H. Haas: “Why would 5G need optical wireless communications?” in 2017 IEEE 28th Annual International Symposium on Personal, Indoor, and Mobile Radio Communications (PIMRC), pp. 1-6, 2017.</w:t>
      </w:r>
      <w:bookmarkEnd w:id="495"/>
    </w:p>
    <w:p w14:paraId="2D368BC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96" w:name="_Ref510626090"/>
      <w:r w:rsidRPr="00DA5FA8">
        <w:rPr>
          <w:rFonts w:ascii="Arial" w:hAnsi="Arial"/>
          <w:color w:val="000000"/>
        </w:rPr>
        <w:t xml:space="preserve">Y. F. Huang </w:t>
      </w:r>
      <w:r w:rsidRPr="00DA5FA8">
        <w:rPr>
          <w:rStyle w:val="Emphasis"/>
          <w:rFonts w:ascii="Arial" w:hAnsi="Arial"/>
          <w:i w:val="0"/>
          <w:color w:val="000000"/>
        </w:rPr>
        <w:t>et al</w:t>
      </w:r>
      <w:r w:rsidRPr="00DA5FA8">
        <w:rPr>
          <w:rFonts w:ascii="Arial" w:hAnsi="Arial"/>
          <w:color w:val="000000"/>
        </w:rPr>
        <w:t xml:space="preserve">: “17.6-Gbps universal filtered multi-carrier encoding of GaN blue LD for visible light communication,” in Proc. of the </w:t>
      </w:r>
      <w:r w:rsidRPr="00DA5FA8">
        <w:rPr>
          <w:rStyle w:val="Emphasis"/>
          <w:rFonts w:ascii="Arial" w:hAnsi="Arial"/>
          <w:color w:val="000000"/>
        </w:rPr>
        <w:t>Conference on Lasers and Electro-Optics (CLEO)</w:t>
      </w:r>
      <w:r w:rsidRPr="00DA5FA8">
        <w:rPr>
          <w:rFonts w:ascii="Arial" w:hAnsi="Arial"/>
          <w:color w:val="000000"/>
        </w:rPr>
        <w:t>, pp. 1-2, 2017.</w:t>
      </w:r>
      <w:bookmarkEnd w:id="496"/>
    </w:p>
    <w:p w14:paraId="209C24A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97" w:name="_Ref510626104"/>
      <w:r w:rsidRPr="00DA5FA8">
        <w:rPr>
          <w:rFonts w:ascii="Arial" w:hAnsi="Arial"/>
          <w:color w:val="000000"/>
        </w:rPr>
        <w:t xml:space="preserve">J. Fakidis, S. Videv, H. Helmers and H. Haas: “0.5-Gb/s OFDM-based laser data and power transfer using a GaAs photovoltaic cell,” </w:t>
      </w:r>
      <w:r w:rsidRPr="00DA5FA8">
        <w:rPr>
          <w:rStyle w:val="Emphasis"/>
          <w:rFonts w:ascii="Arial" w:hAnsi="Arial"/>
          <w:color w:val="000000"/>
        </w:rPr>
        <w:t>IEEE Photonics Technology Letters</w:t>
      </w:r>
      <w:r w:rsidRPr="00DA5FA8">
        <w:rPr>
          <w:rFonts w:ascii="Arial" w:hAnsi="Arial"/>
          <w:color w:val="000000"/>
        </w:rPr>
        <w:t>, 2018.</w:t>
      </w:r>
      <w:bookmarkEnd w:id="497"/>
    </w:p>
    <w:p w14:paraId="21372E0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98" w:name="_Ref33202222"/>
      <w:r w:rsidRPr="00DA5FA8">
        <w:rPr>
          <w:rFonts w:ascii="Arial" w:hAnsi="Arial"/>
        </w:rPr>
        <w:t>E. Calvanese Strinati et al: “6G: The next frontier: From holographic messaging to artificial intelligence using subterahertz and visible light communication,” IEEE Vehicular Technology Magazine, vol. 14, no. 3, pp. 42-50, Sept. 2019.</w:t>
      </w:r>
      <w:bookmarkEnd w:id="498"/>
    </w:p>
    <w:p w14:paraId="5CEE8D9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499" w:name="_Ref510626463"/>
      <w:r w:rsidRPr="00DA5FA8">
        <w:rPr>
          <w:rFonts w:ascii="Arial" w:hAnsi="Arial"/>
          <w:color w:val="000000"/>
        </w:rPr>
        <w:t xml:space="preserve">H. Haas, L. Yin, Y. Wang and C. Chen: “What is LiFi?” </w:t>
      </w:r>
      <w:r w:rsidRPr="00DA5FA8">
        <w:rPr>
          <w:rStyle w:val="Emphasis"/>
          <w:rFonts w:ascii="Arial" w:hAnsi="Arial"/>
          <w:color w:val="000000"/>
        </w:rPr>
        <w:t>Journal of Lightwave Technology</w:t>
      </w:r>
      <w:r w:rsidRPr="00DA5FA8">
        <w:rPr>
          <w:rFonts w:ascii="Arial" w:hAnsi="Arial"/>
          <w:color w:val="000000"/>
        </w:rPr>
        <w:t>, vol. 34, no. 6, pp. 1533-1544, March, 2016.</w:t>
      </w:r>
      <w:bookmarkEnd w:id="499"/>
    </w:p>
    <w:p w14:paraId="46BA2CF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0" w:name="_Ref510627035"/>
      <w:bookmarkStart w:id="501" w:name="_Ref525117752"/>
      <w:r w:rsidRPr="00DA5FA8">
        <w:rPr>
          <w:rFonts w:ascii="Arial" w:hAnsi="Arial"/>
        </w:rPr>
        <w:t>D. Tsonev, S. Videv and H. Haas: “Unlocking spectral efficiency in intensity modulation and direct detection systems,” IEEE Journal on Selected Areas in Communications, vol. 33, no. 9, pp. 1758-1770, Sept. 2015</w:t>
      </w:r>
      <w:bookmarkEnd w:id="500"/>
      <w:r w:rsidRPr="00DA5FA8">
        <w:rPr>
          <w:rFonts w:ascii="Arial" w:hAnsi="Arial"/>
        </w:rPr>
        <w:t>.</w:t>
      </w:r>
      <w:bookmarkEnd w:id="501"/>
    </w:p>
    <w:p w14:paraId="6F5C2DD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2" w:name="_Ref510627419"/>
      <w:r w:rsidRPr="00DA5FA8">
        <w:rPr>
          <w:rFonts w:ascii="Arial" w:hAnsi="Arial"/>
        </w:rPr>
        <w:t>I. F. Akyildiz, J. M. Jornet and C. Han: “Terahertz band: Next frontier for wireless communications,” Physical Communication (Elsevier) Journal, vol. 12, pp. 16–32, 2014.</w:t>
      </w:r>
      <w:bookmarkEnd w:id="502"/>
    </w:p>
    <w:p w14:paraId="3E58563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03" w:name="_Ref38526106"/>
      <w:bookmarkStart w:id="504" w:name="_Ref510627918"/>
      <w:r w:rsidRPr="00DA5FA8">
        <w:rPr>
          <w:rFonts w:ascii="Arial" w:hAnsi="Arial" w:cs="Arial"/>
        </w:rPr>
        <w:t xml:space="preserve">S. Priebe, D. M. Britz, M. Jacob, S. Sarkozy, K. M. Leong, J. E. Logan, B. S. Gorospe, and T. Kurner, “Interference investigations of active communications and </w:t>
      </w:r>
      <w:r w:rsidRPr="00DA5FA8">
        <w:rPr>
          <w:rFonts w:ascii="Arial" w:hAnsi="Arial" w:cs="Arial"/>
        </w:rPr>
        <w:lastRenderedPageBreak/>
        <w:t>passive earth exploration services in the Thz frequency range,” IEEE Trans. THz Sci. and Technol., vol. 2, no. 5, pp. 525–537, 2012.</w:t>
      </w:r>
      <w:bookmarkEnd w:id="503"/>
      <w:r w:rsidRPr="00DA5FA8">
        <w:rPr>
          <w:rFonts w:ascii="Arial" w:hAnsi="Arial" w:cs="Arial"/>
        </w:rPr>
        <w:t xml:space="preserve"> </w:t>
      </w:r>
    </w:p>
    <w:p w14:paraId="5DF0819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r w:rsidRPr="00DA5FA8">
        <w:rPr>
          <w:rFonts w:ascii="Arial" w:hAnsi="Arial"/>
        </w:rPr>
        <w:t>A. Nikpaik, A. H. M. Shirazi, A. Nabavi, S. Mirabbasi and S. Shekhar: “A 219-to-231 GHz frequency-multiplier-based VCO with 3% peak DC-to-RF efficiency in 65-nm CMOS,” IEEE Journal of Solid-State Circuits, vol. 53, no. 2, pp. 389–403, 2018.</w:t>
      </w:r>
      <w:bookmarkEnd w:id="504"/>
    </w:p>
    <w:p w14:paraId="6EA7DF6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5" w:name="_Ref510627932"/>
      <w:r w:rsidRPr="00DA5FA8">
        <w:rPr>
          <w:rFonts w:ascii="Arial" w:hAnsi="Arial"/>
        </w:rPr>
        <w:t>H. Aghasi, A. Cathelin and E. Afshari: “A 0.92-THz SiGe power radiator based on a nonlinear theory for harmonic generation,” IEEE Journal of Solid-State Circuits, vol. 52, no. 2, pp. 406–422, 2017.</w:t>
      </w:r>
      <w:bookmarkEnd w:id="505"/>
    </w:p>
    <w:p w14:paraId="393388E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6" w:name="_Ref510627944"/>
      <w:r w:rsidRPr="00DA5FA8">
        <w:rPr>
          <w:rFonts w:ascii="Arial" w:hAnsi="Arial"/>
        </w:rPr>
        <w:t>W. R. Deal, K. Leong, A. Zamora, B. Gorospe, K. Nguyen and X. B. Mei: “A 660 GHz up-converter for THz communications,” in Proc. of the IEEE Compound Semiconductor Integrated Circuit Symposium (CSICS), pp. 1–4, 2017.</w:t>
      </w:r>
      <w:bookmarkEnd w:id="506"/>
    </w:p>
    <w:p w14:paraId="0917EF3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7" w:name="_Ref511560216"/>
      <w:r w:rsidRPr="00DA5FA8">
        <w:rPr>
          <w:rFonts w:ascii="Arial" w:hAnsi="Arial"/>
        </w:rPr>
        <w:t>H.-J. Song, K. Ajito, Y. Muramoto, A. Wakatsuki, T. Nagatsuma and N. Kukutsu: “Uni-travelling-carrier photodiode module generating 300 GHz power greater than 1 mW,” IEEE Microwave and Wireless Components Letters, vol. 22, no. 7, pp. 363–365, 2012.</w:t>
      </w:r>
      <w:bookmarkEnd w:id="507"/>
    </w:p>
    <w:p w14:paraId="76400C8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8" w:name="_Ref510627967"/>
      <w:r w:rsidRPr="00DA5FA8">
        <w:rPr>
          <w:rFonts w:ascii="Arial" w:hAnsi="Arial"/>
        </w:rPr>
        <w:t>S.-W. Huang, J. Yang, S.-H. Yang, M. Yu, D.-L. Kwong, T. Zelevinsky, M. Jarrahi and C. W. Wong: “Globally stable microresonator turing pattern formation for coherent high-power THz radiation on-chip,” Physical Review X, vol. 7, no. 4, p. 041002, 2017.</w:t>
      </w:r>
      <w:bookmarkEnd w:id="508"/>
    </w:p>
    <w:p w14:paraId="122CABA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09" w:name="_Ref510627976"/>
      <w:r w:rsidRPr="00DA5FA8">
        <w:rPr>
          <w:rFonts w:ascii="Arial" w:hAnsi="Arial"/>
        </w:rPr>
        <w:t>T. Nagatsuma, G. Ducournau and C. C. Renaud: “Advances in terahertz communications accelerated by photonics,” Nature Photonics, vol. 10, no. 6, p. 371, 2016.</w:t>
      </w:r>
      <w:bookmarkEnd w:id="509"/>
    </w:p>
    <w:p w14:paraId="56C2B43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0" w:name="_Ref510627988"/>
      <w:r w:rsidRPr="00DA5FA8">
        <w:rPr>
          <w:rFonts w:ascii="Arial" w:hAnsi="Arial"/>
        </w:rPr>
        <w:t>Q. Lu, D. Wu, S. Sengupta, S. Slivken and M. Razeghi: “Room temperature continuous wave, monolithic tunable THz sources based on highly efficient mid-infrared quantum cascade lasers,” Scientific reports, vol. 6, 2016.</w:t>
      </w:r>
      <w:bookmarkEnd w:id="510"/>
    </w:p>
    <w:p w14:paraId="068937F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1" w:name="_Ref510628385"/>
      <w:r w:rsidRPr="00DA5FA8">
        <w:rPr>
          <w:rFonts w:ascii="Arial" w:hAnsi="Arial"/>
        </w:rPr>
        <w:t>A. C. Ferrari, et al: “Science and technology roadmap for graphene, related two-dimensional crystals, and hybrid systems,” Nanoscale, vol. 7, no. 11, pp. 4598–4810, 2015.</w:t>
      </w:r>
      <w:bookmarkEnd w:id="511"/>
    </w:p>
    <w:p w14:paraId="5934D43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2" w:name="_Ref510628399"/>
      <w:r w:rsidRPr="00DA5FA8">
        <w:rPr>
          <w:rFonts w:ascii="Arial" w:hAnsi="Arial"/>
        </w:rPr>
        <w:t>I. F. Akyildiz and J. M. Jornet: “Graphene-based plasmonic nano-transceiver employing HEMT for terahertz band communication,” U.S. Patent No. 9,397,758 issued on July 19, 2016 (Priority Date: December 6, 2013).</w:t>
      </w:r>
      <w:bookmarkEnd w:id="512"/>
    </w:p>
    <w:p w14:paraId="5ABE723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3" w:name="_Ref510628413"/>
      <w:r w:rsidRPr="00DA5FA8">
        <w:rPr>
          <w:rFonts w:ascii="Arial" w:hAnsi="Arial"/>
        </w:rPr>
        <w:t>J. M. Jornet and I. F. Akyildiz: “Graphene-based plasmonic nano-transceiver for terahertz band communication,” in Proc. of the 8th European Conference on Antennas and Propagation (EuCAP), The Hague, The Netherlands, April 2014.</w:t>
      </w:r>
      <w:bookmarkEnd w:id="513"/>
    </w:p>
    <w:p w14:paraId="573063D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4" w:name="_Ref510628425"/>
      <w:r w:rsidRPr="00DA5FA8">
        <w:rPr>
          <w:rFonts w:ascii="Arial" w:hAnsi="Arial"/>
        </w:rPr>
        <w:t>I. F. Akyildiz and J. M. Jornet: “Graphene-based plasmonic nano-antenna for terahertz band communication,” U.S. Patent No. 9,643,841, issued on May 9, 2017 (Priority Date: April 17, 2013).</w:t>
      </w:r>
      <w:bookmarkEnd w:id="514"/>
    </w:p>
    <w:p w14:paraId="76735AB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5" w:name="_Ref510628439"/>
      <w:r w:rsidRPr="00DA5FA8">
        <w:rPr>
          <w:rFonts w:ascii="Arial" w:hAnsi="Arial"/>
        </w:rPr>
        <w:t>J. M. Jornet and I. F. Akyildiz: “Graphene-based plasmonic nano-antenna for terahertz band communication in nanonetworks,” IEEE Journal on Selected Areas in Communications (JSAC), Special Issue on Emerging Technologies in Communications, vol. 31, no. 12, pp. 685-694, Dec. 2013.</w:t>
      </w:r>
      <w:bookmarkEnd w:id="515"/>
    </w:p>
    <w:p w14:paraId="426B107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6" w:name="_Ref510628657"/>
      <w:r w:rsidRPr="00DA5FA8">
        <w:rPr>
          <w:rFonts w:ascii="Arial" w:hAnsi="Arial"/>
        </w:rPr>
        <w:t>J. M. Jornet and I. F. Akyildiz: “Channel modeling and capacity analysis for electromagnetic wireless nanonetworks in the terahertz band,” IEEE Transactions on Wireless Communications, vol. 10, no. 10, pp. 3211-3221, October 2011.</w:t>
      </w:r>
      <w:bookmarkEnd w:id="516"/>
    </w:p>
    <w:p w14:paraId="206483A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7" w:name="_Ref510628668"/>
      <w:r w:rsidRPr="00DA5FA8">
        <w:rPr>
          <w:rFonts w:ascii="Arial" w:hAnsi="Arial"/>
        </w:rPr>
        <w:t>C. Han, A.O. Bicen and I. Akyildiz: “Multi-ray channel modeling and wideband characterization for wireless communications in the terahertz band,” IEEE Transactions on Wireless Communications, vol. 14, no. 5, pp. 2402–2412, 2015.</w:t>
      </w:r>
      <w:bookmarkEnd w:id="517"/>
    </w:p>
    <w:p w14:paraId="4B1C256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8" w:name="_Ref33026806"/>
      <w:r w:rsidRPr="00DA5FA8">
        <w:rPr>
          <w:rFonts w:ascii="Arial" w:hAnsi="Arial"/>
        </w:rPr>
        <w:lastRenderedPageBreak/>
        <w:t>K. Guan et al: “On millimeter wave and THz mobile radio channel for smart rail mobility,” IEEE Transactions on Vehicular Technology, vol. 66, no. 7, pp. 5658–5674, 2017.</w:t>
      </w:r>
      <w:bookmarkEnd w:id="518"/>
      <w:r w:rsidRPr="00DA5FA8">
        <w:rPr>
          <w:rFonts w:ascii="Arial" w:hAnsi="Arial"/>
        </w:rPr>
        <w:t xml:space="preserve">  </w:t>
      </w:r>
    </w:p>
    <w:p w14:paraId="11D43BB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19" w:name="_Ref510628874"/>
      <w:r w:rsidRPr="00DA5FA8">
        <w:rPr>
          <w:rFonts w:ascii="Arial" w:hAnsi="Arial"/>
        </w:rPr>
        <w:t>J. M. Jornet and I. F. Akyildiz: “Femtosecond-long pulse-based modulation for terahertz band communication in nanonetworks,” IEEE Transactions on Communications, vol. 62, no. 5, pp. 1742-1754, May 2014.</w:t>
      </w:r>
      <w:bookmarkEnd w:id="519"/>
    </w:p>
    <w:p w14:paraId="1604682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0" w:name="_Ref33027496"/>
      <w:r w:rsidRPr="00DA5FA8">
        <w:rPr>
          <w:rFonts w:ascii="Arial" w:hAnsi="Arial"/>
        </w:rPr>
        <w:t>J. Dore et al: “Above-90 GHz spectrum and single-carrier waveform as enablers for efficient Tbit/s wireless communications,” 25th International Conference on Telecommunications (ICT), St. Malo, 2018.</w:t>
      </w:r>
      <w:bookmarkEnd w:id="520"/>
    </w:p>
    <w:p w14:paraId="421D47C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1" w:name="_Ref510628886"/>
      <w:r w:rsidRPr="00DA5FA8">
        <w:rPr>
          <w:rFonts w:ascii="Arial" w:hAnsi="Arial"/>
        </w:rPr>
        <w:t>C. Han and I. F. Akyildiz: “Distance-aware bandwidth-adaptive resource allocation for wireless systems in the THz band,” IEEE Transactions on Terahertz Science and Technology, vol. 64, no. 5, pp. 2130-2142, May 2016.</w:t>
      </w:r>
      <w:bookmarkEnd w:id="521"/>
    </w:p>
    <w:p w14:paraId="7856CD4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2" w:name="_Ref510629448"/>
      <w:r w:rsidRPr="00DA5FA8">
        <w:rPr>
          <w:rFonts w:ascii="Arial" w:hAnsi="Arial"/>
        </w:rPr>
        <w:t>T. Kürner and S. Priebe: “Towards THz communications - Status in research, standardization and regulation,” Journal of Infrared, Millimeter, and Terahertz Waves, vol. 35, no. 1, pp. 53–62, 2014.</w:t>
      </w:r>
      <w:bookmarkEnd w:id="522"/>
    </w:p>
    <w:p w14:paraId="350DAA3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3" w:name="_Ref510637152"/>
      <w:r w:rsidRPr="00DA5FA8">
        <w:rPr>
          <w:rFonts w:ascii="Arial" w:hAnsi="Arial"/>
        </w:rPr>
        <w:t>O. El Ayach, S. Rajagopal, S. Abu-Surra, Z. Pi and R. W. Heath: “Spatially sparse precoding in millimeter wave MIMO systems,” IEEE Transactions on Wireless Communications, vol. 13, no. 3, pp. 1499–1513, 2014.</w:t>
      </w:r>
      <w:bookmarkEnd w:id="523"/>
    </w:p>
    <w:p w14:paraId="68477A8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4" w:name="_Ref510637168"/>
      <w:r w:rsidRPr="00DA5FA8">
        <w:rPr>
          <w:rFonts w:ascii="Arial" w:hAnsi="Arial"/>
        </w:rPr>
        <w:t>F. Rusek, D. Persson, B. K. Lau, E. G. Larsson, T. L. Marzetta, O. Edfors and F. Tufvesson: “Scaling up MIMO: Opportunities and challenges with very large arrays,” IEEE Signal Processing Magazine, vol. 30, no. 1, pp. 40–60, 2013.</w:t>
      </w:r>
      <w:bookmarkEnd w:id="524"/>
    </w:p>
    <w:p w14:paraId="1933C37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5" w:name="_Ref510637182"/>
      <w:r w:rsidRPr="00DA5FA8">
        <w:rPr>
          <w:rFonts w:ascii="Arial" w:hAnsi="Arial"/>
        </w:rPr>
        <w:t>E. Torkildson, U. Madhow and M. Rodwell: “Indoor millimeter wave MIMO: Feasibility and performance,” IEEE Transactions on Wireless Communications, vol. 10, no. 12, pp. 4150–4160, 2011.</w:t>
      </w:r>
      <w:bookmarkEnd w:id="525"/>
    </w:p>
    <w:p w14:paraId="71DE77D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6" w:name="_Ref33201811"/>
      <w:r w:rsidRPr="00DA5FA8">
        <w:rPr>
          <w:rFonts w:ascii="Arial" w:hAnsi="Arial"/>
        </w:rPr>
        <w:t>M. T. Ivrlač and J. A. Nossek: “Toward a circuit theory of communication,” IEEE Transactions on Circuits and Systems I, vol. 57, no. 7, pp. 1663-1683, July 2010.</w:t>
      </w:r>
      <w:bookmarkEnd w:id="526"/>
    </w:p>
    <w:p w14:paraId="7EA80AC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lang w:val="en-US"/>
        </w:rPr>
      </w:pPr>
      <w:bookmarkStart w:id="527" w:name="_Ref33202339"/>
      <w:r w:rsidRPr="00DA5FA8">
        <w:rPr>
          <w:rFonts w:ascii="Arial" w:hAnsi="Arial"/>
          <w:lang w:val="en-US"/>
        </w:rPr>
        <w:t xml:space="preserve">T. Laas, J. A. Nossek, S. </w:t>
      </w:r>
      <w:r w:rsidRPr="00DA5FA8">
        <w:rPr>
          <w:rFonts w:ascii="Arial" w:hAnsi="Arial"/>
        </w:rPr>
        <w:t>Bazzi</w:t>
      </w:r>
      <w:r w:rsidRPr="00DA5FA8">
        <w:rPr>
          <w:rFonts w:ascii="Arial" w:hAnsi="Arial"/>
          <w:lang w:val="en-US"/>
        </w:rPr>
        <w:t xml:space="preserve"> and W. Xu: “On reciprocity in physically consistent TDD systems with coupled antennas,” arXiv:1907.10562v1, 2019.</w:t>
      </w:r>
      <w:bookmarkEnd w:id="527"/>
    </w:p>
    <w:p w14:paraId="0FB283C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8" w:name="_Ref510637224"/>
      <w:r w:rsidRPr="00DA5FA8">
        <w:rPr>
          <w:rFonts w:ascii="Arial" w:hAnsi="Arial"/>
        </w:rPr>
        <w:t>E. Bjornson, E. G. Larsson and T. L. Marzetta: “Massive MIMO: Ten myths and one critical question,” IEEE Communications Magazine, vol. 54, no. 2, pp. 114–123, Feb. 2016.</w:t>
      </w:r>
      <w:bookmarkEnd w:id="528"/>
    </w:p>
    <w:p w14:paraId="4E76638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29" w:name="_Ref510637260"/>
      <w:r w:rsidRPr="00DA5FA8">
        <w:rPr>
          <w:rFonts w:ascii="Arial" w:hAnsi="Arial"/>
        </w:rPr>
        <w:t>A. L. Swindlehurst, E. Ayanoglu, P. Heydari and F. Capolino: “Millimeter-wave massive MIMO: the next wireless revolution?” IEEE Communications Magazine, vol. 52, no. 9, pp. 56–62, Sep. 2014.</w:t>
      </w:r>
      <w:bookmarkEnd w:id="529"/>
    </w:p>
    <w:p w14:paraId="2ED4092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0" w:name="_Ref510637278"/>
      <w:r w:rsidRPr="00DA5FA8">
        <w:rPr>
          <w:rFonts w:ascii="Arial" w:hAnsi="Arial"/>
        </w:rPr>
        <w:t>I. F. Akyildiz and J. M. Jornet: “Realizing ultra-massive MIMO communication in the (0.06-10) terahertz band,” Nano Communication Networks (Elsevier) Journal, vol. 8, pp. 46-54, March 2016.</w:t>
      </w:r>
      <w:bookmarkEnd w:id="530"/>
    </w:p>
    <w:p w14:paraId="17700D5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1" w:name="_Ref510637304"/>
      <w:bookmarkStart w:id="532" w:name="_Ref525118206"/>
      <w:r w:rsidRPr="00DA5FA8">
        <w:rPr>
          <w:rFonts w:ascii="Arial" w:hAnsi="Arial"/>
        </w:rPr>
        <w:t>I. F. Akyildiz and J. M. Jornet: “Ultra massive MIMO communication in the terahertz band,” U.S. Patent No. 9,825,712, issued on November 21, 2017 (Priority Date: December 6, 2013)</w:t>
      </w:r>
      <w:bookmarkEnd w:id="531"/>
      <w:r w:rsidRPr="00DA5FA8">
        <w:rPr>
          <w:rFonts w:ascii="Arial" w:hAnsi="Arial"/>
        </w:rPr>
        <w:t>.</w:t>
      </w:r>
      <w:bookmarkEnd w:id="532"/>
    </w:p>
    <w:p w14:paraId="40BC72D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3" w:name="_Ref510637805"/>
      <w:r w:rsidRPr="00DA5FA8">
        <w:rPr>
          <w:rFonts w:ascii="Arial" w:hAnsi="Arial"/>
        </w:rPr>
        <w:t>O. El Ayach, R. W. Heath, S. Rajagopal and Z. Pi: “Multimode precoding in millimeter wave MIMO transmitters with multiple antenna sub-arrays,” in IEEE Globecom, pp. 3476–3480, 2013.</w:t>
      </w:r>
      <w:bookmarkEnd w:id="533"/>
    </w:p>
    <w:p w14:paraId="188F3AD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4" w:name="_Ref510637871"/>
      <w:r w:rsidRPr="00DA5FA8">
        <w:rPr>
          <w:rFonts w:ascii="Arial" w:hAnsi="Arial"/>
          <w:color w:val="000000"/>
        </w:rPr>
        <w:t>X. Huang, Y. J. Guo and J. D. Bunton: “</w:t>
      </w:r>
      <w:r w:rsidRPr="00DA5FA8">
        <w:rPr>
          <w:rFonts w:ascii="Arial" w:hAnsi="Arial"/>
        </w:rPr>
        <w:t>A hybrid adaptive antenna array,” IEEE Transactions on Wireless Communications, vol. 9, no. 5, pp. 1770-1779, 2010.</w:t>
      </w:r>
      <w:bookmarkEnd w:id="534"/>
    </w:p>
    <w:p w14:paraId="49D1FB1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5" w:name="_Ref510637889"/>
      <w:r w:rsidRPr="00DA5FA8">
        <w:rPr>
          <w:rFonts w:ascii="Arial" w:hAnsi="Arial"/>
        </w:rPr>
        <w:lastRenderedPageBreak/>
        <w:t>S.-H. Wu, L.-K. Chiu, K.-Y. Lin and T.-H. Chang: “Robust hybrid beamforming with phased antenna arrays for downlink SDMA in indoor 60 GHz channels,” IEEE Transactions on Wireless Communications, vol. 12, no. 9, pp. 4542–4557, 2013.</w:t>
      </w:r>
      <w:bookmarkEnd w:id="535"/>
    </w:p>
    <w:p w14:paraId="1799794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6" w:name="_Ref510637908"/>
      <w:r w:rsidRPr="00DA5FA8">
        <w:rPr>
          <w:rFonts w:ascii="Arial" w:hAnsi="Arial"/>
        </w:rPr>
        <w:t>C. Lin and G. Li, “Indoor terahertz communications: How many antenna arrays are needed?” IEEE Transactions on Wireless Communications, vol. 14, no. 6, pp. 3097–3107, 2015.</w:t>
      </w:r>
      <w:bookmarkEnd w:id="536"/>
    </w:p>
    <w:p w14:paraId="75CEFBF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37" w:name="_Ref510637924"/>
      <w:r w:rsidRPr="00DA5FA8">
        <w:rPr>
          <w:rFonts w:ascii="Arial" w:hAnsi="Arial"/>
        </w:rPr>
        <w:t>C. Lin and G. Li: “Adaptive beamforming with resource allocation for distance-aware multi-user indoor terahertz communications,” IEEE Transactions on Communications, vol. 63, no. 8, pp. 2985–2995, Aug. 2015.</w:t>
      </w:r>
      <w:bookmarkEnd w:id="537"/>
    </w:p>
    <w:p w14:paraId="20A5757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38" w:name="_Ref32308433"/>
      <w:bookmarkStart w:id="539" w:name="_Ref510638485"/>
      <w:r w:rsidRPr="00DA5FA8">
        <w:rPr>
          <w:rFonts w:ascii="Arial" w:hAnsi="Arial" w:cs="Arial"/>
          <w:noProof/>
        </w:rPr>
        <w:t xml:space="preserve">Q. Wu and R. Zhang: “Intelligent reflecting surface enhanced wireless network via joint active and passive beamforming,” </w:t>
      </w:r>
      <w:r w:rsidRPr="00DA5FA8">
        <w:rPr>
          <w:rStyle w:val="Emphasis"/>
          <w:rFonts w:ascii="Arial" w:hAnsi="Arial" w:cs="Arial"/>
          <w:i w:val="0"/>
          <w:shd w:val="clear" w:color="auto" w:fill="FFFFFF"/>
        </w:rPr>
        <w:t>IEEE Transactions on Wireless Communications</w:t>
      </w:r>
      <w:r w:rsidRPr="00DA5FA8">
        <w:rPr>
          <w:rFonts w:ascii="Arial" w:hAnsi="Arial" w:cs="Arial"/>
          <w:shd w:val="clear" w:color="auto" w:fill="FFFFFF"/>
        </w:rPr>
        <w:t xml:space="preserve">, vol. 18, no. 11, pp. 5394-5409, Nov. </w:t>
      </w:r>
      <w:r w:rsidRPr="00DA5FA8">
        <w:rPr>
          <w:rFonts w:ascii="Arial" w:hAnsi="Arial" w:cs="Arial"/>
          <w:noProof/>
        </w:rPr>
        <w:t>2019.</w:t>
      </w:r>
      <w:bookmarkEnd w:id="538"/>
    </w:p>
    <w:p w14:paraId="069859B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0" w:name="_Ref32308437"/>
      <w:r w:rsidRPr="00DA5FA8">
        <w:rPr>
          <w:rFonts w:ascii="Arial" w:hAnsi="Arial" w:cs="Arial"/>
          <w:noProof/>
        </w:rPr>
        <w:t>C. Huang, A. Zappone, M. Debbah and C. Yuen: “Achievable rate maximization by passive intelligent mirrors,” in Proc. IEEE ICASSP, 2018.</w:t>
      </w:r>
      <w:bookmarkEnd w:id="540"/>
      <w:r w:rsidRPr="00DA5FA8">
        <w:rPr>
          <w:rFonts w:ascii="Arial" w:hAnsi="Arial" w:cs="Arial"/>
          <w:noProof/>
        </w:rPr>
        <w:t xml:space="preserve"> </w:t>
      </w:r>
    </w:p>
    <w:p w14:paraId="1DB72C4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1" w:name="_Ref32308549"/>
      <w:r w:rsidRPr="00DA5FA8">
        <w:rPr>
          <w:rFonts w:ascii="Arial" w:hAnsi="Arial" w:cs="Arial"/>
          <w:noProof/>
        </w:rPr>
        <w:t>S. Hu, F. Rusek and O. Edfors: “Beyond massive MIMO: The potential of data transmission with large intelligent surfaces,” IEEE Transactions on Signal Processing, vol. 66, no. 10, pp. 2746–2758, May 2018.</w:t>
      </w:r>
      <w:bookmarkEnd w:id="541"/>
    </w:p>
    <w:p w14:paraId="172B903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2" w:name="_Ref32308597"/>
      <w:r w:rsidRPr="00DA5FA8">
        <w:rPr>
          <w:rFonts w:ascii="Arial" w:hAnsi="Arial" w:cs="Arial"/>
          <w:noProof/>
        </w:rPr>
        <w:t>S. Hu, F. Rusek and O. Edfors: “Beyond massive MIMO: The potential of positioning with large intelligent surfaces,” IEEE Transactions on Signal Processing, vol. 66, no. 7, pp. 1761–1774, April 2018.</w:t>
      </w:r>
      <w:bookmarkEnd w:id="542"/>
    </w:p>
    <w:p w14:paraId="7D486CB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3" w:name="_Ref32308627"/>
      <w:r w:rsidRPr="00DA5FA8">
        <w:rPr>
          <w:rFonts w:ascii="Arial" w:hAnsi="Arial" w:cs="Arial"/>
          <w:noProof/>
        </w:rPr>
        <w:t>P. Frenger, J. Hederen, M. Hessler and G. Interdonato: “Improved antenna arrangement for distributed massive MIMO,” Patent application WO2018103897, 2017.</w:t>
      </w:r>
      <w:bookmarkEnd w:id="543"/>
    </w:p>
    <w:p w14:paraId="5E7E8C8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4" w:name="_Ref32308640"/>
      <w:r w:rsidRPr="00DA5FA8">
        <w:rPr>
          <w:rFonts w:ascii="Arial" w:hAnsi="Arial" w:cs="Arial"/>
          <w:noProof/>
        </w:rPr>
        <w:t>G. Interdonato, E. Björnson, H. Ngo, P. Frenger and E. Larsson: “Ubiquitous cell-free massive MIMO communications,” EURASIP, 2019.</w:t>
      </w:r>
      <w:bookmarkEnd w:id="544"/>
    </w:p>
    <w:p w14:paraId="37E2FDB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5" w:name="_Ref32308662"/>
      <w:r w:rsidRPr="00DA5FA8">
        <w:rPr>
          <w:rFonts w:ascii="Arial" w:hAnsi="Arial" w:cs="Arial"/>
          <w:noProof/>
        </w:rPr>
        <w:t>J. Guerreiro, R. Dinis and P. Carvalho: “On the optimum multicarrier performance with memoryless nonlinearities,” IEEE Transactions on Communications, Vol. 63, No. 2, pp. 498 - 509, February 2015</w:t>
      </w:r>
      <w:bookmarkEnd w:id="545"/>
      <w:r w:rsidRPr="00DA5FA8">
        <w:rPr>
          <w:rFonts w:ascii="Arial" w:hAnsi="Arial" w:cs="Arial"/>
          <w:noProof/>
        </w:rPr>
        <w:t>.</w:t>
      </w:r>
    </w:p>
    <w:p w14:paraId="1A2C8FC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6" w:name="_Ref32308668"/>
      <w:r w:rsidRPr="00DA5FA8">
        <w:rPr>
          <w:rFonts w:ascii="Arial" w:hAnsi="Arial" w:cs="Arial"/>
          <w:noProof/>
        </w:rPr>
        <w:t>J. Guerreiro, R. Dinis, P. Carvalho and M. Silva: “On the achievable performance of nonlinear MIMO systems,” IEEE Communications Letters, Vol. 23, No. 10, pp. 1725 - 1729, October 2019.</w:t>
      </w:r>
      <w:bookmarkEnd w:id="546"/>
    </w:p>
    <w:p w14:paraId="3A93A80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7" w:name="_Ref32308678"/>
      <w:r w:rsidRPr="00DA5FA8">
        <w:rPr>
          <w:rFonts w:ascii="Arial" w:hAnsi="Arial" w:cs="Arial"/>
          <w:noProof/>
        </w:rPr>
        <w:t>P. Pedrosa, R. Dinis, D. Castanheira, A. Silva and A. Gameiro: “Joint Channel Equalization and Trackingfor V2X Communications Using SC-FDE Schemes,” IEEE GLOBECOM, 2019</w:t>
      </w:r>
      <w:bookmarkEnd w:id="547"/>
    </w:p>
    <w:p w14:paraId="4DA1978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8" w:name="_Ref32308697"/>
      <w:r w:rsidRPr="00DA5FA8">
        <w:rPr>
          <w:rFonts w:ascii="Arial" w:hAnsi="Arial" w:cs="Arial"/>
          <w:noProof/>
        </w:rPr>
        <w:t>S. Zhidkov and R. Dinis: “Belief propagation receivers for near-optimal detection of nonlinearly distorted OFDM signals,” IEEE VTC’2019 (Spring), 2019.</w:t>
      </w:r>
      <w:bookmarkEnd w:id="548"/>
    </w:p>
    <w:p w14:paraId="4B3F6D2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49" w:name="_Ref32308700"/>
      <w:r w:rsidRPr="00DA5FA8">
        <w:rPr>
          <w:rFonts w:ascii="Arial" w:hAnsi="Arial" w:cs="Arial"/>
          <w:noProof/>
        </w:rPr>
        <w:t>J. Félix, J. Guerreiro, R. Dinis and P. Carvalho: “Reduced-complexity quasi-optimum detection for MIMO-OFDM signals with strong nonlinear distortion,” IEEE GLOBECOM 2019</w:t>
      </w:r>
      <w:bookmarkEnd w:id="549"/>
      <w:r w:rsidRPr="00DA5FA8">
        <w:rPr>
          <w:rFonts w:ascii="Arial" w:hAnsi="Arial" w:cs="Arial"/>
          <w:noProof/>
        </w:rPr>
        <w:t>.</w:t>
      </w:r>
    </w:p>
    <w:p w14:paraId="5B4BAA8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0" w:name="_Ref38967723"/>
      <w:r w:rsidRPr="00DA5FA8">
        <w:rPr>
          <w:rFonts w:ascii="Arial" w:hAnsi="Arial" w:cs="Arial"/>
          <w:noProof/>
        </w:rPr>
        <w:t>T. L. Marzetta: “Noncooperative cellular wireless with unlimited numbers of base station antennas,” IEEE Transactions on Wireless Communications, vol. 9, no. 11, pp. 3590-3600, Nov. 2010.</w:t>
      </w:r>
      <w:bookmarkEnd w:id="550"/>
    </w:p>
    <w:p w14:paraId="00DA588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1" w:name="_Ref38968026"/>
      <w:r w:rsidRPr="00DA5FA8">
        <w:rPr>
          <w:rFonts w:ascii="Arial" w:hAnsi="Arial" w:cs="Arial"/>
          <w:noProof/>
        </w:rPr>
        <w:t>E. G. Larsson, O. Edfors, F. Tufvesson and T. L. Marzetta: “Massive MIMO for next generation wireless systems,” IEEE Communications Magazine, vol. 52, no. 2, pp. 186-195, Feb. 2014.</w:t>
      </w:r>
      <w:bookmarkEnd w:id="551"/>
    </w:p>
    <w:p w14:paraId="53824E0A"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2" w:name="_Ref38976978"/>
      <w:r w:rsidRPr="00DA5FA8">
        <w:rPr>
          <w:rFonts w:ascii="Arial" w:hAnsi="Arial" w:cs="Arial"/>
          <w:noProof/>
        </w:rPr>
        <w:t xml:space="preserve">P. Marsch, S. Brück, A. Garavaglia, M. Schulist, R. Weber, and A. Dekorsy: “Clustering,” in </w:t>
      </w:r>
      <w:r w:rsidRPr="00DA5FA8">
        <w:rPr>
          <w:rFonts w:ascii="Arial" w:hAnsi="Arial" w:cs="Arial"/>
          <w:i/>
          <w:noProof/>
        </w:rPr>
        <w:t xml:space="preserve">Coordinated Multi-point in Mobile Communications: From theory to </w:t>
      </w:r>
      <w:r w:rsidRPr="00DA5FA8">
        <w:rPr>
          <w:rFonts w:ascii="Arial" w:hAnsi="Arial" w:cs="Arial"/>
          <w:i/>
          <w:noProof/>
        </w:rPr>
        <w:lastRenderedPageBreak/>
        <w:t>Practice</w:t>
      </w:r>
      <w:r w:rsidRPr="00DA5FA8">
        <w:rPr>
          <w:rFonts w:ascii="Arial" w:hAnsi="Arial" w:cs="Arial"/>
          <w:noProof/>
        </w:rPr>
        <w:t>, Ed. by P. Marsch, G. Fettweis, Cambridge University Press, New York, 2011, pp. 139–159</w:t>
      </w:r>
      <w:bookmarkEnd w:id="552"/>
      <w:r w:rsidRPr="00DA5FA8">
        <w:rPr>
          <w:rFonts w:ascii="Arial" w:hAnsi="Arial" w:cs="Arial"/>
          <w:noProof/>
        </w:rPr>
        <w:t>.</w:t>
      </w:r>
    </w:p>
    <w:p w14:paraId="48F8B52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3" w:name="_Ref38977183"/>
      <w:r w:rsidRPr="00DA5FA8">
        <w:rPr>
          <w:rFonts w:ascii="Arial" w:hAnsi="Arial" w:cs="Arial"/>
          <w:noProof/>
        </w:rPr>
        <w:t xml:space="preserve">R. Fantini, W. Zirwas, L. Thiele, D. Aziz, P. Baracca: “Coordinated multi-point transmission in 5G,” in </w:t>
      </w:r>
      <w:r w:rsidRPr="00DA5FA8">
        <w:rPr>
          <w:rFonts w:ascii="Arial" w:hAnsi="Arial" w:cs="Arial"/>
          <w:i/>
          <w:noProof/>
        </w:rPr>
        <w:t>5G Mobile and Wireless Communications Technology</w:t>
      </w:r>
      <w:r w:rsidRPr="00DA5FA8">
        <w:rPr>
          <w:rFonts w:ascii="Arial" w:hAnsi="Arial" w:cs="Arial"/>
          <w:noProof/>
        </w:rPr>
        <w:t>, Ed. by A. Osseiran, J. Monserrat, and P.Marsch, Cambridge University Press, Cambridge, 2016, pp. 248–276</w:t>
      </w:r>
      <w:bookmarkStart w:id="554" w:name="_Ref38981645"/>
      <w:bookmarkEnd w:id="553"/>
      <w:r w:rsidRPr="00DA5FA8">
        <w:rPr>
          <w:rFonts w:ascii="Arial" w:hAnsi="Arial" w:cs="Arial"/>
          <w:noProof/>
        </w:rPr>
        <w:t>.</w:t>
      </w:r>
    </w:p>
    <w:p w14:paraId="084B084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5" w:name="_Ref39404091"/>
      <w:r w:rsidRPr="00DA5FA8">
        <w:rPr>
          <w:rFonts w:ascii="Arial" w:hAnsi="Arial" w:cs="Arial"/>
          <w:noProof/>
        </w:rPr>
        <w:t>H. Q. Ngo, A. Ashikhmin, H. Yang, E. G. Larsson, and T. L. Marzetta: “Cell-free massive MIMO versus small cells,” IEEE Trans. Wireless Commun., vol. 16, no. 3, pp. 1834–1850, 2017.</w:t>
      </w:r>
      <w:bookmarkEnd w:id="555"/>
    </w:p>
    <w:p w14:paraId="4188E3C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noProof/>
        </w:rPr>
      </w:pPr>
      <w:bookmarkStart w:id="556" w:name="_Ref39404116"/>
      <w:bookmarkEnd w:id="554"/>
      <w:r w:rsidRPr="00DA5FA8">
        <w:rPr>
          <w:rFonts w:ascii="Arial" w:hAnsi="Arial" w:cs="Arial"/>
          <w:noProof/>
        </w:rPr>
        <w:t>J. Zhang, S. Chen, Y. Lin, J. Zheng, B. Ai and L. Hanzo: “Cell-Free massive MIMO: A new next-generation paradigm,” IEEE Access, vol. 7, pp. 99878-99888, 2019.</w:t>
      </w:r>
      <w:bookmarkEnd w:id="556"/>
    </w:p>
    <w:p w14:paraId="3B9749A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57" w:name="_Ref32441985"/>
      <w:r w:rsidRPr="00DA5FA8">
        <w:rPr>
          <w:rFonts w:ascii="Arial" w:hAnsi="Arial"/>
        </w:rPr>
        <w:t>3GPP TR 38.801, Study on New Radio Access Technology (Release 14), 2017.</w:t>
      </w:r>
      <w:bookmarkEnd w:id="539"/>
      <w:bookmarkEnd w:id="557"/>
    </w:p>
    <w:p w14:paraId="35F11E8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58" w:name="_Ref510638501"/>
      <w:r w:rsidRPr="00DA5FA8">
        <w:rPr>
          <w:rFonts w:ascii="Arial" w:hAnsi="Arial"/>
        </w:rPr>
        <w:t>G. Wunder, P. Jung, M. Kasparick, T. Wild, F. Schaich, Y. Chen, S. Ten Brink, I. Gaspar, N. Michailow, A. Festag, L. Mendes, N. Cassiau, D. Ktenas, M. Dryjanski, S. Pietrzyk, B. Eged, P. Vago and F. Wiedmann: “5GNOW: Non-orthogonal, asynchronous waveforms for future mobile applications,” IEEE Communications Magazine, vol. 52, no. 2, pp. 97-105, Feb. 2014.</w:t>
      </w:r>
      <w:bookmarkEnd w:id="558"/>
    </w:p>
    <w:p w14:paraId="7E2DD85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59" w:name="_Ref510638534"/>
      <w:r w:rsidRPr="00DA5FA8">
        <w:rPr>
          <w:rFonts w:ascii="Arial" w:hAnsi="Arial"/>
        </w:rPr>
        <w:t>Y. Medjahdi, S. Traverso, R. Gerzaguet, H. Shaiek, M. B. Mabrouk, D. L. Ruyet and a. D. R. Y. Louet: “On the road to 5G: Comparative study of physical layer in MTC context,” IEEE Access, vol. 5, pp. 26556-26581, 2017.</w:t>
      </w:r>
      <w:bookmarkEnd w:id="559"/>
    </w:p>
    <w:p w14:paraId="3FD2837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0" w:name="_Ref510638561"/>
      <w:r w:rsidRPr="00DA5FA8">
        <w:rPr>
          <w:rFonts w:ascii="Arial" w:hAnsi="Arial"/>
        </w:rPr>
        <w:t>Y. Tao, L. Liu, S. Liu and Z. Zhang: “A survey: Several technologies of non-orthogonal transmission for 5G,” China Communications, vol. 12, no. 10, pp. 1-15, Oct. 2015.</w:t>
      </w:r>
      <w:bookmarkEnd w:id="560"/>
    </w:p>
    <w:p w14:paraId="0A0B174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1" w:name="_Ref510638600"/>
      <w:r w:rsidRPr="00DA5FA8">
        <w:rPr>
          <w:rFonts w:ascii="Arial" w:hAnsi="Arial"/>
        </w:rPr>
        <w:t>R. Gerzaguet, N. Bartzoudis, L. G. Baltar, V. Berg, J.-B. Doré, D. Kténas, O. Font-Bach, X. Mestre, M. Payaró, M. Färber and K. Roth: “The 5G candidate waveform race: A comparison of complexity and performance,” EURASIP Journal on Wireless Communications and Networking, no. 13, 2017.</w:t>
      </w:r>
      <w:bookmarkEnd w:id="561"/>
    </w:p>
    <w:p w14:paraId="6688892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2" w:name="_Ref510638619"/>
      <w:r w:rsidRPr="00DA5FA8">
        <w:rPr>
          <w:rFonts w:ascii="Arial" w:hAnsi="Arial"/>
        </w:rPr>
        <w:t>M. van Eeckhaute, A. Bourdoux, P. de Doncker and F. Horlin: “Performance of emerging multi-carrier waveforms for 5G asynchronous communications,” EURASIP Journal on Wireless Communications and Networking, 2017.</w:t>
      </w:r>
      <w:bookmarkEnd w:id="562"/>
    </w:p>
    <w:p w14:paraId="1F01B9B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3" w:name="_Ref38632774"/>
      <w:r w:rsidRPr="00DA5FA8">
        <w:rPr>
          <w:rFonts w:ascii="Arial" w:hAnsi="Arial"/>
        </w:rPr>
        <w:t>R. Hadani, S. Rakib, M. Tsatsanis, A. Monk, A. J. Goldsmith, A. F. Molisch and R. Calderbank: “Orthogonal time frequency space modulation,” Proc. IEEE Wireless Commun. Netw. Conf. (WCNC), 2017.</w:t>
      </w:r>
      <w:bookmarkEnd w:id="563"/>
    </w:p>
    <w:p w14:paraId="203F601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4" w:name="_Ref38896386"/>
      <w:r w:rsidRPr="00DA5FA8">
        <w:rPr>
          <w:rFonts w:ascii="Arial" w:hAnsi="Arial"/>
        </w:rPr>
        <w:t>A. Fish, S. Gurevich, R. Hadani, A. M. Sayeed, and O. Schwartz: “Delay-Doppler channel estimation in almost linear complexity,” IEEE Trans. Inf. Theory, vol. 59, no. 11, pp. 7632–7644, Nov. 2013.</w:t>
      </w:r>
      <w:bookmarkEnd w:id="564"/>
    </w:p>
    <w:p w14:paraId="3A559FA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5" w:name="_Ref38634211"/>
      <w:r w:rsidRPr="00DA5FA8">
        <w:rPr>
          <w:rFonts w:ascii="Arial" w:hAnsi="Arial"/>
        </w:rPr>
        <w:t>S. C. Thompson, A. U. Ahmed, J. G. Proakis, J. R. Zeidler and M. J. Geile: “Constant envelope OFDM,” IEEE Trans. Commun., vol. 56, no. 8, pp. 1300-1312, Aug. 2008</w:t>
      </w:r>
      <w:bookmarkEnd w:id="565"/>
      <w:r w:rsidRPr="00DA5FA8">
        <w:rPr>
          <w:rFonts w:ascii="Arial" w:hAnsi="Arial"/>
        </w:rPr>
        <w:t>.</w:t>
      </w:r>
    </w:p>
    <w:p w14:paraId="01D9BE7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6" w:name="_Ref38888813"/>
      <w:r w:rsidRPr="00DA5FA8">
        <w:rPr>
          <w:rFonts w:ascii="Arial" w:hAnsi="Arial"/>
        </w:rPr>
        <w:t>A. U. Ahmed and J. R. Zeidler: “Novel low-complexity receivers for constant envelope OFDM,” IEEE Trans. Signal Process., vol. 63, no. 17, pp. 4572–4582, Sep. 2015.</w:t>
      </w:r>
      <w:bookmarkEnd w:id="566"/>
    </w:p>
    <w:p w14:paraId="196C2F4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7" w:name="_Ref523991672"/>
      <w:r w:rsidRPr="00DA5FA8">
        <w:rPr>
          <w:rFonts w:ascii="Arial" w:hAnsi="Arial"/>
        </w:rPr>
        <w:t>L. Dai, B. Wang, Z. Ding, Z. Wang, S. Chen, and L. Hanzo: “A survey of non-orthogonal multiple access for 5G,” IEEE Communications Surveys &amp; Tutorials, 20(3), 2294-2323, third quarter 2018.</w:t>
      </w:r>
      <w:bookmarkEnd w:id="567"/>
    </w:p>
    <w:p w14:paraId="665D6C3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8" w:name="_Ref36412082"/>
      <w:r w:rsidRPr="00DA5FA8">
        <w:rPr>
          <w:rFonts w:ascii="Arial" w:hAnsi="Arial"/>
        </w:rPr>
        <w:t>L. Zhu, J. Zhang, Z. Xiao, X. Cao and D. O. Wu: “Optimal user pairing for downlink non-orthogonal multiple access (NOMA),” IEEE Wireless Communications Letters, vol. 8, no. 2, pp. 328-331, April 2019.</w:t>
      </w:r>
      <w:bookmarkEnd w:id="568"/>
    </w:p>
    <w:p w14:paraId="290C584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69" w:name="_Ref36412132"/>
      <w:r w:rsidRPr="00DA5FA8">
        <w:rPr>
          <w:rFonts w:ascii="Arial" w:hAnsi="Arial"/>
        </w:rPr>
        <w:lastRenderedPageBreak/>
        <w:t>G. Song and X. Wang: “Comparison of interference cancellation schemes for non-orthogonal multiple access system,” IEEE 83rd Vehicular Technology Conference (VTC Spring), Nanjing, pp. 1-5, 2016.</w:t>
      </w:r>
      <w:bookmarkEnd w:id="569"/>
    </w:p>
    <w:p w14:paraId="59A3C31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0" w:name="_Ref36412342"/>
      <w:r w:rsidRPr="00DA5FA8">
        <w:rPr>
          <w:rFonts w:ascii="Arial" w:hAnsi="Arial"/>
        </w:rPr>
        <w:t>H. V. Nguyen, V. Nguyen, O. A. Dobre, D. N. Nguyen, E. Dutkiewicz and O. Shin: “Joint power control and user association for NOMA-based full-duplex systems,” IEEE Transactions on Communications, vol. 67, no. 11, pp. 8037-8055, Nov. 2019.</w:t>
      </w:r>
      <w:bookmarkEnd w:id="570"/>
    </w:p>
    <w:p w14:paraId="7A80D3CC"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1" w:name="_Ref36412521"/>
      <w:r w:rsidRPr="00DA5FA8">
        <w:rPr>
          <w:rFonts w:ascii="Arial" w:hAnsi="Arial"/>
        </w:rPr>
        <w:t>W. Zhang, J. Chen, Y. Kuo and Y. Zhou: “Artificial-noise-aided optimal beamforming in layered physical layer security,” IEEE Communications Letters, vol. 23, no. 1, pp. 72-75, Jan. 2019.</w:t>
      </w:r>
      <w:bookmarkEnd w:id="571"/>
    </w:p>
    <w:p w14:paraId="3B4A360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2" w:name="_Ref523991680"/>
      <w:r w:rsidRPr="00DA5FA8">
        <w:rPr>
          <w:rFonts w:ascii="Arial" w:hAnsi="Arial"/>
        </w:rPr>
        <w:t>D. Kim, H. Lee and D. Hong, “A survey of in-band full-duplex transmission: From the perspective of PHY and MAC layers,” IEEE Communications Surveys &amp; Tutorials, vol. 17, no. 4, 2017-2046, fourth quarter 2015.</w:t>
      </w:r>
      <w:bookmarkEnd w:id="572"/>
    </w:p>
    <w:p w14:paraId="2907098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73" w:name="_Ref38364423"/>
      <w:r w:rsidRPr="00DA5FA8">
        <w:rPr>
          <w:rFonts w:ascii="Arial" w:hAnsi="Arial" w:cs="Arial"/>
        </w:rPr>
        <w:t>A. Sabharwal, P. Schniter, D. Guo, D. W. Bliss, S. Rangarajan, and R. Wichman: “In-band full-duplex wireless: Challenges and opportunities,” IEEE J. Sel. Areas Commun., vol. 32, no. 9, pp. 1637-1652, Sept 2014.</w:t>
      </w:r>
      <w:bookmarkEnd w:id="573"/>
    </w:p>
    <w:p w14:paraId="0E04495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4" w:name="_Ref36396494"/>
      <w:r w:rsidRPr="00DA5FA8">
        <w:rPr>
          <w:rFonts w:ascii="Arial" w:hAnsi="Arial"/>
        </w:rPr>
        <w:t>J</w:t>
      </w:r>
      <w:r w:rsidRPr="00DA5FA8">
        <w:rPr>
          <w:rFonts w:ascii="Arial" w:hAnsi="Arial" w:cs="Arial"/>
        </w:rPr>
        <w:t>. Berkmann, C. Carbonelli, F. Dietrich, C. Drewes and W. Xu</w:t>
      </w:r>
      <w:bookmarkStart w:id="575" w:name="OLE_LINK10"/>
      <w:r w:rsidRPr="00DA5FA8">
        <w:rPr>
          <w:rFonts w:ascii="Arial" w:hAnsi="Arial" w:cs="Arial"/>
        </w:rPr>
        <w:t>: “On 3G LTE terminal implementation – Standard, algorithms, complexities and challenges</w:t>
      </w:r>
      <w:bookmarkEnd w:id="575"/>
      <w:r w:rsidRPr="00DA5FA8">
        <w:rPr>
          <w:rFonts w:ascii="Arial" w:hAnsi="Arial" w:cs="Arial"/>
        </w:rPr>
        <w:t xml:space="preserve"> (Invited Paper),” </w:t>
      </w:r>
      <w:r w:rsidRPr="00DA5FA8">
        <w:rPr>
          <w:rFonts w:ascii="Arial" w:hAnsi="Arial" w:cs="Arial"/>
          <w:bCs/>
          <w:iCs/>
        </w:rPr>
        <w:t xml:space="preserve">IEEE </w:t>
      </w:r>
      <w:r w:rsidRPr="00DA5FA8">
        <w:rPr>
          <w:rFonts w:ascii="Arial" w:hAnsi="Arial" w:cs="Arial"/>
          <w:iCs/>
        </w:rPr>
        <w:t>International Wireless Communications and Mobile Computing Conference</w:t>
      </w:r>
      <w:r w:rsidRPr="00DA5FA8">
        <w:rPr>
          <w:rFonts w:ascii="Arial" w:hAnsi="Arial" w:cs="Arial"/>
        </w:rPr>
        <w:t>, pp. 970-975, Crete, Greece, Aug., 2008.</w:t>
      </w:r>
      <w:bookmarkEnd w:id="574"/>
    </w:p>
    <w:p w14:paraId="557F7B2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6" w:name="_Ref36414836"/>
      <w:r w:rsidRPr="00DA5FA8">
        <w:rPr>
          <w:rFonts w:ascii="Arial" w:hAnsi="Arial"/>
        </w:rPr>
        <w:t>A. Elkelesh, M. Ebada, S. Cammerer and S. ten Brink: “Belief propagation list decoding of polar codes,” IEEE Communications Letters, vol. 22, no. 8, pp. 1536-1539, Aug. 2018.</w:t>
      </w:r>
      <w:bookmarkEnd w:id="576"/>
    </w:p>
    <w:p w14:paraId="16A394F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7" w:name="_Ref36414842"/>
      <w:r w:rsidRPr="00DA5FA8">
        <w:rPr>
          <w:rFonts w:ascii="Arial" w:hAnsi="Arial"/>
        </w:rPr>
        <w:t>V. Ranasinghe, N. Rajatheva and M. Latva-aho: “Partially permuted multi-trellis belief propagation for polar codes,” IEEE ICC 2020, arXiv preprint arXiv:1911.08868.</w:t>
      </w:r>
      <w:bookmarkEnd w:id="577"/>
    </w:p>
    <w:p w14:paraId="1C971B8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78" w:name="_Ref36414903"/>
      <w:r w:rsidRPr="00DA5FA8">
        <w:rPr>
          <w:rFonts w:ascii="Arial" w:hAnsi="Arial"/>
        </w:rPr>
        <w:t>A. Balatsoukas-Stimming and C. Studer, “Deep unfolding for communications systems: A survey and some new directions,” arXiv preprint arXiv:1906.05774, 2019.</w:t>
      </w:r>
      <w:bookmarkEnd w:id="578"/>
    </w:p>
    <w:p w14:paraId="6C08DD2B" w14:textId="77777777"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579" w:name="_Ref36414906"/>
      <w:r w:rsidRPr="00DA5FA8">
        <w:rPr>
          <w:rFonts w:ascii="Arial" w:hAnsi="Arial"/>
        </w:rPr>
        <w:t>E. Nachmani, E. Marciano, L. Lugosch, W. J. Gross, D. Burshtein and Y. Be’ery: “Deep learning methods for improved decoding of linear codes,” IEEE Journal of Selected Topics in Signal Processing, vol. 12, no. 1, pp. 119-131, Feb. 2018.</w:t>
      </w:r>
      <w:bookmarkEnd w:id="579"/>
    </w:p>
    <w:p w14:paraId="2B19988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0" w:name="_Ref510639119"/>
      <w:r w:rsidRPr="00DA5FA8">
        <w:rPr>
          <w:rFonts w:ascii="Arial" w:hAnsi="Arial"/>
        </w:rPr>
        <w:t>F. R. Kschischang and S. Pasupathy: “Optimal nonuniform signaling for Gaussian channels,” IEEE Transactions on Information Theory, 39(3), pp. 913-929, 1993.</w:t>
      </w:r>
      <w:bookmarkEnd w:id="580"/>
    </w:p>
    <w:p w14:paraId="0FFC7DA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1" w:name="_Ref510639134"/>
      <w:r w:rsidRPr="00DA5FA8">
        <w:rPr>
          <w:rFonts w:ascii="Arial" w:hAnsi="Arial"/>
        </w:rPr>
        <w:t>N. S. Loghin, J. Zöllner, B. Mouhouche, D. Ansorregui, J. Kim and S.I. Park: “Non-uniform constellations for ATSC 3.0,” IEEE Transactions on Broadcasting, 62(1), 197-203, 2016.</w:t>
      </w:r>
      <w:bookmarkEnd w:id="581"/>
    </w:p>
    <w:p w14:paraId="646C717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2" w:name="_Ref510639149"/>
      <w:r w:rsidRPr="00DA5FA8">
        <w:rPr>
          <w:rFonts w:ascii="Arial" w:hAnsi="Arial"/>
        </w:rPr>
        <w:t>G. Boecherer, F. Steiner and P. Schulte: “Bandwidth efficient and rate-matched low-density parity-check coded modulation,” IEEE Transactions on Communications, 63(12), pp. 4651-4665, 2015.</w:t>
      </w:r>
      <w:bookmarkEnd w:id="582"/>
    </w:p>
    <w:p w14:paraId="2F4AA6B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3" w:name="_Ref510639169"/>
      <w:r w:rsidRPr="00DA5FA8">
        <w:rPr>
          <w:rFonts w:ascii="Arial" w:hAnsi="Arial"/>
        </w:rPr>
        <w:t>M. Pikus and W. Xu: “Bit-level probabilistically shaped coded modulation,” IEEE Communications Letters, vol. 21, no. 9, pp. 1929–1932, Sept. 2017.</w:t>
      </w:r>
      <w:bookmarkEnd w:id="583"/>
    </w:p>
    <w:p w14:paraId="5DEBBB2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4" w:name="_Ref510639187"/>
      <w:r w:rsidRPr="00DA5FA8">
        <w:rPr>
          <w:rFonts w:ascii="Arial" w:hAnsi="Arial"/>
        </w:rPr>
        <w:t>T. Prinz, P. Yuan, G. Boecherer, F. Steiner, O. Iscan, R. Boehnke and W. Xu: “Polar coded probabilistic amplitude shaping for short packets,” in Proc. IEEE SPAWC, 2017.</w:t>
      </w:r>
      <w:bookmarkEnd w:id="584"/>
    </w:p>
    <w:p w14:paraId="3778029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5" w:name="_Ref510627955"/>
      <w:r w:rsidRPr="00DA5FA8">
        <w:rPr>
          <w:rFonts w:ascii="Arial" w:hAnsi="Arial"/>
        </w:rPr>
        <w:t xml:space="preserve">P. </w:t>
      </w:r>
      <w:r w:rsidRPr="00DA5FA8">
        <w:rPr>
          <w:rFonts w:ascii="Arial" w:hAnsi="Arial" w:cs="Arial"/>
        </w:rPr>
        <w:t>Schulte</w:t>
      </w:r>
      <w:r w:rsidRPr="00DA5FA8">
        <w:rPr>
          <w:rFonts w:ascii="Arial" w:hAnsi="Arial"/>
        </w:rPr>
        <w:t xml:space="preserve"> and F. Steiner: “Shell mapping for distribution matching,” arXiv:1803.03614, 2018.</w:t>
      </w:r>
      <w:bookmarkEnd w:id="585"/>
    </w:p>
    <w:p w14:paraId="1207330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6" w:name="_Ref510639677"/>
      <w:r w:rsidRPr="00DA5FA8">
        <w:rPr>
          <w:rFonts w:ascii="Arial" w:hAnsi="Arial"/>
        </w:rPr>
        <w:lastRenderedPageBreak/>
        <w:t>W. Xu, M. Huang, C. Zhu and A. Dammann: “Maximum likelihood TOA and OTDOA estimation with first arriving path detection for 3GPP LTE system,” Transactions on Emerging Telecommunications Technologies (ETT), vol. 27, no.3, pp. 339-356, 2016.</w:t>
      </w:r>
      <w:bookmarkEnd w:id="586"/>
    </w:p>
    <w:p w14:paraId="393CFF1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7" w:name="_Ref510639690"/>
      <w:r w:rsidRPr="00DA5FA8">
        <w:rPr>
          <w:rFonts w:ascii="Arial" w:hAnsi="Arial"/>
        </w:rPr>
        <w:t>H. Wymeersch, G. Seco-Granados, G. Destino, et al: “</w:t>
      </w:r>
      <w:r w:rsidRPr="00DA5FA8">
        <w:rPr>
          <w:rFonts w:ascii="Arial" w:hAnsi="Arial" w:cs="Arial"/>
        </w:rPr>
        <w:t>5G mmWave</w:t>
      </w:r>
      <w:r w:rsidRPr="00DA5FA8">
        <w:rPr>
          <w:rFonts w:ascii="Arial" w:hAnsi="Arial"/>
        </w:rPr>
        <w:t xml:space="preserve"> positioning for vehicular networks,” IEEE Wireless Communications, pp. 80–86, Dec. 2017.</w:t>
      </w:r>
      <w:bookmarkEnd w:id="587"/>
    </w:p>
    <w:p w14:paraId="7412D8A3"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88" w:name="_Ref510639723"/>
      <w:bookmarkStart w:id="589" w:name="_Ref32415319"/>
      <w:r w:rsidRPr="00DA5FA8">
        <w:rPr>
          <w:rFonts w:ascii="Arial" w:hAnsi="Arial"/>
        </w:rPr>
        <w:t>N. Garcia, H. Wymeersch, E. G. Larsson, A. M. Haimovich and M. Coulon: “Direct localization for massive MIMO,” IEEE Transactions on Signal Processing, vol. 65, no. 10, pp. 2475-2487, May 2017.</w:t>
      </w:r>
      <w:bookmarkEnd w:id="588"/>
      <w:bookmarkEnd w:id="589"/>
    </w:p>
    <w:p w14:paraId="120DE9C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90" w:name="_Ref30688488"/>
      <w:bookmarkStart w:id="591" w:name="_Ref510639757"/>
      <w:r w:rsidRPr="00DA5FA8">
        <w:rPr>
          <w:rFonts w:ascii="Arial" w:hAnsi="Arial" w:cs="Arial"/>
        </w:rPr>
        <w:t xml:space="preserve">M. Kiviranta, I. Moilanen, and J. Roivainen: “5G radar: Scenarios, numerology and simulations,” </w:t>
      </w:r>
      <w:r w:rsidRPr="00DA5FA8">
        <w:rPr>
          <w:rFonts w:ascii="Arial" w:hAnsi="Arial" w:cs="Arial"/>
          <w:iCs/>
        </w:rPr>
        <w:t>2019 IEEE International Conference on Military Communications and Information Systems (ICMCIS)</w:t>
      </w:r>
      <w:r w:rsidRPr="00DA5FA8">
        <w:rPr>
          <w:rFonts w:ascii="Arial" w:hAnsi="Arial" w:cs="Arial"/>
        </w:rPr>
        <w:t>, 2019.</w:t>
      </w:r>
      <w:bookmarkEnd w:id="590"/>
    </w:p>
    <w:p w14:paraId="3ACDC41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92" w:name="_Ref30688579"/>
      <w:r w:rsidRPr="00DA5FA8">
        <w:rPr>
          <w:rFonts w:ascii="Arial" w:hAnsi="Arial" w:cs="Arial"/>
        </w:rPr>
        <w:t xml:space="preserve">H. Kim et al: “5G mmWave cooperative positioning and mapping using multi-model PHD filter and map fusion,” </w:t>
      </w:r>
      <w:r w:rsidRPr="00DA5FA8">
        <w:rPr>
          <w:rFonts w:ascii="Arial" w:hAnsi="Arial" w:cs="Arial"/>
          <w:iCs/>
        </w:rPr>
        <w:t>arXiv preprint arXiv:1908.09806</w:t>
      </w:r>
      <w:r w:rsidRPr="00DA5FA8">
        <w:rPr>
          <w:rFonts w:ascii="Arial" w:hAnsi="Arial" w:cs="Arial"/>
        </w:rPr>
        <w:t>, 2019.</w:t>
      </w:r>
      <w:bookmarkEnd w:id="592"/>
    </w:p>
    <w:p w14:paraId="02E98A6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93" w:name="_Ref30688851"/>
      <w:r w:rsidRPr="00DA5FA8">
        <w:rPr>
          <w:rFonts w:ascii="Arial" w:hAnsi="Arial" w:cs="Arial"/>
        </w:rPr>
        <w:t xml:space="preserve">R. Koirala et al: “Localization and throughput trade-off in a multi-user multi-carrier mm-wave system,” </w:t>
      </w:r>
      <w:r w:rsidRPr="00DA5FA8">
        <w:rPr>
          <w:rFonts w:ascii="Arial" w:hAnsi="Arial" w:cs="Arial"/>
          <w:iCs/>
        </w:rPr>
        <w:t>IEEE Access, vol.</w:t>
      </w:r>
      <w:r w:rsidRPr="00DA5FA8">
        <w:rPr>
          <w:rFonts w:ascii="Arial" w:hAnsi="Arial" w:cs="Arial"/>
        </w:rPr>
        <w:t xml:space="preserve"> 7, pp. 167099-167112, 2019.</w:t>
      </w:r>
      <w:bookmarkEnd w:id="593"/>
    </w:p>
    <w:p w14:paraId="546FE45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4" w:name="_Ref33172828"/>
      <w:r w:rsidRPr="00DA5FA8">
        <w:rPr>
          <w:rFonts w:ascii="Arial" w:hAnsi="Arial"/>
        </w:rPr>
        <w:t>C. Aydogdu, G. K. Carvajal, O. Eriksson, H. Hellsten, H. Herbertsson, M. F. Keskin, E. Nilsson, M. Rydström, K. Vanäs and H. Wymeersch: “Radar interference mitigation for automated driving,” submitted to IEEE Signal Processing Magazine, 2019.</w:t>
      </w:r>
      <w:bookmarkEnd w:id="594"/>
    </w:p>
    <w:p w14:paraId="6397C3A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5" w:name="_Ref33172832"/>
      <w:r w:rsidRPr="00DA5FA8">
        <w:rPr>
          <w:rFonts w:ascii="Arial" w:hAnsi="Arial"/>
        </w:rPr>
        <w:t xml:space="preserve">J. Khoury, R. Ramanathan, D. McCloskey, R. Smith and T. Campbell: “RadarMAC: Mitigating radar interference in self-driving cars,” </w:t>
      </w:r>
      <w:r w:rsidRPr="00DA5FA8">
        <w:rPr>
          <w:rFonts w:ascii="Arial" w:hAnsi="Arial"/>
          <w:iCs/>
        </w:rPr>
        <w:t>13th Annual IEEE International Conference on Sensing, Communication, and Networking (SECON)</w:t>
      </w:r>
      <w:r w:rsidRPr="00DA5FA8">
        <w:rPr>
          <w:rFonts w:ascii="Arial" w:hAnsi="Arial"/>
        </w:rPr>
        <w:t>, London, pp. 1-9, 2016.</w:t>
      </w:r>
      <w:bookmarkEnd w:id="595"/>
      <w:r w:rsidRPr="00DA5FA8">
        <w:rPr>
          <w:rFonts w:ascii="Arial" w:hAnsi="Arial"/>
        </w:rPr>
        <w:t xml:space="preserve"> </w:t>
      </w:r>
    </w:p>
    <w:p w14:paraId="503A0402"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6" w:name="_Ref32417405"/>
      <w:r w:rsidRPr="00DA5FA8">
        <w:rPr>
          <w:rFonts w:ascii="Arial" w:hAnsi="Arial"/>
        </w:rPr>
        <w:t>A. Dammann, R. Raulefs, S. Zhang: “On prospects of positioning in 5G,” in Proc. IEEE International Conference on Communication Workshop (ICCW), 2015.</w:t>
      </w:r>
      <w:bookmarkEnd w:id="596"/>
    </w:p>
    <w:p w14:paraId="5CB8A3D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cs="Arial"/>
        </w:rPr>
      </w:pPr>
      <w:bookmarkStart w:id="597" w:name="_Ref32417411"/>
      <w:r w:rsidRPr="00DA5FA8">
        <w:rPr>
          <w:rFonts w:ascii="Arial" w:hAnsi="Arial" w:cs="Arial"/>
        </w:rPr>
        <w:t>W. Xu, A. Dammann and T. Laas: “Where are the things of the internet? Precise time of arrival estimation for IoT positioning,” in ‘The fifth Generation (5G) of Wireless Communication’, A. Kishk, Ed., Intechopen, 2018.</w:t>
      </w:r>
      <w:bookmarkEnd w:id="597"/>
    </w:p>
    <w:p w14:paraId="3272EE5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8" w:name="_Ref32415951"/>
      <w:r w:rsidRPr="00DA5FA8">
        <w:rPr>
          <w:rFonts w:ascii="Arial" w:hAnsi="Arial"/>
        </w:rPr>
        <w:t>R. di Taranto, S. Muppirisetty, R. Raulefs, D. Slock, T. Svensson and H. Wymeersch: “Location-</w:t>
      </w:r>
      <w:r w:rsidRPr="00DA5FA8">
        <w:rPr>
          <w:rFonts w:ascii="Arial" w:hAnsi="Arial" w:cs="Arial"/>
        </w:rPr>
        <w:t>aware communications</w:t>
      </w:r>
      <w:r w:rsidRPr="00DA5FA8">
        <w:rPr>
          <w:rFonts w:ascii="Arial" w:hAnsi="Arial"/>
        </w:rPr>
        <w:t xml:space="preserve"> for 5G </w:t>
      </w:r>
      <w:r w:rsidRPr="00DA5FA8">
        <w:rPr>
          <w:rFonts w:ascii="Arial" w:hAnsi="Arial" w:cs="Arial"/>
        </w:rPr>
        <w:t>networks</w:t>
      </w:r>
      <w:r w:rsidRPr="00DA5FA8">
        <w:rPr>
          <w:rFonts w:ascii="Arial" w:hAnsi="Arial"/>
        </w:rPr>
        <w:t>: How location information can improve scalability, latency, and robustness of 5G,” IEEE Signal Processing Magazine, vol. 31, no. 6, pp. 102-112, Nov. 2014.</w:t>
      </w:r>
      <w:bookmarkEnd w:id="591"/>
      <w:bookmarkEnd w:id="598"/>
    </w:p>
    <w:p w14:paraId="7E2D402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599" w:name="_Ref510640156"/>
      <w:r w:rsidRPr="00DA5FA8">
        <w:rPr>
          <w:rFonts w:ascii="Arial" w:hAnsi="Arial"/>
        </w:rPr>
        <w:t>Y. Polyanskiy: “A perspective on massive random-access,” in Proc. IEEE International Symposium on Information Theory (ISIT), pp. 2523-2527, 2017.</w:t>
      </w:r>
      <w:bookmarkEnd w:id="599"/>
    </w:p>
    <w:p w14:paraId="2903619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0" w:name="_Ref510640174"/>
      <w:r w:rsidRPr="00DA5FA8">
        <w:rPr>
          <w:rFonts w:ascii="Arial" w:hAnsi="Arial"/>
        </w:rPr>
        <w:t>H.A. Inan, P. Kairouz and A. Ozgur: “Sparse combinatorial group testing for low-energy massive random access,” arXiv preprint arXiv:1711.05403, 2017.</w:t>
      </w:r>
      <w:bookmarkEnd w:id="600"/>
    </w:p>
    <w:p w14:paraId="01C327D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1" w:name="_Ref510640195"/>
      <w:r w:rsidRPr="00DA5FA8">
        <w:rPr>
          <w:rFonts w:ascii="Arial" w:hAnsi="Arial"/>
        </w:rPr>
        <w:t>J. Luo and D. Guo: “Neighbor discovery in wireless ad hoc networks based on group testing,” In 46th Annual Allerton Conference on Communication, Control, and Computing, pp. 791-797, Sep. 2008.</w:t>
      </w:r>
      <w:bookmarkEnd w:id="601"/>
    </w:p>
    <w:p w14:paraId="36DBF1A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2" w:name="_Ref510640212"/>
      <w:r w:rsidRPr="00DA5FA8">
        <w:rPr>
          <w:rFonts w:ascii="Arial" w:hAnsi="Arial"/>
        </w:rPr>
        <w:t>E. Paolini, C. Stefanovic, G. Liva and P. Popovski: “Coded random access: applying codes on graphs to design random access protocols,” IEEE Communications Magazine 53, no. 6, pp. 144-150, 2015.</w:t>
      </w:r>
      <w:bookmarkEnd w:id="602"/>
    </w:p>
    <w:p w14:paraId="2ED2039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3" w:name="_Ref33188568"/>
      <w:r w:rsidRPr="00DA5FA8">
        <w:rPr>
          <w:rFonts w:ascii="Arial" w:hAnsi="Arial"/>
        </w:rPr>
        <w:t xml:space="preserve">N. H. Mahmood, R. Abreu, R. Böhnke, M. Schubert, G. Berardinelli and T. H. Jacobsen: “Uplink grant-free access solutions for URLLC services in 5G New Radio,” </w:t>
      </w:r>
      <w:r w:rsidRPr="00DA5FA8">
        <w:rPr>
          <w:rFonts w:ascii="Arial" w:hAnsi="Arial"/>
          <w:iCs/>
        </w:rPr>
        <w:t>16th International Symposium on Wireless Communication Systems (ISWCS)</w:t>
      </w:r>
      <w:r w:rsidRPr="00DA5FA8">
        <w:rPr>
          <w:rFonts w:ascii="Arial" w:hAnsi="Arial"/>
        </w:rPr>
        <w:t>, Oulu, Finland, pp. 607-612, 2019.</w:t>
      </w:r>
      <w:bookmarkEnd w:id="603"/>
    </w:p>
    <w:p w14:paraId="49DF73C5"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4" w:name="_Ref38362766"/>
      <w:r w:rsidRPr="00DA5FA8">
        <w:rPr>
          <w:rFonts w:ascii="Arial" w:hAnsi="Arial"/>
        </w:rPr>
        <w:lastRenderedPageBreak/>
        <w:t>F. Clazzer, A. Munari, G. Liva, F. Lazaro, C. Stefanovic and P. Popovski: “From 5G to 6G: Has the time for modern random access come?” arXiv: 1903.03063, 2019.</w:t>
      </w:r>
      <w:bookmarkEnd w:id="604"/>
    </w:p>
    <w:p w14:paraId="1C6918D9"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5" w:name="_Ref510640229"/>
      <w:r w:rsidRPr="00DA5FA8">
        <w:rPr>
          <w:rFonts w:ascii="Arial" w:hAnsi="Arial"/>
        </w:rPr>
        <w:t>S. Rangan: “Generalized approximate message passing for estimation with random linear mixing,” in Proc. IEEE International Symposium on Information Theory (ISIT), pp. 2168-2172, 2011.</w:t>
      </w:r>
      <w:bookmarkEnd w:id="605"/>
    </w:p>
    <w:p w14:paraId="06EAECD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6" w:name="_Ref510640251"/>
      <w:r w:rsidRPr="00DA5FA8">
        <w:rPr>
          <w:rFonts w:ascii="Arial" w:hAnsi="Arial"/>
        </w:rPr>
        <w:t>Z. Chen, F. Sohrabi and W. Yu: “Sparse activity detection for massive connectivity,” arXiv preprint arXiv:1801.05873, 2018.</w:t>
      </w:r>
      <w:bookmarkEnd w:id="606"/>
    </w:p>
    <w:p w14:paraId="7D8D9E51"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7" w:name="_Ref510640277"/>
      <w:r w:rsidRPr="00DA5FA8">
        <w:rPr>
          <w:rFonts w:ascii="Arial" w:hAnsi="Arial"/>
        </w:rPr>
        <w:t>S. Haghighatshoar, P. Jung and G. Caire: “Improved scaling law for activity detection in massive MIMO systems,” arXiv preprint arXiv:1803.02288, 2018.</w:t>
      </w:r>
      <w:bookmarkEnd w:id="607"/>
    </w:p>
    <w:p w14:paraId="3CFF86E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8" w:name="_Ref33189498"/>
      <w:r w:rsidRPr="00DA5FA8">
        <w:rPr>
          <w:rFonts w:ascii="Arial" w:hAnsi="Arial"/>
        </w:rPr>
        <w:t xml:space="preserve">C. Bockelmann </w:t>
      </w:r>
      <w:r w:rsidRPr="00DA5FA8">
        <w:rPr>
          <w:rFonts w:ascii="Arial" w:hAnsi="Arial"/>
          <w:iCs/>
        </w:rPr>
        <w:t>et al: “</w:t>
      </w:r>
      <w:r w:rsidRPr="00DA5FA8">
        <w:rPr>
          <w:rFonts w:ascii="Arial" w:hAnsi="Arial"/>
        </w:rPr>
        <w:t xml:space="preserve">Massive machine-type communications in 5G: Physical and MAC-layer solutions,” </w:t>
      </w:r>
      <w:r w:rsidRPr="00DA5FA8">
        <w:rPr>
          <w:rFonts w:ascii="Arial" w:hAnsi="Arial"/>
          <w:iCs/>
        </w:rPr>
        <w:t>IEEE Communications Magazine</w:t>
      </w:r>
      <w:r w:rsidRPr="00DA5FA8">
        <w:rPr>
          <w:rFonts w:ascii="Arial" w:hAnsi="Arial"/>
        </w:rPr>
        <w:t>, vol. 54, no. 9, pp. 59-65, September 2016.</w:t>
      </w:r>
      <w:bookmarkEnd w:id="608"/>
    </w:p>
    <w:p w14:paraId="31E83BE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09" w:name="_Ref38362986"/>
      <w:r w:rsidRPr="00DA5FA8">
        <w:rPr>
          <w:rFonts w:ascii="Arial" w:hAnsi="Arial"/>
        </w:rPr>
        <w:t xml:space="preserve">L. Liu, E. G. Larsson, W. Yu, P. Popovski, C. Stefanovic and E. de Carvalho: “Sparse Signal Processing for Grant-Free Massive Connectivity: A Future Paradigm for Random Access Protocols in the Internet of Things,” </w:t>
      </w:r>
      <w:r w:rsidRPr="00DA5FA8">
        <w:rPr>
          <w:rFonts w:ascii="Arial" w:hAnsi="Arial"/>
          <w:iCs/>
        </w:rPr>
        <w:t>IEEE Signal Processing Magazine</w:t>
      </w:r>
      <w:r w:rsidRPr="00DA5FA8">
        <w:rPr>
          <w:rFonts w:ascii="Arial" w:hAnsi="Arial"/>
        </w:rPr>
        <w:t>, vol. 35, no. 5, pp. 88-99, Sept. 2018.</w:t>
      </w:r>
      <w:bookmarkEnd w:id="609"/>
    </w:p>
    <w:p w14:paraId="354E751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0" w:name="_Ref38363003"/>
      <w:r w:rsidRPr="00DA5FA8">
        <w:rPr>
          <w:rFonts w:ascii="Arial" w:hAnsi="Arial"/>
        </w:rPr>
        <w:t>E. Bjornson, E. de Carvalho, J. H. Sørensen, E. G. Larsson and P. Popovski, “A Random Access Protocol for Pilot Allocation in Crowded Massive MIMO Systems,” IEEE Transactions on Wireless Communications, vol. 16, no. 4, pp. 2220–2234, April 2017.</w:t>
      </w:r>
      <w:bookmarkEnd w:id="610"/>
    </w:p>
    <w:p w14:paraId="1DEED657"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1" w:name="_Ref510640292"/>
      <w:r w:rsidRPr="00DA5FA8">
        <w:rPr>
          <w:rFonts w:ascii="Arial" w:hAnsi="Arial"/>
        </w:rPr>
        <w:t>G. Fettweis, H. Boche, et al: “The tactile internet,” ITU-T Technology Watch Report, August 2014.</w:t>
      </w:r>
      <w:bookmarkEnd w:id="611"/>
    </w:p>
    <w:p w14:paraId="6EA1790E" w14:textId="50537C5A"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612" w:name="_Ref510640307"/>
      <w:r w:rsidRPr="00DA5FA8">
        <w:rPr>
          <w:rFonts w:ascii="Arial" w:hAnsi="Arial"/>
          <w:lang w:val="es-ES"/>
        </w:rPr>
        <w:t xml:space="preserve">H. Lasi, P. Fettke, HG. </w:t>
      </w:r>
      <w:r w:rsidRPr="00DA5FA8">
        <w:rPr>
          <w:rFonts w:ascii="Arial" w:hAnsi="Arial"/>
        </w:rPr>
        <w:t xml:space="preserve">Kemper, et al: “Industry 4.0”, Bus Inf Syst Eng, 6: 239, 2014. </w:t>
      </w:r>
      <w:hyperlink r:id="rId74" w:history="1">
        <w:r w:rsidRPr="00DA5FA8">
          <w:rPr>
            <w:rStyle w:val="Hyperlink"/>
            <w:rFonts w:ascii="Arial" w:hAnsi="Arial"/>
          </w:rPr>
          <w:t>https://doi.org/10.1007/s12599-014-0334-4</w:t>
        </w:r>
      </w:hyperlink>
      <w:bookmarkEnd w:id="612"/>
      <w:r w:rsidRPr="00DA5FA8">
        <w:rPr>
          <w:rFonts w:ascii="Arial" w:hAnsi="Arial"/>
        </w:rPr>
        <w:t>.</w:t>
      </w:r>
    </w:p>
    <w:p w14:paraId="43AE09CB" w14:textId="77777777" w:rsidR="003F2CCB" w:rsidRPr="00DA5FA8" w:rsidRDefault="003F2CCB" w:rsidP="008414EA">
      <w:pPr>
        <w:pStyle w:val="ListParagraph"/>
        <w:numPr>
          <w:ilvl w:val="0"/>
          <w:numId w:val="84"/>
        </w:numPr>
        <w:spacing w:after="120" w:line="240" w:lineRule="auto"/>
        <w:ind w:left="994" w:hanging="994"/>
        <w:contextualSpacing w:val="0"/>
        <w:jc w:val="both"/>
        <w:rPr>
          <w:rStyle w:val="Hyperlink"/>
          <w:rFonts w:ascii="Arial" w:hAnsi="Arial"/>
          <w:color w:val="auto"/>
          <w:u w:val="none"/>
        </w:rPr>
      </w:pPr>
      <w:bookmarkStart w:id="613" w:name="_Ref38363347"/>
      <w:r w:rsidRPr="00DA5FA8">
        <w:rPr>
          <w:rFonts w:ascii="Arial" w:hAnsi="Arial"/>
        </w:rPr>
        <w:t>C. Kalalas and J. Alonso-Zarate: “Massive connectivity in 5G and beyond: Technical enablers for the energy and automotive verticals,” in Proc. of 6G Wireless Summit 2020, Levi, Finland, March 2020.</w:t>
      </w:r>
      <w:bookmarkEnd w:id="613"/>
    </w:p>
    <w:p w14:paraId="06BA8665" w14:textId="47DC0433"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4" w:name="_Ref510641494"/>
      <w:r w:rsidRPr="00DA5FA8">
        <w:rPr>
          <w:rFonts w:ascii="Arial" w:hAnsi="Arial"/>
        </w:rPr>
        <w:t xml:space="preserve">Ericsson Expert Analytics. [Online]. Available: </w:t>
      </w:r>
      <w:hyperlink r:id="rId75" w:history="1">
        <w:r w:rsidRPr="00DA5FA8">
          <w:rPr>
            <w:rStyle w:val="Hyperlink"/>
            <w:rFonts w:ascii="Arial" w:hAnsi="Arial"/>
          </w:rPr>
          <w:t>https://www.ericsson.com/ourportfolio/products/expert-analytics</w:t>
        </w:r>
      </w:hyperlink>
      <w:r w:rsidRPr="00DA5FA8">
        <w:rPr>
          <w:rFonts w:ascii="Arial" w:hAnsi="Arial"/>
        </w:rPr>
        <w:t>.</w:t>
      </w:r>
      <w:bookmarkEnd w:id="614"/>
    </w:p>
    <w:p w14:paraId="3CC27568"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5" w:name="_Ref510641522"/>
      <w:r w:rsidRPr="00DA5FA8">
        <w:rPr>
          <w:rFonts w:ascii="Arial" w:hAnsi="Arial"/>
        </w:rPr>
        <w:t>M. Agiwal, A. Roy and N. Saxena: “Next generation 5G wireless networks: A comprehensive survey,” IEEE Communications Surveys &amp; Tutorials, vol. 18, no. 3, pp. 1617-1655, 2016.</w:t>
      </w:r>
      <w:bookmarkEnd w:id="615"/>
    </w:p>
    <w:p w14:paraId="0B1EF0C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6" w:name="_Ref510641586"/>
      <w:r w:rsidRPr="00DA5FA8">
        <w:rPr>
          <w:rFonts w:ascii="Arial" w:hAnsi="Arial"/>
        </w:rPr>
        <w:t>C. Shepard, H. Yu, N. Anand, E. Li, T. Marzetta, R. Yang and L. Zhong: “Argos: Practical many-antenna base stations,” in Proc. of the 18th ACM annual international conference on Mobile computing and networking, pp. 53-64, 2012.</w:t>
      </w:r>
      <w:bookmarkEnd w:id="616"/>
    </w:p>
    <w:p w14:paraId="3D07952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7" w:name="_Ref510641599"/>
      <w:r w:rsidRPr="00DA5FA8">
        <w:rPr>
          <w:rFonts w:ascii="Arial" w:hAnsi="Arial"/>
        </w:rPr>
        <w:t>J. Vieira, S. Malkowsky, K. Nieman, Z. Miers, N. Kundargi, L. Liu, I. Wong, V. Owall, O. Edfors and F. Tufvesson: “A exible 100-antenna testbed for massive MIMO,” in Proc. IEEE Globecom Workshops, pp. 287-293, 2014.</w:t>
      </w:r>
      <w:bookmarkEnd w:id="617"/>
      <w:r w:rsidRPr="00DA5FA8">
        <w:rPr>
          <w:rFonts w:ascii="Arial" w:hAnsi="Arial"/>
        </w:rPr>
        <w:t xml:space="preserve"> </w:t>
      </w:r>
    </w:p>
    <w:p w14:paraId="66F2B07E"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8" w:name="_Ref510641617"/>
      <w:r w:rsidRPr="00DA5FA8">
        <w:rPr>
          <w:rFonts w:ascii="Arial" w:hAnsi="Arial"/>
        </w:rPr>
        <w:t>S.-W. Jeon, S.-N. Hong, M. Ji, G. Caire and A. F. Molisch: “Wireless multihop device-to-device caching networks,” IEEE Transactions on Information Theory, vol. 63, no. 3, pp. 1662-1676, 2017.</w:t>
      </w:r>
      <w:bookmarkEnd w:id="618"/>
    </w:p>
    <w:p w14:paraId="0769C71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19" w:name="_Ref510641625"/>
      <w:r w:rsidRPr="00DA5FA8">
        <w:rPr>
          <w:rFonts w:ascii="Arial" w:hAnsi="Arial"/>
        </w:rPr>
        <w:t>M. Ji, G. Caire and A. F. Molisch: “Fundamental limits of caching in wireless D2D networks,” IEEE Transactions on Information Theory, vol. 62, no. 2, pp. 849-869, 2016.</w:t>
      </w:r>
      <w:bookmarkEnd w:id="619"/>
    </w:p>
    <w:p w14:paraId="00086840"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0" w:name="_Ref510641649"/>
      <w:r w:rsidRPr="00DA5FA8">
        <w:rPr>
          <w:rFonts w:ascii="Arial" w:hAnsi="Arial"/>
        </w:rPr>
        <w:t>M. Maddah-Ali and U. Niesen: “Fundamental limits of caching,” IEEE Transactions on Information Theory, vol. 60, no. 5, pp. 2856-2867, May 2014.</w:t>
      </w:r>
      <w:bookmarkEnd w:id="620"/>
    </w:p>
    <w:p w14:paraId="5D940204"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1" w:name="_Ref510641661"/>
      <w:r w:rsidRPr="00DA5FA8">
        <w:rPr>
          <w:rFonts w:ascii="Arial" w:hAnsi="Arial"/>
        </w:rPr>
        <w:lastRenderedPageBreak/>
        <w:t>K. Shanmugam, N. Golrezaei, A. G. Dimakis, A. F. Molisch and G. Caire: “Femtocaching: Wireless content delivery through distributed caching helpers,” IEEE Transactions on Information Theory, vol. 59, no. 12, pp. 8402-8413, 2013.</w:t>
      </w:r>
      <w:bookmarkEnd w:id="621"/>
    </w:p>
    <w:p w14:paraId="121E3816"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2" w:name="_Ref510641690"/>
      <w:r w:rsidRPr="00DA5FA8">
        <w:rPr>
          <w:rFonts w:ascii="Arial" w:hAnsi="Arial"/>
        </w:rPr>
        <w:t>M. Bayat, R. K. Mungara and G. Caire: “Achieving spatial scalability for coded caching over wireless networks,” arXiv preprint: arXiv:1803.05702, 2018.</w:t>
      </w:r>
      <w:bookmarkEnd w:id="622"/>
    </w:p>
    <w:p w14:paraId="2C5A62EF"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3" w:name="_Ref33014578"/>
      <w:r w:rsidRPr="00DA5FA8">
        <w:rPr>
          <w:rFonts w:ascii="Arial" w:hAnsi="Arial"/>
        </w:rPr>
        <w:t>K. Wan and G. Caire: “On coded caching with private demands”, submitted to TIT, available online: arXiv:1908.10821 [cs.IT]</w:t>
      </w:r>
      <w:bookmarkEnd w:id="623"/>
      <w:r w:rsidRPr="00DA5FA8">
        <w:rPr>
          <w:rFonts w:ascii="Arial" w:hAnsi="Arial"/>
        </w:rPr>
        <w:t>, 2019.</w:t>
      </w:r>
    </w:p>
    <w:p w14:paraId="2292347B"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rPr>
      </w:pPr>
      <w:bookmarkStart w:id="624" w:name="_Ref510641709"/>
      <w:r w:rsidRPr="00DA5FA8">
        <w:rPr>
          <w:rFonts w:ascii="Arial" w:hAnsi="Arial"/>
        </w:rPr>
        <w:t>D. Bethanabhotla, G. Caire and M. J. Neely: “Wiflix: Adaptive video streaming in massive MU-MIMO wireless networks,” IEEE Transactions on Wireless Communications, vol. 15, no. 6, pp. 4088</w:t>
      </w:r>
      <w:r w:rsidRPr="00DA5FA8">
        <w:rPr>
          <w:rFonts w:ascii="Arial" w:hAnsi="Arial"/>
          <w:lang w:val="en-US"/>
        </w:rPr>
        <w:t>–</w:t>
      </w:r>
      <w:r w:rsidRPr="00DA5FA8">
        <w:rPr>
          <w:rFonts w:ascii="Arial" w:hAnsi="Arial"/>
        </w:rPr>
        <w:t>103, 2016.</w:t>
      </w:r>
      <w:bookmarkEnd w:id="624"/>
    </w:p>
    <w:p w14:paraId="5DF41B5D" w14:textId="77777777" w:rsidR="003F2CCB" w:rsidRPr="00DA5FA8" w:rsidRDefault="003F2CCB" w:rsidP="008414EA">
      <w:pPr>
        <w:pStyle w:val="ListParagraph"/>
        <w:numPr>
          <w:ilvl w:val="0"/>
          <w:numId w:val="84"/>
        </w:numPr>
        <w:spacing w:after="120" w:line="240" w:lineRule="auto"/>
        <w:ind w:left="994" w:hanging="994"/>
        <w:contextualSpacing w:val="0"/>
        <w:jc w:val="both"/>
        <w:rPr>
          <w:rFonts w:ascii="Arial" w:hAnsi="Arial"/>
          <w:lang w:val="en-US"/>
        </w:rPr>
      </w:pPr>
      <w:bookmarkStart w:id="625" w:name="_Ref33015334"/>
      <w:r w:rsidRPr="00DA5FA8">
        <w:rPr>
          <w:rFonts w:ascii="Arial" w:hAnsi="Arial"/>
          <w:lang w:val="en-US"/>
        </w:rPr>
        <w:t xml:space="preserve">A. Narayanan, S. Verma, </w:t>
      </w:r>
      <w:r w:rsidRPr="00DA5FA8">
        <w:rPr>
          <w:rFonts w:ascii="Arial" w:hAnsi="Arial"/>
        </w:rPr>
        <w:t xml:space="preserve">E. Ramadan, P. Babaie, and </w:t>
      </w:r>
      <w:r w:rsidRPr="00DA5FA8">
        <w:rPr>
          <w:rFonts w:ascii="Arial" w:hAnsi="Arial"/>
          <w:lang w:val="en-US"/>
        </w:rPr>
        <w:t>Z. Zhang: “DeepCache: A deep learning based framework for content caching,” in  Proceedings of Workshop on Network Meets AI &amp; ML, pp. 48–53, Aug. 2018</w:t>
      </w:r>
      <w:bookmarkEnd w:id="625"/>
      <w:r w:rsidRPr="00DA5FA8">
        <w:rPr>
          <w:rFonts w:ascii="Arial" w:hAnsi="Arial"/>
          <w:lang w:val="en-US"/>
        </w:rPr>
        <w:t>.</w:t>
      </w:r>
    </w:p>
    <w:p w14:paraId="70C89730" w14:textId="633D52F6" w:rsidR="00EC02AE" w:rsidRPr="00EC02AE" w:rsidRDefault="000E4D95" w:rsidP="008059BC">
      <w:pPr>
        <w:spacing w:after="120" w:line="240" w:lineRule="auto"/>
        <w:ind w:left="993" w:hanging="993"/>
        <w:jc w:val="both"/>
        <w:rPr>
          <w:rFonts w:ascii="Arial" w:hAnsi="Arial" w:cs="Arial"/>
        </w:rPr>
      </w:pPr>
      <w:r>
        <w:rPr>
          <w:rFonts w:ascii="Arial" w:hAnsi="Arial" w:cs="Arial"/>
        </w:rPr>
        <w:t>[C7-</w:t>
      </w:r>
      <w:r w:rsidR="00EC02AE" w:rsidRPr="00EC02AE">
        <w:rPr>
          <w:rFonts w:ascii="Arial" w:hAnsi="Arial" w:cs="Arial"/>
        </w:rPr>
        <w:t>1]</w:t>
      </w:r>
      <w:r w:rsidR="00EC02AE" w:rsidRPr="00EC02AE">
        <w:rPr>
          <w:rFonts w:ascii="Arial" w:hAnsi="Arial" w:cs="Arial"/>
        </w:rPr>
        <w:tab/>
        <w:t>Photonics21, Vision Paper “Europe’s age of light! How photonics will power growth and innovation”, Nov 2017, online</w:t>
      </w:r>
    </w:p>
    <w:p w14:paraId="5A5D030C" w14:textId="78D5DC60" w:rsidR="00EC02AE" w:rsidRPr="00EC02AE" w:rsidRDefault="000E4D95" w:rsidP="008059BC">
      <w:pPr>
        <w:spacing w:after="120" w:line="240" w:lineRule="auto"/>
        <w:ind w:left="993" w:hanging="993"/>
        <w:jc w:val="both"/>
        <w:rPr>
          <w:rFonts w:ascii="Arial" w:hAnsi="Arial" w:cs="Arial"/>
        </w:rPr>
      </w:pPr>
      <w:r>
        <w:rPr>
          <w:rFonts w:ascii="Arial" w:hAnsi="Arial" w:cs="Arial"/>
        </w:rPr>
        <w:t>[C7-</w:t>
      </w:r>
      <w:r w:rsidR="00EC02AE" w:rsidRPr="00EC02AE">
        <w:rPr>
          <w:rFonts w:ascii="Arial" w:hAnsi="Arial" w:cs="Arial"/>
        </w:rPr>
        <w:t>2]</w:t>
      </w:r>
      <w:r w:rsidR="00EC02AE" w:rsidRPr="00EC02AE">
        <w:rPr>
          <w:rFonts w:ascii="Arial" w:hAnsi="Arial" w:cs="Arial"/>
        </w:rPr>
        <w:tab/>
        <w:t>P.J. Winzer, D.T. Neilson, “From Scaling Disparities to Integrated Parallelism: A Decathlon for a Decade,” J. Lightw. Technol., 35(2017)5, Feb. 2017, pp. 1099-1115.</w:t>
      </w:r>
    </w:p>
    <w:p w14:paraId="3D4AD1E1" w14:textId="6B808A38" w:rsidR="00EC02AE" w:rsidRDefault="000E4D95" w:rsidP="008059BC">
      <w:pPr>
        <w:spacing w:after="120" w:line="240" w:lineRule="auto"/>
        <w:ind w:left="993" w:hanging="993"/>
        <w:jc w:val="both"/>
        <w:rPr>
          <w:rFonts w:ascii="Arial" w:hAnsi="Arial" w:cs="Arial"/>
        </w:rPr>
      </w:pPr>
      <w:r>
        <w:rPr>
          <w:rFonts w:ascii="Arial" w:hAnsi="Arial" w:cs="Arial"/>
        </w:rPr>
        <w:t>[C7-</w:t>
      </w:r>
      <w:r w:rsidR="00EC02AE" w:rsidRPr="00EC02AE">
        <w:rPr>
          <w:rFonts w:ascii="Arial" w:hAnsi="Arial" w:cs="Arial"/>
        </w:rPr>
        <w:t>3]</w:t>
      </w:r>
      <w:r w:rsidR="00EC02AE" w:rsidRPr="00EC02AE">
        <w:rPr>
          <w:rFonts w:ascii="Arial" w:hAnsi="Arial" w:cs="Arial"/>
        </w:rPr>
        <w:tab/>
        <w:t>S. Wolf et al., “DAC-Less Amplifier-Less Generation and Transmission of QAM Signals Using Sub-Volt Silicon-Organic Hybrid Modulators,“ J. Lightw. Technol., 33(2015)7, April 2015, pp. 1425-1432.</w:t>
      </w:r>
    </w:p>
    <w:p w14:paraId="1437F5DF" w14:textId="6E4BBF63"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w:t>
      </w:r>
      <w:r w:rsidRPr="00A36EA6">
        <w:rPr>
          <w:rFonts w:ascii="Arial" w:hAnsi="Arial" w:cs="Arial"/>
        </w:rPr>
        <w:tab/>
        <w:t>https://ec.europa.eu/digital-single-market/en/network-and-information-security-nis-directive</w:t>
      </w:r>
    </w:p>
    <w:p w14:paraId="41E02DF3"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[C8-2]</w:t>
      </w:r>
      <w:r w:rsidRPr="00A36EA6">
        <w:rPr>
          <w:rFonts w:ascii="Arial" w:hAnsi="Arial" w:cs="Arial"/>
        </w:rPr>
        <w:tab/>
        <w:t>https://eur-lex.europa.eu/legal-content/EN/TXT/?uri=CELEX:52017PC0477R(02)</w:t>
      </w:r>
    </w:p>
    <w:p w14:paraId="504F971F"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[C8-3]</w:t>
      </w:r>
      <w:r w:rsidRPr="00A36EA6">
        <w:rPr>
          <w:rFonts w:ascii="Arial" w:hAnsi="Arial" w:cs="Arial"/>
        </w:rPr>
        <w:tab/>
        <w:t>https://ec.europa.eu/digital-single-market/en/news/cybersecurity-5g-networks-eu-toolbox-risk-mitigating-measures</w:t>
      </w:r>
    </w:p>
    <w:p w14:paraId="186563EB"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[C8-4]</w:t>
      </w:r>
      <w:r w:rsidRPr="00A36EA6">
        <w:rPr>
          <w:rFonts w:ascii="Arial" w:hAnsi="Arial" w:cs="Arial"/>
        </w:rPr>
        <w:tab/>
        <w:t>https://www.enisa.europa.eu/publications/enisa-threat-landscape-for-5g-networks</w:t>
      </w:r>
    </w:p>
    <w:p w14:paraId="04B6F82E"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[C8-5]</w:t>
      </w:r>
      <w:r w:rsidRPr="00A36EA6">
        <w:rPr>
          <w:rFonts w:ascii="Arial" w:hAnsi="Arial" w:cs="Arial"/>
        </w:rPr>
        <w:tab/>
        <w:t>NGMN Alliance: ”Description of Network Slicing Concept”, Version 1.0, January 2016</w:t>
      </w:r>
    </w:p>
    <w:p w14:paraId="7A5BACF6"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[C8-6]</w:t>
      </w:r>
      <w:r w:rsidRPr="00A36EA6">
        <w:rPr>
          <w:rFonts w:ascii="Arial" w:hAnsi="Arial" w:cs="Arial"/>
        </w:rPr>
        <w:tab/>
        <w:t>NGMN Alliance: ”5G Security Recommendations Package #2: Network Slicing” Version 1.0, April 2016</w:t>
      </w:r>
    </w:p>
    <w:p w14:paraId="2A0758AC" w14:textId="77777777" w:rsidR="00A36EA6" w:rsidRPr="00726918" w:rsidRDefault="00A36EA6" w:rsidP="008059BC">
      <w:pPr>
        <w:spacing w:after="120" w:line="240" w:lineRule="auto"/>
        <w:ind w:left="993" w:hanging="993"/>
        <w:jc w:val="both"/>
        <w:rPr>
          <w:rFonts w:ascii="Arial" w:hAnsi="Arial" w:cs="Arial"/>
          <w:lang w:val="de-DE"/>
        </w:rPr>
      </w:pPr>
      <w:r w:rsidRPr="00A36EA6">
        <w:rPr>
          <w:rFonts w:ascii="Arial" w:hAnsi="Arial" w:cs="Arial"/>
        </w:rPr>
        <w:t>[C8-7]</w:t>
      </w:r>
      <w:r w:rsidRPr="00A36EA6">
        <w:rPr>
          <w:rFonts w:ascii="Arial" w:hAnsi="Arial" w:cs="Arial"/>
        </w:rPr>
        <w:tab/>
        <w:t xml:space="preserve">3GPP: System Architecture for the 5G System. </w:t>
      </w:r>
      <w:r w:rsidRPr="00726918">
        <w:rPr>
          <w:rFonts w:ascii="Arial" w:hAnsi="Arial" w:cs="Arial"/>
          <w:lang w:val="de-DE"/>
        </w:rPr>
        <w:t>3GPP-23501, https://portal.3gpp.org/desktopmodules/Specifications/SpecificationDetails.aspx?specificationId=3144</w:t>
      </w:r>
    </w:p>
    <w:p w14:paraId="76E18956" w14:textId="77777777" w:rsidR="00A36EA6" w:rsidRPr="00726918" w:rsidRDefault="00A36EA6" w:rsidP="008059BC">
      <w:pPr>
        <w:spacing w:after="120" w:line="240" w:lineRule="auto"/>
        <w:ind w:left="993" w:hanging="993"/>
        <w:jc w:val="both"/>
        <w:rPr>
          <w:rFonts w:ascii="Arial" w:hAnsi="Arial" w:cs="Arial"/>
          <w:lang w:val="de-DE"/>
        </w:rPr>
      </w:pPr>
      <w:r w:rsidRPr="00A36EA6">
        <w:rPr>
          <w:rFonts w:ascii="Arial" w:hAnsi="Arial" w:cs="Arial"/>
        </w:rPr>
        <w:t>[C8-8]</w:t>
      </w:r>
      <w:r w:rsidRPr="00A36EA6">
        <w:rPr>
          <w:rFonts w:ascii="Arial" w:hAnsi="Arial" w:cs="Arial"/>
        </w:rPr>
        <w:tab/>
        <w:t xml:space="preserve">3GPP: Procedures for the 5G System. </w:t>
      </w:r>
      <w:r w:rsidRPr="00726918">
        <w:rPr>
          <w:rFonts w:ascii="Arial" w:hAnsi="Arial" w:cs="Arial"/>
          <w:lang w:val="de-DE"/>
        </w:rPr>
        <w:t>3GPP-23502, https://portal.3gpp.org/desktopmodules/Specifications/SpecificationDetails.aspx?specificationId=3145</w:t>
      </w:r>
    </w:p>
    <w:p w14:paraId="455E93B0"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[C8-9]</w:t>
      </w:r>
      <w:r w:rsidRPr="00A36EA6">
        <w:rPr>
          <w:rFonts w:ascii="Arial" w:hAnsi="Arial" w:cs="Arial"/>
        </w:rPr>
        <w:tab/>
        <w:t>3GPP::”Study on the security aspects of the next generation system”. TR 33.899, https://portal.3gpp.org/desktopmodules/Specifications/SpecificationDetails.aspx?specificationId=3045</w:t>
      </w:r>
    </w:p>
    <w:p w14:paraId="5854B30F"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[C8-10]</w:t>
      </w:r>
      <w:r w:rsidRPr="00A36EA6">
        <w:rPr>
          <w:rFonts w:ascii="Arial" w:hAnsi="Arial" w:cs="Arial"/>
        </w:rPr>
        <w:tab/>
        <w:t>3GPP: ”Security architecture and procedures for 5G System”. TS 33.501, https://portal.3gpp.org/desktopmodules/Specifications/SpecificationDetails.aspx?specificationId=3169</w:t>
      </w:r>
    </w:p>
    <w:p w14:paraId="44662469"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[C8-11]</w:t>
      </w:r>
      <w:r w:rsidRPr="00A36EA6">
        <w:rPr>
          <w:rFonts w:ascii="Arial" w:hAnsi="Arial" w:cs="Arial"/>
        </w:rPr>
        <w:tab/>
        <w:t>5G PPP: Phase 1 Security Landscape, https://5g-ppp.eu/white-papers/.</w:t>
      </w:r>
    </w:p>
    <w:p w14:paraId="1D8FA172" w14:textId="77777777" w:rsidR="00A36EA6" w:rsidRPr="00A36EA6" w:rsidRDefault="00A36EA6" w:rsidP="008059BC">
      <w:pPr>
        <w:spacing w:after="120" w:line="240" w:lineRule="auto"/>
        <w:ind w:left="993" w:hanging="993"/>
        <w:jc w:val="both"/>
        <w:rPr>
          <w:rFonts w:ascii="Arial" w:hAnsi="Arial" w:cs="Arial"/>
        </w:rPr>
      </w:pPr>
      <w:r w:rsidRPr="00A36EA6">
        <w:rPr>
          <w:rFonts w:ascii="Arial" w:hAnsi="Arial" w:cs="Arial"/>
        </w:rPr>
        <w:t>[C8-12]</w:t>
      </w:r>
      <w:r w:rsidRPr="00A36EA6">
        <w:rPr>
          <w:rFonts w:ascii="Arial" w:hAnsi="Arial" w:cs="Arial"/>
        </w:rPr>
        <w:tab/>
        <w:t>Scott-Hayward, S., Natarajan, S., &amp; Sezer, S.: (2016). A Survey of Security in Software Defined Networks, IEEE Communications Surveys and Tutorials.</w:t>
      </w:r>
    </w:p>
    <w:p w14:paraId="56D7C87B" w14:textId="5828716E" w:rsidR="00A36EA6" w:rsidRDefault="00A36EA6" w:rsidP="008059BC">
      <w:pPr>
        <w:spacing w:after="120" w:line="240" w:lineRule="auto"/>
        <w:ind w:left="993" w:hanging="993"/>
        <w:jc w:val="both"/>
        <w:rPr>
          <w:rFonts w:ascii="Arial" w:hAnsi="Arial" w:cs="Arial"/>
        </w:rPr>
      </w:pPr>
      <w:r w:rsidRPr="00A36EA6">
        <w:rPr>
          <w:rFonts w:ascii="Arial" w:hAnsi="Arial" w:cs="Arial"/>
          <w:lang w:val="fi-FI"/>
        </w:rPr>
        <w:lastRenderedPageBreak/>
        <w:t>[C8-13]</w:t>
      </w:r>
      <w:r w:rsidRPr="00A36EA6">
        <w:rPr>
          <w:rFonts w:ascii="Arial" w:hAnsi="Arial" w:cs="Arial"/>
          <w:lang w:val="fi-FI"/>
        </w:rPr>
        <w:tab/>
        <w:t xml:space="preserve">Olli Mämmelä, Jouni Hiltunen, Jani Suomalainen, Kimmo Ahola, Petteri Mannersalo, Janne Vehkaperä: ”Towards Micro-Segmentation in 5G Network Security”. </w:t>
      </w:r>
      <w:r w:rsidRPr="00A36EA6">
        <w:rPr>
          <w:rFonts w:ascii="Arial" w:hAnsi="Arial" w:cs="Arial"/>
        </w:rPr>
        <w:t>EuCNC 2016.</w:t>
      </w:r>
    </w:p>
    <w:p w14:paraId="18EE950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[C9-0]</w:t>
      </w:r>
      <w:r w:rsidRPr="0035517D">
        <w:rPr>
          <w:rFonts w:ascii="Arial" w:hAnsi="Arial" w:cs="Arial"/>
        </w:rPr>
        <w:tab/>
        <w:t>I. F. Akyildiz and A. Kak, "The Internet of Space Things/CubeSats," in IEEE Network, vol. 33, no. 5, pp. 212-218, Sept.-Oct. 2019, doi: 10.1109/MNET.2019.1800445.</w:t>
      </w:r>
    </w:p>
    <w:p w14:paraId="13D6D7A0" w14:textId="77777777" w:rsidR="0035517D" w:rsidRPr="0035517D" w:rsidRDefault="0035517D" w:rsidP="008059BC">
      <w:pPr>
        <w:spacing w:after="120" w:line="240" w:lineRule="auto"/>
        <w:ind w:left="993" w:hanging="993"/>
        <w:jc w:val="both"/>
        <w:rPr>
          <w:rFonts w:ascii="Arial" w:hAnsi="Arial" w:cs="Arial"/>
          <w:lang w:val="fi-FI"/>
        </w:rPr>
      </w:pPr>
      <w:r w:rsidRPr="0035517D">
        <w:rPr>
          <w:rFonts w:ascii="Arial" w:hAnsi="Arial" w:cs="Arial"/>
        </w:rPr>
        <w:t>[C9-1]</w:t>
      </w:r>
      <w:r w:rsidRPr="0035517D">
        <w:rPr>
          <w:rFonts w:ascii="Arial" w:hAnsi="Arial" w:cs="Arial"/>
        </w:rPr>
        <w:tab/>
        <w:t xml:space="preserve">S. C. Burleigh, T. De Cola, S. Morosi, S. Jayousi, E. Cianca, and C. Fuchs, “From Connectivity to Advanced Internet Services: A Comprehensive Review of Small Satellites Communications and Networks,” Wireless Communications and Mobile Computing, vol.2019, pp.1–17, may2019. </w:t>
      </w:r>
      <w:r w:rsidRPr="0035517D">
        <w:rPr>
          <w:rFonts w:ascii="Arial" w:hAnsi="Arial" w:cs="Arial"/>
          <w:lang w:val="fi-FI"/>
        </w:rPr>
        <w:t>[Online]. Available:https://www.hindawi.com/journals/wcmc/2019/6243505.</w:t>
      </w:r>
    </w:p>
    <w:p w14:paraId="341AD89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lang w:val="fi-FI"/>
        </w:rPr>
        <w:t>[C9-2]</w:t>
      </w:r>
      <w:r w:rsidRPr="0035517D">
        <w:rPr>
          <w:rFonts w:ascii="Arial" w:hAnsi="Arial" w:cs="Arial"/>
          <w:lang w:val="fi-FI"/>
        </w:rPr>
        <w:tab/>
        <w:t xml:space="preserve">A. Anttonen, P. Ruska, M. Kiviranta. </w:t>
      </w:r>
      <w:r w:rsidRPr="0035517D">
        <w:rPr>
          <w:rFonts w:ascii="Arial" w:hAnsi="Arial" w:cs="Arial"/>
        </w:rPr>
        <w:t>3GPP non-terrestrial networks: a concise review and look ahead. VTT Research Report nr. VTT-R-00079-19. 01.01.2019. Available at https://cris.vtt.fi/en/publications/3gpp-nonterrestrial-networks-a-concise-review-and-look-ahead.</w:t>
      </w:r>
    </w:p>
    <w:p w14:paraId="04F2D21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[C9-3]</w:t>
      </w:r>
      <w:r w:rsidRPr="0035517D">
        <w:rPr>
          <w:rFonts w:ascii="Arial" w:hAnsi="Arial" w:cs="Arial"/>
        </w:rPr>
        <w:tab/>
        <w:t>Y. Wang, J. Yang, X. Guo, and Z. Qu, “Satellite Edge Computing for the Internet of Things in Aerospace,” Sensors, vol. 19, no. 20, p. 4375, oct 2019. [Online]. Available: https://www.mdpi.com/1424-8220/19/20/4375</w:t>
      </w:r>
    </w:p>
    <w:p w14:paraId="7271DA7F"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[C9-4]</w:t>
      </w:r>
      <w:r w:rsidRPr="0035517D">
        <w:rPr>
          <w:rFonts w:ascii="Arial" w:hAnsi="Arial" w:cs="Arial"/>
        </w:rPr>
        <w:tab/>
        <w:t>V. Cerf, S. Burleigh, A. Hooke, R. Durst, K. Scott, K. Fall, H. Weiss. Delay Tolerant Networking Architecture. RFC 4838 (Informational). April 2007.</w:t>
      </w:r>
    </w:p>
    <w:p w14:paraId="14D831C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[C9-5]</w:t>
      </w:r>
      <w:r w:rsidRPr="0035517D">
        <w:rPr>
          <w:rFonts w:ascii="Arial" w:hAnsi="Arial" w:cs="Arial"/>
        </w:rPr>
        <w:tab/>
        <w:t xml:space="preserve">Satellite interference... Have we fixed the problem? http://www.satmagazine.com/story.php?number=1624153681 Retrieved November 2019. </w:t>
      </w:r>
    </w:p>
    <w:p w14:paraId="44FB3C18"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[C9-6]</w:t>
      </w:r>
      <w:r w:rsidRPr="0035517D">
        <w:rPr>
          <w:rFonts w:ascii="Arial" w:hAnsi="Arial" w:cs="Arial"/>
        </w:rPr>
        <w:tab/>
        <w:t>Sreeraj Rajendran, Wannes Meert, Vincent Lenders, Sofie Pollin: Unsupervised Wireless Spectrum Anomaly Detection With Interpretable Features. IEEE Trans. Cogn. Comm. &amp; Networking 5(3): 637-647 (2019).</w:t>
      </w:r>
    </w:p>
    <w:p w14:paraId="753D4E84"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[C9-7]</w:t>
      </w:r>
      <w:r w:rsidRPr="0035517D">
        <w:rPr>
          <w:rFonts w:ascii="Arial" w:hAnsi="Arial" w:cs="Arial"/>
        </w:rPr>
        <w:tab/>
        <w:t>M. Á. Vázquez, P. Henarejos, J. C. Gil, I. Parparaldo, A. Pérez-Neira, Artificial Intelligence for SATCOM operations, in Proceedings of SpaceOps Operation 22-25 May 2020, Cape Town (South Africa).</w:t>
      </w:r>
    </w:p>
    <w:p w14:paraId="4BFA0A1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[C9-8]</w:t>
      </w:r>
      <w:r w:rsidRPr="0035517D">
        <w:rPr>
          <w:rFonts w:ascii="Arial" w:hAnsi="Arial" w:cs="Arial"/>
        </w:rPr>
        <w:tab/>
        <w:t>M. Á. Vázquez, P. Henarejos, A. Pérez-Neira, E. Grechi, A. Voight, J. C. Gil, I. Pappalardo,  On the use of AI for satellite communications, IEEE SSC Newsletter December 2019.</w:t>
      </w:r>
    </w:p>
    <w:p w14:paraId="526158F0"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[C9-10]</w:t>
      </w:r>
      <w:r w:rsidRPr="0035517D">
        <w:rPr>
          <w:rFonts w:ascii="Arial" w:hAnsi="Arial" w:cs="Arial"/>
        </w:rPr>
        <w:tab/>
        <w:t>Yoshua Bengio, Andrea Lodi, Antoine Prouvost: Machine Learning for Combinatorial Optimization: a Methodological Tour d'Horizon. CoRR abs/1811.06128 (2018)</w:t>
      </w:r>
    </w:p>
    <w:p w14:paraId="7B9DC773"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[C9-11]</w:t>
      </w:r>
      <w:r w:rsidRPr="0035517D">
        <w:rPr>
          <w:rFonts w:ascii="Arial" w:hAnsi="Arial" w:cs="Arial"/>
        </w:rPr>
        <w:tab/>
        <w:t>Björnson, E., &amp; Giselsson, P. (2020). Two Applications of Deep Learning in the Physical Layer of Communication Systems. arXiv preprint arXiv:2001.03350.</w:t>
      </w:r>
    </w:p>
    <w:p w14:paraId="6EF985EE"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[C9-12]</w:t>
      </w:r>
      <w:r w:rsidRPr="0035517D">
        <w:rPr>
          <w:rFonts w:ascii="Arial" w:hAnsi="Arial" w:cs="Arial"/>
        </w:rPr>
        <w:tab/>
        <w:t>Networld2020 “SatCom Resources for Smart and Sustainable Networks and Services” Nov. 2019, available at https://www.networld2020.eu/wp-content/uploads/2019/11/satcom-ss-whitepaper_v1_final.pdf</w:t>
      </w:r>
    </w:p>
    <w:p w14:paraId="7593DEB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[C9-13]</w:t>
      </w:r>
      <w:r w:rsidRPr="0035517D">
        <w:rPr>
          <w:rFonts w:ascii="Arial" w:hAnsi="Arial" w:cs="Arial"/>
        </w:rPr>
        <w:tab/>
        <w:t>A. Vanelli-Coralli, G. E. Corazza, M. Luglio and S. Cioni, "The ISICOM Architecture," 2009 International Workshop on Satellite and Space Communications, Tuscany, 2009, pp. 104-108, doi: 10.1109/IWSSC.2009.5286409.</w:t>
      </w:r>
    </w:p>
    <w:p w14:paraId="44D4EC6D" w14:textId="77777777" w:rsidR="0035517D" w:rsidRPr="0035517D" w:rsidRDefault="0035517D" w:rsidP="008059BC">
      <w:pPr>
        <w:spacing w:after="120" w:line="240" w:lineRule="auto"/>
        <w:ind w:left="993" w:hanging="993"/>
        <w:jc w:val="both"/>
        <w:rPr>
          <w:rFonts w:ascii="Arial" w:hAnsi="Arial" w:cs="Arial"/>
        </w:rPr>
      </w:pPr>
      <w:r w:rsidRPr="0035517D">
        <w:rPr>
          <w:rFonts w:ascii="Arial" w:hAnsi="Arial" w:cs="Arial"/>
        </w:rPr>
        <w:t>[C9-14]</w:t>
      </w:r>
      <w:r w:rsidRPr="0035517D">
        <w:rPr>
          <w:rFonts w:ascii="Arial" w:hAnsi="Arial" w:cs="Arial"/>
        </w:rPr>
        <w:tab/>
        <w:t>IEEE Future Networks Initiative, “International Network Generations Roadmap (INGR), An IEEE 5G and Beyond Technology Roadmap - Satellite,” 2019. [Online]. Available: https://futurenetworks.ieee.org/roadmap.</w:t>
      </w:r>
    </w:p>
    <w:p w14:paraId="22946905" w14:textId="7ABADB39" w:rsidR="0035517D" w:rsidRDefault="0035517D" w:rsidP="008059BC">
      <w:pPr>
        <w:spacing w:after="120" w:line="240" w:lineRule="auto"/>
        <w:ind w:left="993" w:hanging="993"/>
        <w:jc w:val="both"/>
        <w:rPr>
          <w:rFonts w:ascii="Arial" w:hAnsi="Arial" w:cs="Arial"/>
        </w:rPr>
      </w:pPr>
      <w:r w:rsidRPr="0035517D">
        <w:rPr>
          <w:rFonts w:ascii="Arial" w:hAnsi="Arial" w:cs="Arial"/>
        </w:rPr>
        <w:lastRenderedPageBreak/>
        <w:t xml:space="preserve">[C9-15] </w:t>
      </w:r>
      <w:r w:rsidRPr="0035517D">
        <w:rPr>
          <w:rFonts w:ascii="Arial" w:hAnsi="Arial" w:cs="Arial"/>
        </w:rPr>
        <w:tab/>
        <w:t>C. A. Hofmann and A. Knopp, "Ultranarrowband Waveform for IoT Direct Random Multiple Access to GEO Satellites," in IEEE Internet of Things Journal, vol. 6, no. 6, pp. 10134-10149, Dec. 2019</w:t>
      </w:r>
    </w:p>
    <w:p w14:paraId="7670899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[C10-1]</w:t>
      </w:r>
      <w:r w:rsidRPr="008059BC">
        <w:rPr>
          <w:rFonts w:ascii="Arial" w:hAnsi="Arial" w:cs="Arial"/>
        </w:rPr>
        <w:tab/>
        <w:t>T. S. Rappaport, Y. Xing, O. Kanhere, S. Ju, A. Madanayake, S. Mandal, A. Alkhateeb, and G. C. Trichopoulos, “Wireless Communications and Applications Above 100 GHz: Opportunities and Challenges for 6G and Beyond,” IEEE Access, vol. 7, pp. 78729–78757, 2019.</w:t>
      </w:r>
    </w:p>
    <w:p w14:paraId="565B3953"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w:t>
      </w:r>
      <w:r w:rsidRPr="008059BC">
        <w:rPr>
          <w:rFonts w:ascii="Arial" w:hAnsi="Arial" w:cs="Arial"/>
        </w:rPr>
        <w:tab/>
        <w:t>J.-B. Dore, Y. Corre, S. Bicais, J. Palicot, E. Faussurier, D. Kt´</w:t>
      </w:r>
      <w:r w:rsidRPr="008059BC">
        <w:rPr>
          <w:rFonts w:ascii="Arial" w:hAnsi="Arial" w:cs="Arial"/>
        </w:rPr>
        <w:tab/>
        <w:t>enas,´ and F. Bader, “Above-90GHz Spectrum and Single-Carrier Waveform as Enablers for Efficient Tbit/s Wireless Communications,” in 25th International Conference on Telecommunications (ICT’2018), SaintMalo, France, Jun. 2018.</w:t>
      </w:r>
    </w:p>
    <w:p w14:paraId="04B30C7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w:t>
      </w:r>
      <w:r w:rsidRPr="008059BC">
        <w:rPr>
          <w:rFonts w:ascii="Arial" w:hAnsi="Arial" w:cs="Arial"/>
        </w:rPr>
        <w:tab/>
        <w:t>S. Bicaïs and J.-B. Dore, “Phase Noise Model Selection for Sub-THz Communications,” in 2019 IEEE Global Communication Conference (GLOBECOM), December 2019.</w:t>
      </w:r>
    </w:p>
    <w:p w14:paraId="63F290A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w:t>
      </w:r>
      <w:r w:rsidRPr="008059BC">
        <w:rPr>
          <w:rFonts w:ascii="Arial" w:hAnsi="Arial" w:cs="Arial"/>
        </w:rPr>
        <w:tab/>
        <w:t>S. Bicaïs, J.-B. Dore, G. Gougeon, and Y. Corre, “Optimized Single Carrier Transceiver for Future Sub-TeraHertz Applications” , in International Conference on Acoustics, Speech and Signal Processing (ICASSP), May 2020.</w:t>
      </w:r>
    </w:p>
    <w:p w14:paraId="6BA4BC9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[C10-5]</w:t>
      </w:r>
      <w:r w:rsidRPr="008059BC">
        <w:rPr>
          <w:rFonts w:ascii="Arial" w:hAnsi="Arial" w:cs="Arial"/>
        </w:rPr>
        <w:tab/>
        <w:t>“IEEE standard for high data rate wireless multi-media networks– amendment 2: 100 Gb/s wireless switched point-to-point physical layer,” IEEE Std 802.15.3d-2017 (Amendment to IEEE Std 802.15.3-2016 as amended by IEEE Std 802.15.3e-2017), pp. 1–55, Oct 2017.</w:t>
      </w:r>
    </w:p>
    <w:p w14:paraId="29E50B1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[C10-6]</w:t>
      </w:r>
      <w:r w:rsidRPr="008059BC">
        <w:rPr>
          <w:rFonts w:ascii="Arial" w:hAnsi="Arial" w:cs="Arial"/>
        </w:rPr>
        <w:tab/>
        <w:t>M. Saad, F. Bader, J. Palicot, A. C. A. Ghouwayel, and H. Hijazi, “Single carrier with index modulation for low power terabit systems”, in 2019 IEEE Wireless Communications and Networking Conference (WCNC), April 2019, pp. 1–7.</w:t>
      </w:r>
    </w:p>
    <w:p w14:paraId="52E61C7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[C10-7] </w:t>
      </w:r>
      <w:r w:rsidRPr="008059BC">
        <w:rPr>
          <w:rFonts w:ascii="Arial" w:hAnsi="Arial" w:cs="Arial"/>
        </w:rPr>
        <w:tab/>
        <w:t>NEREID Roadmap: https://www.nereid-h2020.eu/roadmap</w:t>
      </w:r>
    </w:p>
    <w:p w14:paraId="60DF995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[C10-8] </w:t>
      </w:r>
      <w:r w:rsidRPr="008059BC">
        <w:rPr>
          <w:rFonts w:ascii="Arial" w:hAnsi="Arial" w:cs="Arial"/>
        </w:rPr>
        <w:tab/>
        <w:t>Simoens F., Meilhan J., Nicolas J.-A., “Terahertz Real-Time Imaging Uncooled Arrays Based on Antenna-Coupled Bolometers or FET Developed at CEA-LETI”, J. Infrared, Millimeter, Terahertz Waves. 2015; 36:961–985. doi: 10.1007/s10762-015-0197-x</w:t>
      </w:r>
    </w:p>
    <w:p w14:paraId="7D096AD9"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[C10-9] </w:t>
      </w:r>
      <w:r w:rsidRPr="008059BC">
        <w:rPr>
          <w:rFonts w:ascii="Arial" w:hAnsi="Arial" w:cs="Arial"/>
        </w:rPr>
        <w:tab/>
        <w:t>A. Visweswaran, K. Vaesen, S. Sinha, I. Ocket, M. Glassee, C. Desset, A. Bourdoux, and P. Wambacq, “A 145GHz FMCW Radar Transceiver in 28nm CMOS”, in 2019 IEEE International Solid- State Circuits Conference - (ISSCC).</w:t>
      </w:r>
    </w:p>
    <w:p w14:paraId="6D55106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[C10-10] </w:t>
      </w:r>
      <w:r w:rsidRPr="008059BC">
        <w:rPr>
          <w:rFonts w:ascii="Arial" w:hAnsi="Arial" w:cs="Arial"/>
        </w:rPr>
        <w:tab/>
        <w:t>PA survey: https://gems.ece.gatech.edu/PA_survey.html</w:t>
      </w:r>
    </w:p>
    <w:p w14:paraId="736305C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[C10-11] </w:t>
      </w:r>
      <w:r w:rsidRPr="008059BC">
        <w:rPr>
          <w:rFonts w:ascii="Arial" w:hAnsi="Arial" w:cs="Arial"/>
        </w:rPr>
        <w:tab/>
        <w:t>DOTSEVEN European project: http://www.dotseven.eu</w:t>
      </w:r>
    </w:p>
    <w:p w14:paraId="38E16C59"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[C10-12] </w:t>
      </w:r>
      <w:r w:rsidRPr="008059BC">
        <w:rPr>
          <w:rFonts w:ascii="Arial" w:hAnsi="Arial" w:cs="Arial"/>
        </w:rPr>
        <w:tab/>
        <w:t>P. Chevalier et al., “A 55 nm triple gate oxide 9 metal layers SiGe BiCMOS technology featuring 320 GHz fT / 370 GHz fMAX HBT and high-Q millimeter-wave passives”, in 2014 IEEE International Electron Devices Meeting (IEDM).</w:t>
      </w:r>
    </w:p>
    <w:p w14:paraId="3B06701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[C10-13] </w:t>
      </w:r>
      <w:r w:rsidRPr="008059BC">
        <w:rPr>
          <w:rFonts w:ascii="Arial" w:hAnsi="Arial" w:cs="Arial"/>
        </w:rPr>
        <w:tab/>
        <w:t xml:space="preserve">A. Vais et al., ”First demonstration of III-V HBTs on 300 mm Si substrates using nano-ridge engineering », in 2019 IEEE International Electron Devices Meeting (IEDM). </w:t>
      </w:r>
    </w:p>
    <w:p w14:paraId="01061EE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[C10-14] </w:t>
      </w:r>
      <w:r w:rsidRPr="008059BC">
        <w:rPr>
          <w:rFonts w:ascii="Arial" w:hAnsi="Arial" w:cs="Arial"/>
        </w:rPr>
        <w:tab/>
        <w:t>M. Schroter et al., “Physical and Electrical Performance Limits of High-Speed SiGeC HBTs—Part I: Vertical Scaling”, IEEE Trans. Electron Devices, Vol. 58, No. 11, Nov. 2011.</w:t>
      </w:r>
    </w:p>
    <w:p w14:paraId="62DD79B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[C10-15] </w:t>
      </w:r>
      <w:r w:rsidRPr="008059BC">
        <w:rPr>
          <w:rFonts w:ascii="Arial" w:hAnsi="Arial" w:cs="Arial"/>
        </w:rPr>
        <w:tab/>
        <w:t>U. Peralagu, “CMOS-compatible GaN-based devices on 200mm-Si for RF applications: Integration and Performance”, in 2019 IEEE International Electron Devices Meeting (IEDM).</w:t>
      </w:r>
    </w:p>
    <w:p w14:paraId="6594030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 xml:space="preserve">[C10-16] </w:t>
      </w:r>
      <w:r w:rsidRPr="008059BC">
        <w:rPr>
          <w:rFonts w:ascii="Arial" w:hAnsi="Arial" w:cs="Arial"/>
        </w:rPr>
        <w:tab/>
        <w:t>P. Weckx et al., “Novel forksheet device architecture as ultimate logic scaling device towards 2nm”, in 2019 IEEE International Electron Devices Meeting (IEDM).</w:t>
      </w:r>
    </w:p>
    <w:p w14:paraId="7A441D45"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[C10-17] </w:t>
      </w:r>
      <w:r w:rsidRPr="008059BC">
        <w:rPr>
          <w:rFonts w:ascii="Arial" w:hAnsi="Arial" w:cs="Arial"/>
        </w:rPr>
        <w:tab/>
        <w:t>P. Huang, P. Mercier, “A 220μW -85dBm Sensitivity BLE-Compliant Wake-up Receiver Achieving -60dB SIR via Single-Die Multi- Channel FBAR-Based Filtering and a 4-Dimentional Wake-Up Signature,” IEEE ISSCC, 2019.</w:t>
      </w:r>
    </w:p>
    <w:p w14:paraId="2223CD1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[C10-18] </w:t>
      </w:r>
      <w:r w:rsidRPr="008059BC">
        <w:rPr>
          <w:rFonts w:ascii="Arial" w:hAnsi="Arial" w:cs="Arial"/>
        </w:rPr>
        <w:tab/>
        <w:t>S. Denis, R.Berkvens, M.Weyn, “A Survey on Detection, Tracking and Identification in Radio Frequency-Based Device-Free Localization”, Special Issue Surveys of Sensor Networks and Sensor Systems Deployments, December 2019</w:t>
      </w:r>
    </w:p>
    <w:p w14:paraId="527FA9E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[C10-19]  </w:t>
      </w:r>
      <w:r w:rsidRPr="008059BC">
        <w:rPr>
          <w:rFonts w:ascii="Arial" w:hAnsi="Arial" w:cs="Arial"/>
        </w:rPr>
        <w:tab/>
        <w:t>P.  Zand,  J.  Romme,  J.  Govers,  F.  Pasveer,  and  G.  Dolmans,  “A  High-Accuracy  Phase-Based  Ranging  Solution  with  Bluetooth  Low  Energy (BLE),” in WCNC, 2019</w:t>
      </w:r>
    </w:p>
    <w:p w14:paraId="06A68FE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[C10-20] </w:t>
      </w:r>
      <w:r w:rsidRPr="008059BC">
        <w:rPr>
          <w:rFonts w:ascii="Arial" w:hAnsi="Arial" w:cs="Arial"/>
        </w:rPr>
        <w:tab/>
        <w:t>Boer, J. Romme, J. Govers, and G. Dolmans, “Performance of High-Accuracy  Phase-Based  Ranging  in  Multipath  Environments,”  in 91th IEEE Vehicular Technology Conference, VTC Spring 2020, Antwerp, Belgium, May 25-28, 2020.</w:t>
      </w:r>
    </w:p>
    <w:p w14:paraId="3EEBBAEE"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[C10-21] </w:t>
      </w:r>
      <w:r w:rsidRPr="008059BC">
        <w:rPr>
          <w:rFonts w:ascii="Arial" w:hAnsi="Arial" w:cs="Arial"/>
        </w:rPr>
        <w:tab/>
        <w:t>D. Vasisht, S.Kumar, D.Katabi, ”Decimeter-level localization with a single Wi-Fi access point”, NSDI'16: Proceedings of the 13th Usenix Conference on Networked Systems Design and Implementation, March 2016, Pages 165–178</w:t>
      </w:r>
    </w:p>
    <w:p w14:paraId="746F1BC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[C10-22] </w:t>
      </w:r>
      <w:r w:rsidRPr="008059BC">
        <w:rPr>
          <w:rFonts w:ascii="Arial" w:hAnsi="Arial" w:cs="Arial"/>
        </w:rPr>
        <w:tab/>
        <w:t>E. Bechthum, J. Dijkhuis, M. Ding, Y. He, J. Van den Heuvel, P. Mateman, G-J. van Schaik, K. Shibata, M. Song, E. Tiurin, S. Traferro, Y-H. Liu, C. Bachmann,”A Low-Power BLE Transceiver with Support for Phase-Based Ranging, Featuring 5µs PLL Locking Time and 5.3ms Ranging Time, Enabled by Staircase-Chirp PLL with Sticky-Lock Channel-Switching” IEEE INTERNATIONAL SOLID-STATE CIRCUITS CONFERENCE, ISSCC 2020, San Francisco</w:t>
      </w:r>
    </w:p>
    <w:p w14:paraId="6589303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[C10-23] </w:t>
      </w:r>
      <w:r w:rsidRPr="008059BC">
        <w:rPr>
          <w:rFonts w:ascii="Arial" w:hAnsi="Arial" w:cs="Arial"/>
        </w:rPr>
        <w:tab/>
        <w:t>R. Al Hadi, H. Sherry, J. Grzyb, Y. Zhao, W. Forster, H. M. Keller, A. Cathelin, A. Kaiser, and U. R. Pfeiffer. “A 1 k-pixel video camera for 0.7-1.1 terahertz imaging applications in 65-nm CMOS”. In: IEEE J. Solid-State Circuits 47.12 (Dec. 2012), pp. 2999–3012.</w:t>
      </w:r>
    </w:p>
    <w:p w14:paraId="5B0B1A6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[C10-24]</w:t>
      </w:r>
      <w:r w:rsidRPr="008059BC">
        <w:rPr>
          <w:rFonts w:ascii="Arial" w:hAnsi="Arial" w:cs="Arial"/>
        </w:rPr>
        <w:tab/>
        <w:t>Zheludev, N. I.; Kivshar, Y. S. From metamaterials to metadevices. Nat. Mater. 2012, 11, 917–924.</w:t>
      </w:r>
    </w:p>
    <w:p w14:paraId="540191C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[C10-25]</w:t>
      </w:r>
      <w:r w:rsidRPr="008059BC">
        <w:rPr>
          <w:rFonts w:ascii="Arial" w:hAnsi="Arial" w:cs="Arial"/>
        </w:rPr>
        <w:tab/>
        <w:t>Silva, A.; Monticone, F.; Castaldi, G.; Galdi, V.; Alù, A. &amp; Engheta, N. Performing mathematical operations with metamaterials. Science 2014, 343(6167), 160-163.</w:t>
      </w:r>
    </w:p>
    <w:p w14:paraId="5B425263"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[C10-26]</w:t>
      </w:r>
      <w:r w:rsidRPr="008059BC">
        <w:rPr>
          <w:rFonts w:ascii="Arial" w:hAnsi="Arial" w:cs="Arial"/>
        </w:rPr>
        <w:tab/>
        <w:t>Zhang, L.; Chen, X. Q.; Liu, S.; Zhang, Q.; Zhao, J.; Dai, J. Y.; Galdi, V. Space-time-coding digital metasurfaces. Nature communications 2018, 9(1), 4334.</w:t>
      </w:r>
    </w:p>
    <w:p w14:paraId="1A5F8AA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[C10-27]</w:t>
      </w:r>
      <w:r w:rsidRPr="008059BC">
        <w:rPr>
          <w:rFonts w:ascii="Arial" w:hAnsi="Arial" w:cs="Arial"/>
        </w:rPr>
        <w:tab/>
        <w:t>C.Y. Wu et.al., “Distributed antenna system using sigma-delta intermediate frequency over fiber for frequency bands above 24GHz”, Journal of Lightwave Technology, Feb. 2020.</w:t>
      </w:r>
    </w:p>
    <w:p w14:paraId="5E576868"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[C10-28]</w:t>
      </w:r>
      <w:r w:rsidRPr="008059BC">
        <w:rPr>
          <w:rFonts w:ascii="Arial" w:hAnsi="Arial" w:cs="Arial"/>
        </w:rPr>
        <w:tab/>
        <w:t>H. Ramon, et.al., “A 700mW 4-to-1 SiGe BiCMOS 100GS/s analog time-interleaver”, International Solid-State Circuits Conference (ISSCC), San Francisco, Feb. 2020.</w:t>
      </w:r>
    </w:p>
    <w:p w14:paraId="5A4D5704"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[C10-29]</w:t>
      </w:r>
      <w:r w:rsidRPr="008059BC">
        <w:rPr>
          <w:rFonts w:ascii="Arial" w:hAnsi="Arial" w:cs="Arial"/>
        </w:rPr>
        <w:tab/>
        <w:t>S. Ummethala et al., "Capacitively Coupled Silicon-Organic Hybrid Modulator for 200 Gbit/s PAM-4 Signaling," in Proc. of  CLEO: Applications and Technology 2019 (Post Deadline Session), San Jose, CA, US, May 2019</w:t>
      </w:r>
    </w:p>
    <w:p w14:paraId="64100A3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[C10-30]</w:t>
      </w:r>
      <w:r w:rsidRPr="008059BC">
        <w:rPr>
          <w:rFonts w:ascii="Arial" w:hAnsi="Arial" w:cs="Arial"/>
        </w:rPr>
        <w:tab/>
        <w:t>F. Eltes et al., "A BaTiO3-Based Electro-Optic Pockels Modulator Monolithically Integrated on an Advanced Silicon Photonics Platform," Journal of Lightwave Technology, vol. 37 , no. 5, pp. 1456 - 1462, Mar. 2019</w:t>
      </w:r>
    </w:p>
    <w:p w14:paraId="5665EBE7"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[C10-31]</w:t>
      </w:r>
      <w:r w:rsidRPr="008059BC">
        <w:rPr>
          <w:rFonts w:ascii="Arial" w:hAnsi="Arial" w:cs="Arial"/>
        </w:rPr>
        <w:tab/>
        <w:t>M. He et al., "High-performance hybrid silicon and lithium niobate Mach–Zehnder modulators for 100 Gbit s−1 and beyond," Nature Photonics, vol. 13, pp. 359–364, Mar. 2019</w:t>
      </w:r>
    </w:p>
    <w:p w14:paraId="1F17CEA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[C10-32]</w:t>
      </w:r>
      <w:r w:rsidRPr="008059BC">
        <w:rPr>
          <w:rFonts w:ascii="Arial" w:hAnsi="Arial" w:cs="Arial"/>
        </w:rPr>
        <w:tab/>
        <w:t>U. Koch et al., “Monolithic High-Speed Transmitter Enabled by Bicmos-Plasmonic Platform” ECOC 2019, PD.1.4, Sep. 2019.</w:t>
      </w:r>
    </w:p>
    <w:p w14:paraId="6F60301D"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[C10-33]</w:t>
      </w:r>
      <w:r w:rsidRPr="008059BC">
        <w:rPr>
          <w:rFonts w:ascii="Arial" w:hAnsi="Arial" w:cs="Arial"/>
        </w:rPr>
        <w:tab/>
        <w:t>A. H. Atabaki et al., “Integrating photonics with silicon nanoelectronics for the next generation of systems on a chip”, Nature, vol. 556: no. 7701, pp. 349-354, June 2018.</w:t>
      </w:r>
    </w:p>
    <w:p w14:paraId="5822B900"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 [C10-34]</w:t>
      </w:r>
      <w:r w:rsidRPr="008059BC">
        <w:rPr>
          <w:rFonts w:ascii="Arial" w:hAnsi="Arial" w:cs="Arial"/>
        </w:rPr>
        <w:tab/>
        <w:t>J. Verbist et al., “Real-time 100 Gb/s NRZ and EDB transmission with a GeSi electroabsorption modulator for short-reach optical interconnects,” J. Lightw. Technol., vol. 36, no. 1, pp. 90–96, Jan. 2018.</w:t>
      </w:r>
    </w:p>
    <w:p w14:paraId="47202791"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[C10-35]</w:t>
      </w:r>
      <w:r w:rsidRPr="008059BC">
        <w:rPr>
          <w:rFonts w:ascii="Arial" w:hAnsi="Arial" w:cs="Arial"/>
        </w:rPr>
        <w:tab/>
        <w:t>P. W. Juodalkis, et.al., “Optically sampled analog-to-digital converters”, IEEE Trans. Microwave Theory and Techniques, vol. 49, Oct. 2001.</w:t>
      </w:r>
    </w:p>
    <w:p w14:paraId="379AB51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[C10-36] </w:t>
      </w:r>
      <w:r w:rsidRPr="008059BC">
        <w:rPr>
          <w:rFonts w:ascii="Arial" w:hAnsi="Arial" w:cs="Arial"/>
        </w:rPr>
        <w:tab/>
        <w:t>A. Gatherer et al, Academic Press Library in Mobile and Wireless Communications, 2016</w:t>
      </w:r>
    </w:p>
    <w:p w14:paraId="45226E9A"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[C10-37] </w:t>
      </w:r>
      <w:r w:rsidRPr="008059BC">
        <w:rPr>
          <w:rFonts w:ascii="Arial" w:hAnsi="Arial" w:cs="Arial"/>
        </w:rPr>
        <w:tab/>
        <w:t>T. J. O’Shea, J. Hoydis An Introduction to Deep Learning for the Physical Layer, IEEE Transactions on Cognitive Communications and Networking, 2017, pp 563-575.</w:t>
      </w:r>
    </w:p>
    <w:p w14:paraId="54F9E0B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[C10-38] </w:t>
      </w:r>
      <w:r w:rsidRPr="008059BC">
        <w:rPr>
          <w:rFonts w:ascii="Arial" w:hAnsi="Arial" w:cs="Arial"/>
        </w:rPr>
        <w:tab/>
        <w:t>D. Wu, M. Nekovee, Y. Wang, An Adaptive Deep Learning Algorithm Based Autoencoder for Interference Channel, Proc Second IFIP International Conference on Machine Learning for Networks, MLN2019, Paris December 2019.</w:t>
      </w:r>
    </w:p>
    <w:p w14:paraId="112E8CF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[C10-39] </w:t>
      </w:r>
      <w:r w:rsidRPr="008059BC">
        <w:rPr>
          <w:rFonts w:ascii="Arial" w:hAnsi="Arial" w:cs="Arial"/>
        </w:rPr>
        <w:tab/>
        <w:t>E. Grimaldi, V. Krizakova, G. Sala, F. Yasin, S. Couet, G. Kar, K. Garello, P. Gambardella, “Single shot dynamics of spin-orbit torque and spin transfer torque switching in 3-terminal magnetic tunnel junctions”, Nature Nanotechnology 15, 111 (2020)</w:t>
      </w:r>
    </w:p>
    <w:p w14:paraId="41E3D52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[C10-40] </w:t>
      </w:r>
      <w:r w:rsidRPr="008059BC">
        <w:rPr>
          <w:rFonts w:ascii="Arial" w:hAnsi="Arial" w:cs="Arial"/>
        </w:rPr>
        <w:tab/>
        <w:t>S. Van Beek, B. O’Sullivan, P.J. Roussel, R. Degraeve, E. Bury, J. Swerts, S. Couet, L. Souriau, S. Kundu, S. Rao, W. Kim, F. Yasin, D. Crotti, D. Linten, G. Kar, “Impact of self-heating on reliability predictions in STT-MRAM”, IEDM 2018</w:t>
      </w:r>
    </w:p>
    <w:p w14:paraId="5C75DE36"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[C10-41] </w:t>
      </w:r>
      <w:r w:rsidRPr="008059BC">
        <w:rPr>
          <w:rFonts w:ascii="Arial" w:hAnsi="Arial" w:cs="Arial"/>
        </w:rPr>
        <w:tab/>
        <w:t>K. Garello, F. Yasin, S. Couet, L. Souriau, J. Swerts, S. Rao, S. Van Beek, W. Kim, E. Liu, S. Kundu, D. Tsvetanova, K. Croes, N. Jossart, E. Grimaldi, M. Baumgartner, D. Crotti, A. Furnémont, P. Gambardella, G.S. Kar, “SOT-MRAM 300mm integration for lo power and ultrafast embedded memories”, VLSI 2018</w:t>
      </w:r>
    </w:p>
    <w:p w14:paraId="30DAA6A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[C10-42] </w:t>
      </w:r>
      <w:r w:rsidRPr="008059BC">
        <w:rPr>
          <w:rFonts w:ascii="Arial" w:hAnsi="Arial" w:cs="Arial"/>
        </w:rPr>
        <w:tab/>
        <w:t>Y. C. Wu, W. Kim, K. Garello, F. Yasin, G. Jayakumar, S. Couet, R. Carpenter, S. Kundu, S. Rao, D. Crotti, J. Van Houdt, G. Groeseneken, G. S. Kar, “Deterministic and field-free voltage-controlled MRAM”, VLSI 2020</w:t>
      </w:r>
    </w:p>
    <w:p w14:paraId="4F38BAEC"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[C10-43] </w:t>
      </w:r>
      <w:r w:rsidRPr="008059BC">
        <w:rPr>
          <w:rFonts w:ascii="Arial" w:hAnsi="Arial" w:cs="Arial"/>
        </w:rPr>
        <w:tab/>
        <w:t>R. Delhougne, A. Arreghini, E. Rosseel, A. Hikavyy, E. Vecchio, L. Zhang, M. Pak, L. Nyns, T. Raymaekers, N. Jossart, L. Breuil, S. S. V-Palayam, C.-L. Tan, G. Van den bosch, A. Furnémont, “First demonstration of monocrystalline silicon macaroni channel for 3-D NAND memory devices”, Proc. VLSI Technology Symposium, p. 203 (2018)</w:t>
      </w:r>
    </w:p>
    <w:p w14:paraId="4E67D08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[C10-44] </w:t>
      </w:r>
      <w:r w:rsidRPr="008059BC">
        <w:rPr>
          <w:rFonts w:ascii="Arial" w:hAnsi="Arial" w:cs="Arial"/>
        </w:rPr>
        <w:tab/>
        <w:t>D. Verreck, A. Arreghini, J.P. Bastos, F. Schanovsky, F. Mitterbauer, C. Kernstock, M. Karner, R. Degraeve, G. Van den bosch and A. Furnémont, “Quantitative 3-D Model to Explain Large Single Trap Charge Variability in Vertical NAND Memory”, 2019 International Electron Device Meeting (IEDM) Tech. Dig., p. 755 (2019)</w:t>
      </w:r>
    </w:p>
    <w:p w14:paraId="7FB8320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[C10-45] </w:t>
      </w:r>
      <w:r w:rsidRPr="008059BC">
        <w:rPr>
          <w:rFonts w:ascii="Arial" w:hAnsi="Arial" w:cs="Arial"/>
        </w:rPr>
        <w:tab/>
        <w:t xml:space="preserve">A. H. Du Nguyen, Y. Yu, M. Abu Lebdeh, M. Taouil, S. Hamdioui and F. Catthoor, “Classification of Memory-Centric Computing,” ACM Emerging Technologies in Computing, vol. 16, no. 2, pp. 1-26, 2020. </w:t>
      </w:r>
    </w:p>
    <w:p w14:paraId="5864D01F"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lastRenderedPageBreak/>
        <w:t xml:space="preserve">[C10-46] </w:t>
      </w:r>
      <w:r w:rsidRPr="008059BC">
        <w:rPr>
          <w:rFonts w:ascii="Arial" w:hAnsi="Arial" w:cs="Arial"/>
        </w:rPr>
        <w:tab/>
        <w:t xml:space="preserve">K. Kim, S. Shin and S. Kang, “Stateful logic pipeline architecture,” IEEE International Symposium of Circuits and Systems (ISCAS), pp. 2497-2500, 2011. </w:t>
      </w:r>
    </w:p>
    <w:p w14:paraId="2E91267B"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 xml:space="preserve">[C10-47] </w:t>
      </w:r>
      <w:r w:rsidRPr="008059BC">
        <w:rPr>
          <w:rFonts w:ascii="Arial" w:hAnsi="Arial" w:cs="Arial"/>
        </w:rPr>
        <w:tab/>
        <w:t>L. Xie, A. H. Du Nguyen, J. Yu, A. Kaichouhi, M. Taouil, M. Al-Failakawi and S. Hamdiou, “Scouting logic: A novel memristor-based logic design for resistive computing,” IEEE Computer Society Annual Symposium on VLSI (ISVLSI), pp. 335-340, 2017.</w:t>
      </w:r>
    </w:p>
    <w:p w14:paraId="117E01C5"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[C10-48]</w:t>
      </w:r>
      <w:r w:rsidRPr="008059BC">
        <w:rPr>
          <w:rFonts w:ascii="Arial" w:hAnsi="Arial" w:cs="Arial"/>
        </w:rPr>
        <w:tab/>
        <w:t>NetWorld2020 ETP, “5G: Challenges, research priorities, and recommendations”, White Paper, September 2014. Available online at: https://www.networld2020.eu/.</w:t>
      </w:r>
    </w:p>
    <w:p w14:paraId="2A16A82D" w14:textId="77777777" w:rsidR="008059BC" w:rsidRPr="008059BC" w:rsidRDefault="008059BC" w:rsidP="008059BC">
      <w:pPr>
        <w:spacing w:after="120" w:line="240" w:lineRule="auto"/>
        <w:ind w:left="993" w:hanging="993"/>
        <w:jc w:val="both"/>
        <w:rPr>
          <w:rFonts w:ascii="Arial" w:hAnsi="Arial" w:cs="Arial"/>
        </w:rPr>
      </w:pPr>
      <w:r w:rsidRPr="008059BC">
        <w:rPr>
          <w:rFonts w:ascii="Arial" w:hAnsi="Arial" w:cs="Arial"/>
        </w:rPr>
        <w:t>[C10-49]</w:t>
      </w:r>
      <w:r w:rsidRPr="008059BC">
        <w:rPr>
          <w:rFonts w:ascii="Arial" w:hAnsi="Arial" w:cs="Arial"/>
        </w:rPr>
        <w:tab/>
        <w:t>A. Paverd, M. Völp, F. Brasser, M. Schunter, A.-R. Sadeghi, Asokan, P. Verissimo, A. Steiniger and T. Holz, “Sustainable Security &amp; Safety: Challenges and Opportunities.,” in CERTS 2019; pp. 4:1-4:13, 2019.</w:t>
      </w:r>
    </w:p>
    <w:p w14:paraId="6D790FCB" w14:textId="611A3803" w:rsidR="008059BC" w:rsidRDefault="008059BC" w:rsidP="008059BC">
      <w:pPr>
        <w:spacing w:after="120" w:line="240" w:lineRule="auto"/>
        <w:ind w:left="993" w:hanging="993"/>
        <w:jc w:val="both"/>
        <w:rPr>
          <w:rFonts w:ascii="Arial" w:hAnsi="Arial" w:cs="Arial"/>
        </w:rPr>
      </w:pPr>
      <w:r w:rsidRPr="008059BC">
        <w:rPr>
          <w:rFonts w:ascii="Arial" w:hAnsi="Arial" w:cs="Arial"/>
        </w:rPr>
        <w:t>[C10-50]</w:t>
      </w:r>
      <w:r w:rsidRPr="008059BC">
        <w:rPr>
          <w:rFonts w:ascii="Arial" w:hAnsi="Arial" w:cs="Arial"/>
        </w:rPr>
        <w:tab/>
        <w:t xml:space="preserve">Mirai botnet code. Available online at: </w:t>
      </w:r>
      <w:hyperlink r:id="rId76" w:history="1">
        <w:r w:rsidR="00D27BA3" w:rsidRPr="00B60B04">
          <w:rPr>
            <w:rStyle w:val="Hyperlink"/>
            <w:rFonts w:ascii="Arial" w:hAnsi="Arial" w:cs="Arial"/>
          </w:rPr>
          <w:t>https://github.com/jgamblin/Mirai-Source-Code</w:t>
        </w:r>
      </w:hyperlink>
      <w:r w:rsidRPr="008059BC">
        <w:rPr>
          <w:rFonts w:ascii="Arial" w:hAnsi="Arial" w:cs="Arial"/>
        </w:rPr>
        <w:t>.</w:t>
      </w:r>
    </w:p>
    <w:p w14:paraId="4DA8FC5E"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w:t>
      </w:r>
      <w:r w:rsidRPr="00D27BA3">
        <w:rPr>
          <w:rFonts w:ascii="Arial" w:hAnsi="Arial" w:cs="Arial"/>
        </w:rPr>
        <w:tab/>
        <w:t>D. D. Clark, C. Partridge, J. C. Ramming, J. T. Wroclawski: “A knowledge plane for the internet”. ACM SIGCOMM 2003 conference.</w:t>
      </w:r>
    </w:p>
    <w:p w14:paraId="66E67EE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w:t>
      </w:r>
      <w:r w:rsidRPr="00D27BA3">
        <w:rPr>
          <w:rFonts w:ascii="Arial" w:hAnsi="Arial" w:cs="Arial"/>
        </w:rPr>
        <w:tab/>
        <w:t>Marco Ajmone Marsan, Giuseppe Bianchi, Nicola Blefari Melazzi: Living and Fluid Networks: the way ahead? Computer Communications, to be published.</w:t>
      </w:r>
    </w:p>
    <w:p w14:paraId="339F858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w:t>
      </w:r>
      <w:r w:rsidRPr="00D27BA3">
        <w:rPr>
          <w:rFonts w:ascii="Arial" w:hAnsi="Arial" w:cs="Arial"/>
        </w:rPr>
        <w:tab/>
        <w:t>“Cisco Global Cloud Index: Forecast and Methodology, 2016–2021 White Paper</w:t>
      </w:r>
    </w:p>
    <w:p w14:paraId="09D2D142"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[C11-4]</w:t>
      </w:r>
      <w:r w:rsidRPr="00D27BA3">
        <w:rPr>
          <w:rFonts w:ascii="Arial" w:hAnsi="Arial" w:cs="Arial"/>
        </w:rPr>
        <w:tab/>
        <w:t>Energy and Policy Considerations for Deep Learning in NLP. Emma Strubell, Ananya Ganesh and Andrew McCallum. Annual Meeting of the Association for Computational Linguistics (ACL short). Florence, Italy. July 2019.</w:t>
      </w:r>
    </w:p>
    <w:p w14:paraId="77B28772"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[C11-5]</w:t>
      </w:r>
      <w:r w:rsidRPr="00D27BA3">
        <w:rPr>
          <w:rFonts w:ascii="Arial" w:hAnsi="Arial" w:cs="Arial"/>
        </w:rPr>
        <w:tab/>
        <w:t>I. Akyildiz and J. Jornet: “The Internet of nano-things”. IEEE Wireless Communications, vol. 17, no. 6, pp. 58–63, 2010.</w:t>
      </w:r>
    </w:p>
    <w:p w14:paraId="170322A4"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[C11-6]</w:t>
      </w:r>
      <w:r w:rsidRPr="00D27BA3">
        <w:rPr>
          <w:rFonts w:ascii="Arial" w:hAnsi="Arial" w:cs="Arial"/>
        </w:rPr>
        <w:tab/>
        <w:t>C. Liaskos, A. Tsioliaridou, A. Pitsillides, S. Ioannidis, and I. F. Akyildiz: “Using any Surface to Realize a New Paradigm for Wireless Communications”. Communications of the ACM (to appear), 2018.</w:t>
      </w:r>
    </w:p>
    <w:p w14:paraId="6E54BBB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[C11-7]</w:t>
      </w:r>
      <w:r w:rsidRPr="00D27BA3">
        <w:rPr>
          <w:rFonts w:ascii="Arial" w:hAnsi="Arial" w:cs="Arial"/>
        </w:rPr>
        <w:tab/>
        <w:t>G. Piro, G. Boggia, and L. Grieco: “On the design of an energy-harvesting protocol stack for Body Area Nano-NETworks”. Nano Communication Networks, vol. 6, no. 2, pp. 74–84, 2015.</w:t>
      </w:r>
    </w:p>
    <w:p w14:paraId="43B2B9B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[C11-8]</w:t>
      </w:r>
      <w:r w:rsidRPr="00D27BA3">
        <w:rPr>
          <w:rFonts w:ascii="Arial" w:hAnsi="Arial" w:cs="Arial"/>
        </w:rPr>
        <w:tab/>
        <w:t>C. Liaskos et al: “Design and Development of Software Defined Metamaterials for Nanonetworks”. EEE Circuits and Systems Magazine, vol. 15, no. 4, pp. 12–25, 2015.</w:t>
      </w:r>
    </w:p>
    <w:p w14:paraId="3A8B9818" w14:textId="57CB7B4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[C11-9]</w:t>
      </w:r>
      <w:r w:rsidRPr="00D27BA3">
        <w:rPr>
          <w:rFonts w:ascii="Arial" w:hAnsi="Arial" w:cs="Arial"/>
        </w:rPr>
        <w:tab/>
        <w:t>Edgar A. Aguilar, Ravishankar Ramanathan, Johann</w:t>
      </w:r>
      <w:r w:rsidR="00AC44CE">
        <w:rPr>
          <w:rFonts w:ascii="Arial" w:hAnsi="Arial" w:cs="Arial"/>
        </w:rPr>
        <w:t>es Kofler, and Marcin Pawłowski,</w:t>
      </w:r>
      <w:r w:rsidR="00AC44CE" w:rsidRPr="00AC44CE">
        <w:t xml:space="preserve"> </w:t>
      </w:r>
      <w:r w:rsidR="00AC44CE">
        <w:t>“</w:t>
      </w:r>
      <w:r w:rsidR="00AC44CE" w:rsidRPr="00AC44CE">
        <w:rPr>
          <w:rFonts w:ascii="Arial" w:hAnsi="Arial" w:cs="Arial"/>
        </w:rPr>
        <w:t>Completely device-independent quantum key distribution</w:t>
      </w:r>
      <w:r w:rsidR="00AC44CE">
        <w:rPr>
          <w:rFonts w:ascii="Arial" w:hAnsi="Arial" w:cs="Arial"/>
        </w:rPr>
        <w:t>”</w:t>
      </w:r>
      <w:r w:rsidRPr="00D27BA3">
        <w:rPr>
          <w:rFonts w:ascii="Arial" w:hAnsi="Arial" w:cs="Arial"/>
        </w:rPr>
        <w:t xml:space="preserve"> Physical Review A 94, 022305, 2016.</w:t>
      </w:r>
    </w:p>
    <w:p w14:paraId="185698CD" w14:textId="014BCD3F"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[C11-10]</w:t>
      </w:r>
      <w:r w:rsidRPr="00D27BA3">
        <w:rPr>
          <w:rFonts w:ascii="Arial" w:hAnsi="Arial" w:cs="Arial"/>
        </w:rPr>
        <w:tab/>
        <w:t>Manuel Erhard, Robert Fickler, Ma</w:t>
      </w:r>
      <w:r w:rsidR="00AC44CE">
        <w:rPr>
          <w:rFonts w:ascii="Arial" w:hAnsi="Arial" w:cs="Arial"/>
        </w:rPr>
        <w:t>rio Krenn, and Anton Zeilinger, “</w:t>
      </w:r>
      <w:r w:rsidR="00AC44CE" w:rsidRPr="00AC44CE">
        <w:rPr>
          <w:rFonts w:ascii="Arial" w:hAnsi="Arial" w:cs="Arial"/>
        </w:rPr>
        <w:t>Twisted photons: new quantum perspectives in high dimensions</w:t>
      </w:r>
      <w:r w:rsidR="00AC44CE">
        <w:rPr>
          <w:rFonts w:ascii="Arial" w:hAnsi="Arial" w:cs="Arial"/>
        </w:rPr>
        <w:t xml:space="preserve">”, </w:t>
      </w:r>
      <w:r w:rsidRPr="00D27BA3">
        <w:rPr>
          <w:rFonts w:ascii="Arial" w:hAnsi="Arial" w:cs="Arial"/>
        </w:rPr>
        <w:t>Light: Science &amp; Applications, 7, 17146, 2018.</w:t>
      </w:r>
    </w:p>
    <w:p w14:paraId="4D30C045" w14:textId="0B526A04"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[C11-11]</w:t>
      </w:r>
      <w:r w:rsidRPr="00D27BA3">
        <w:rPr>
          <w:rFonts w:ascii="Arial" w:hAnsi="Arial" w:cs="Arial"/>
        </w:rPr>
        <w:tab/>
        <w:t>Massimiliano Smania, Ashraf M Elhassan, Armin T</w:t>
      </w:r>
      <w:r w:rsidR="006D7FB0">
        <w:rPr>
          <w:rFonts w:ascii="Arial" w:hAnsi="Arial" w:cs="Arial"/>
        </w:rPr>
        <w:t>avakoli, and Mohamed Bourennane,</w:t>
      </w:r>
      <w:r w:rsidRPr="00D27BA3">
        <w:rPr>
          <w:rFonts w:ascii="Arial" w:hAnsi="Arial" w:cs="Arial"/>
        </w:rPr>
        <w:t xml:space="preserve"> </w:t>
      </w:r>
      <w:r w:rsidR="006D7FB0">
        <w:rPr>
          <w:rFonts w:ascii="Arial" w:hAnsi="Arial" w:cs="Arial"/>
        </w:rPr>
        <w:t>“</w:t>
      </w:r>
      <w:r w:rsidR="006D7FB0" w:rsidRPr="006D7FB0">
        <w:rPr>
          <w:rFonts w:ascii="Arial" w:hAnsi="Arial" w:cs="Arial"/>
        </w:rPr>
        <w:t>Experimental quantum multiparty communication protocols</w:t>
      </w:r>
      <w:r w:rsidR="006D7FB0">
        <w:rPr>
          <w:rFonts w:ascii="Arial" w:hAnsi="Arial" w:cs="Arial"/>
        </w:rPr>
        <w:t xml:space="preserve">”, </w:t>
      </w:r>
      <w:r w:rsidRPr="00D27BA3">
        <w:rPr>
          <w:rFonts w:ascii="Arial" w:hAnsi="Arial" w:cs="Arial"/>
        </w:rPr>
        <w:t>Nature Photonic Journal Quantum Information, 2, 16010, 2016.</w:t>
      </w:r>
    </w:p>
    <w:p w14:paraId="624D0210" w14:textId="382518F6"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[C11-12]</w:t>
      </w:r>
      <w:r w:rsidRPr="00D27BA3">
        <w:rPr>
          <w:rFonts w:ascii="Arial" w:hAnsi="Arial" w:cs="Arial"/>
        </w:rPr>
        <w:tab/>
        <w:t>Charles H. Bennett, Gilles Brassard</w:t>
      </w:r>
      <w:r w:rsidR="006D7FB0">
        <w:rPr>
          <w:rFonts w:ascii="Arial" w:hAnsi="Arial" w:cs="Arial"/>
        </w:rPr>
        <w:t>, “</w:t>
      </w:r>
      <w:r w:rsidR="006D7FB0" w:rsidRPr="006D7FB0">
        <w:rPr>
          <w:rFonts w:ascii="Arial" w:hAnsi="Arial" w:cs="Arial"/>
        </w:rPr>
        <w:t>Quantum cryptography: Public key distribution and coin tossing</w:t>
      </w:r>
      <w:r w:rsidR="006D7FB0">
        <w:rPr>
          <w:rFonts w:ascii="Arial" w:hAnsi="Arial" w:cs="Arial"/>
        </w:rPr>
        <w:t>”,</w:t>
      </w:r>
      <w:r w:rsidRPr="00D27BA3">
        <w:rPr>
          <w:rFonts w:ascii="Arial" w:hAnsi="Arial" w:cs="Arial"/>
        </w:rPr>
        <w:t xml:space="preserve"> Theoretical Computer Science, 560,7, 2014.</w:t>
      </w:r>
    </w:p>
    <w:p w14:paraId="3F550856" w14:textId="38CA8D0D"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[C11-13]</w:t>
      </w:r>
      <w:r w:rsidRPr="00D27BA3">
        <w:rPr>
          <w:rFonts w:ascii="Arial" w:hAnsi="Arial" w:cs="Arial"/>
        </w:rPr>
        <w:tab/>
        <w:t xml:space="preserve">Wei Zhang, Dong-Sheng Ding, Yu-Bo Sheng, Lan Zhou, </w:t>
      </w:r>
      <w:r w:rsidR="006D7FB0">
        <w:rPr>
          <w:rFonts w:ascii="Arial" w:hAnsi="Arial" w:cs="Arial"/>
        </w:rPr>
        <w:t>Bao-Sen Shi, and Guang-Can Guo, “</w:t>
      </w:r>
      <w:r w:rsidR="006D7FB0" w:rsidRPr="006D7FB0">
        <w:rPr>
          <w:rFonts w:ascii="Arial" w:hAnsi="Arial" w:cs="Arial"/>
        </w:rPr>
        <w:t>Quantum Secure Direct Communication with Quantum Memory</w:t>
      </w:r>
      <w:r w:rsidR="006D7FB0">
        <w:rPr>
          <w:rFonts w:ascii="Arial" w:hAnsi="Arial" w:cs="Arial"/>
        </w:rPr>
        <w:t xml:space="preserve">”, </w:t>
      </w:r>
      <w:r w:rsidRPr="00D27BA3">
        <w:rPr>
          <w:rFonts w:ascii="Arial" w:hAnsi="Arial" w:cs="Arial"/>
        </w:rPr>
        <w:t>Physical. Review Letters, 118, 220501, 2017.</w:t>
      </w:r>
    </w:p>
    <w:p w14:paraId="3C2DB3FE" w14:textId="4FDBA740"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lastRenderedPageBreak/>
        <w:t>[C11-14]</w:t>
      </w:r>
      <w:r w:rsidRPr="00D27BA3">
        <w:rPr>
          <w:rFonts w:ascii="Arial" w:hAnsi="Arial" w:cs="Arial"/>
        </w:rPr>
        <w:tab/>
        <w:t>Donaldson, R. J. et al.</w:t>
      </w:r>
      <w:r w:rsidR="006D7FB0">
        <w:rPr>
          <w:rFonts w:ascii="Arial" w:hAnsi="Arial" w:cs="Arial"/>
        </w:rPr>
        <w:t xml:space="preserve"> “</w:t>
      </w:r>
      <w:r w:rsidR="006D7FB0" w:rsidRPr="006D7FB0">
        <w:rPr>
          <w:rFonts w:ascii="Arial" w:hAnsi="Arial" w:cs="Arial"/>
        </w:rPr>
        <w:t>Experimental demonstration of kilometer-range quantum digital signatures</w:t>
      </w:r>
      <w:r w:rsidR="006D7FB0">
        <w:rPr>
          <w:rFonts w:ascii="Arial" w:hAnsi="Arial" w:cs="Arial"/>
        </w:rPr>
        <w:t>”,</w:t>
      </w:r>
      <w:r w:rsidRPr="00D27BA3">
        <w:rPr>
          <w:rFonts w:ascii="Arial" w:hAnsi="Arial" w:cs="Arial"/>
        </w:rPr>
        <w:t xml:space="preserve"> Physical Review A, 93, 012329, 2016.</w:t>
      </w:r>
    </w:p>
    <w:p w14:paraId="405EEE91" w14:textId="4046A408"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[C11-15]</w:t>
      </w:r>
      <w:r w:rsidRPr="00D27BA3">
        <w:rPr>
          <w:rFonts w:ascii="Arial" w:hAnsi="Arial" w:cs="Arial"/>
        </w:rPr>
        <w:tab/>
        <w:t>Hiroyuki Shibata, Tosh</w:t>
      </w:r>
      <w:r w:rsidR="006D7FB0">
        <w:rPr>
          <w:rFonts w:ascii="Arial" w:hAnsi="Arial" w:cs="Arial"/>
        </w:rPr>
        <w:t>imori Honjo, and Kaoru Shimizu, “</w:t>
      </w:r>
      <w:r w:rsidR="006D7FB0" w:rsidRPr="006D7FB0">
        <w:rPr>
          <w:rFonts w:ascii="Arial" w:hAnsi="Arial" w:cs="Arial"/>
        </w:rPr>
        <w:t xml:space="preserve">Quantum key distribution over a 72 dB channel loss using ultralow dark count superconducting single-photon detectors </w:t>
      </w:r>
      <w:r w:rsidR="006D7FB0">
        <w:rPr>
          <w:rFonts w:ascii="Arial" w:hAnsi="Arial" w:cs="Arial"/>
        </w:rPr>
        <w:t xml:space="preserve">“, </w:t>
      </w:r>
      <w:r w:rsidRPr="00D27BA3">
        <w:rPr>
          <w:rFonts w:ascii="Arial" w:hAnsi="Arial" w:cs="Arial"/>
        </w:rPr>
        <w:t>Optics Letters 39, 17, 2014.</w:t>
      </w:r>
    </w:p>
    <w:p w14:paraId="14F2FB9B" w14:textId="20C2C476"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[C11-16]</w:t>
      </w:r>
      <w:r w:rsidRPr="00D27BA3">
        <w:rPr>
          <w:rFonts w:ascii="Arial" w:hAnsi="Arial" w:cs="Arial"/>
        </w:rPr>
        <w:tab/>
        <w:t>Sheng-Kai Liao et al.:</w:t>
      </w:r>
      <w:r w:rsidR="00056F84">
        <w:rPr>
          <w:rFonts w:ascii="Arial" w:hAnsi="Arial" w:cs="Arial"/>
        </w:rPr>
        <w:t xml:space="preserve"> “</w:t>
      </w:r>
      <w:r w:rsidR="00056F84" w:rsidRPr="00056F84">
        <w:rPr>
          <w:rFonts w:ascii="Arial" w:hAnsi="Arial" w:cs="Arial"/>
        </w:rPr>
        <w:t>Long-distance free-space quantum key distribution in daylight towards inter-satellite communication</w:t>
      </w:r>
      <w:r w:rsidR="00056F84">
        <w:rPr>
          <w:rFonts w:ascii="Arial" w:hAnsi="Arial" w:cs="Arial"/>
        </w:rPr>
        <w:t>”</w:t>
      </w:r>
      <w:r w:rsidRPr="00D27BA3">
        <w:rPr>
          <w:rFonts w:ascii="Arial" w:hAnsi="Arial" w:cs="Arial"/>
        </w:rPr>
        <w:t xml:space="preserve"> Nature Photonics, 11, 509, 2017.</w:t>
      </w:r>
    </w:p>
    <w:p w14:paraId="48AB355C" w14:textId="4420B175"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[C11-17]</w:t>
      </w:r>
      <w:r w:rsidRPr="00D27BA3">
        <w:rPr>
          <w:rFonts w:ascii="Arial" w:hAnsi="Arial" w:cs="Arial"/>
        </w:rPr>
        <w:tab/>
        <w:t xml:space="preserve">T. Shinada, et al.: </w:t>
      </w:r>
      <w:r w:rsidR="00AC44CE">
        <w:rPr>
          <w:rFonts w:ascii="Arial" w:hAnsi="Arial" w:cs="Arial"/>
        </w:rPr>
        <w:t>“</w:t>
      </w:r>
      <w:r w:rsidRPr="00D27BA3">
        <w:rPr>
          <w:rFonts w:ascii="Arial" w:hAnsi="Arial" w:cs="Arial"/>
        </w:rPr>
        <w:t>Deterministic doping to silicon and diamond materials for quantum processing</w:t>
      </w:r>
      <w:r w:rsidR="00AC44CE">
        <w:rPr>
          <w:rFonts w:ascii="Arial" w:hAnsi="Arial" w:cs="Arial"/>
        </w:rPr>
        <w:t>”</w:t>
      </w:r>
      <w:r w:rsidRPr="00D27BA3">
        <w:rPr>
          <w:rFonts w:ascii="Arial" w:hAnsi="Arial" w:cs="Arial"/>
        </w:rPr>
        <w:t xml:space="preserve"> In: Nanotechnology (IEEE-NANO), 2016 IEEE 16th International Conference on. IEEE, 2016. p. 888-890.</w:t>
      </w:r>
    </w:p>
    <w:p w14:paraId="6B2AF245" w14:textId="36805DFC" w:rsidR="00D27BA3" w:rsidRPr="00C42C17" w:rsidRDefault="00D27BA3" w:rsidP="00D27BA3">
      <w:pPr>
        <w:spacing w:after="120" w:line="240" w:lineRule="auto"/>
        <w:ind w:left="993" w:hanging="993"/>
        <w:jc w:val="both"/>
        <w:rPr>
          <w:rFonts w:ascii="Arial" w:hAnsi="Arial" w:cs="Arial"/>
          <w:lang w:val="es-ES"/>
        </w:rPr>
      </w:pPr>
      <w:r w:rsidRPr="00C42C17">
        <w:rPr>
          <w:rFonts w:ascii="Arial" w:hAnsi="Arial" w:cs="Arial"/>
          <w:lang w:val="es-ES"/>
        </w:rPr>
        <w:t>[C11-18]</w:t>
      </w:r>
      <w:r w:rsidRPr="00C42C17">
        <w:rPr>
          <w:rFonts w:ascii="Arial" w:hAnsi="Arial" w:cs="Arial"/>
          <w:lang w:val="es-ES"/>
        </w:rPr>
        <w:tab/>
        <w:t xml:space="preserve">Tiecke, T. G., Thompson, J. D., de Leon, N. P., Liu, L. R., Vuletić, V., &amp; Lukin, M. D.: (2014). </w:t>
      </w:r>
      <w:r w:rsidR="00056F84">
        <w:rPr>
          <w:rFonts w:ascii="Arial" w:hAnsi="Arial" w:cs="Arial"/>
          <w:lang w:val="es-ES"/>
        </w:rPr>
        <w:t>“</w:t>
      </w:r>
      <w:r w:rsidRPr="00C42C17">
        <w:rPr>
          <w:rFonts w:ascii="Arial" w:hAnsi="Arial" w:cs="Arial"/>
          <w:lang w:val="es-ES"/>
        </w:rPr>
        <w:t>Nanophotonic quantum phase switch with a single atom</w:t>
      </w:r>
      <w:r w:rsidR="00056F84">
        <w:rPr>
          <w:rFonts w:ascii="Arial" w:hAnsi="Arial" w:cs="Arial"/>
          <w:lang w:val="es-ES"/>
        </w:rPr>
        <w:t xml:space="preserve">” </w:t>
      </w:r>
      <w:r w:rsidRPr="00C42C17">
        <w:rPr>
          <w:rFonts w:ascii="Arial" w:hAnsi="Arial" w:cs="Arial"/>
          <w:lang w:val="es-ES"/>
        </w:rPr>
        <w:t xml:space="preserve"> Nature, 508(7495), 241.</w:t>
      </w:r>
    </w:p>
    <w:p w14:paraId="699D37D3" w14:textId="2DE677D8" w:rsidR="00D27BA3" w:rsidRPr="00D27BA3" w:rsidRDefault="00D27BA3" w:rsidP="00D27BA3">
      <w:pPr>
        <w:spacing w:after="120" w:line="240" w:lineRule="auto"/>
        <w:ind w:left="993" w:hanging="993"/>
        <w:jc w:val="both"/>
        <w:rPr>
          <w:rFonts w:ascii="Arial" w:hAnsi="Arial" w:cs="Arial"/>
        </w:rPr>
      </w:pPr>
      <w:r w:rsidRPr="00C42C17">
        <w:rPr>
          <w:rFonts w:ascii="Arial" w:hAnsi="Arial" w:cs="Arial"/>
          <w:lang w:val="es-ES"/>
        </w:rPr>
        <w:t>[C11-19]</w:t>
      </w:r>
      <w:r w:rsidRPr="00C42C17">
        <w:rPr>
          <w:rFonts w:ascii="Arial" w:hAnsi="Arial" w:cs="Arial"/>
          <w:lang w:val="es-ES"/>
        </w:rPr>
        <w:tab/>
        <w:t xml:space="preserve">Azuma, K., Tamaki, K., &amp; Lo, H. K.: (2015). </w:t>
      </w:r>
      <w:r w:rsidR="006D7FB0">
        <w:rPr>
          <w:rFonts w:ascii="Arial" w:hAnsi="Arial" w:cs="Arial"/>
          <w:lang w:val="es-ES"/>
        </w:rPr>
        <w:t>“</w:t>
      </w:r>
      <w:r w:rsidRPr="00C42C17">
        <w:rPr>
          <w:rFonts w:ascii="Arial" w:hAnsi="Arial" w:cs="Arial"/>
          <w:lang w:val="es-ES"/>
        </w:rPr>
        <w:t>All-photonic quantum repeaters</w:t>
      </w:r>
      <w:r w:rsidR="006D7FB0">
        <w:rPr>
          <w:rFonts w:ascii="Arial" w:hAnsi="Arial" w:cs="Arial"/>
          <w:lang w:val="es-ES"/>
        </w:rPr>
        <w:t>”</w:t>
      </w:r>
      <w:r w:rsidRPr="00C42C17">
        <w:rPr>
          <w:rFonts w:ascii="Arial" w:hAnsi="Arial" w:cs="Arial"/>
          <w:lang w:val="es-ES"/>
        </w:rPr>
        <w:t xml:space="preserve"> </w:t>
      </w:r>
      <w:r w:rsidRPr="00D27BA3">
        <w:rPr>
          <w:rFonts w:ascii="Arial" w:hAnsi="Arial" w:cs="Arial"/>
        </w:rPr>
        <w:t>Nature communications, 6, 6787.</w:t>
      </w:r>
    </w:p>
    <w:p w14:paraId="4F73961C"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[C11-20]</w:t>
      </w:r>
      <w:r w:rsidRPr="00D27BA3">
        <w:rPr>
          <w:rFonts w:ascii="Arial" w:hAnsi="Arial" w:cs="Arial"/>
        </w:rPr>
        <w:tab/>
        <w:t>Marandi, A., Wang, Z., Takata, K., Byer, R. L., &amp; Yamamoto, Y.: (2014). Network of time-multiplexed optical parametric oscillators as a coherent Ising machine. Nature Photonics, 8(12), 937.</w:t>
      </w:r>
    </w:p>
    <w:p w14:paraId="20527EB3"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[C11-21]</w:t>
      </w:r>
      <w:r w:rsidRPr="00D27BA3">
        <w:rPr>
          <w:rFonts w:ascii="Arial" w:hAnsi="Arial" w:cs="Arial"/>
        </w:rPr>
        <w:tab/>
        <w:t>A. N. Sloss and S. Gustafson, “Evolutionary Algorithms Review,” 2019.</w:t>
      </w:r>
    </w:p>
    <w:p w14:paraId="17D35A4B" w14:textId="11BFF6B1"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[C11-22]</w:t>
      </w:r>
      <w:r w:rsidRPr="00D27BA3">
        <w:rPr>
          <w:rFonts w:ascii="Arial" w:hAnsi="Arial" w:cs="Arial"/>
        </w:rPr>
        <w:tab/>
        <w:t>M.J. Lopez-Morales et al., “Artificial Intelligence-aided Constellation Design for Multi-User MDPSK Non-Coherent Massive SIMO”, IEEE Global Communications Conference (Globecom), Taipei, Dec. 2020.</w:t>
      </w:r>
    </w:p>
    <w:p w14:paraId="223BAABE"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[C11-23]</w:t>
      </w:r>
      <w:r w:rsidRPr="00D27BA3">
        <w:rPr>
          <w:rFonts w:ascii="Arial" w:hAnsi="Arial" w:cs="Arial"/>
        </w:rPr>
        <w:tab/>
        <w:t>R. T. Jones, et al., “Deep learning of geometric constellation shaping including fiber nonlinearities,” in 2018 European Conference on Optical Communication (ECOC), Sep. 2018.</w:t>
      </w:r>
    </w:p>
    <w:p w14:paraId="6611F70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[C11-24]</w:t>
      </w:r>
      <w:r w:rsidRPr="00D27BA3">
        <w:rPr>
          <w:rFonts w:ascii="Arial" w:hAnsi="Arial" w:cs="Arial"/>
        </w:rPr>
        <w:tab/>
        <w:t>T. O’Shea and J. Hoydis, “An Introduction to Deep Learning for the Physical Layer,” IEEE Transactions on Cognitive Communications and Networking, vol. 3, no. 4, pp. 563–575, Dec 2017.</w:t>
      </w:r>
    </w:p>
    <w:p w14:paraId="5A3F276D"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[C11-25]</w:t>
      </w:r>
      <w:r w:rsidRPr="00D27BA3">
        <w:rPr>
          <w:rFonts w:ascii="Arial" w:hAnsi="Arial" w:cs="Arial"/>
        </w:rPr>
        <w:tab/>
        <w:t>C. Lee, H. B. Yilmaz, C. Chae, N. Farsad and A. Goldsmith, "Machine learning based channel modeling for molecular MIMO communications," 2017 IEEE 18th International Workshop on Signal Processing Advances in Wireless Communications (SPAWC), Sapporo, 2017.</w:t>
      </w:r>
    </w:p>
    <w:p w14:paraId="43D876E9" w14:textId="77777777" w:rsidR="00D27BA3" w:rsidRPr="00D27BA3" w:rsidRDefault="00D27BA3" w:rsidP="00D27BA3">
      <w:pPr>
        <w:spacing w:after="120" w:line="240" w:lineRule="auto"/>
        <w:ind w:left="993" w:hanging="993"/>
        <w:jc w:val="both"/>
        <w:rPr>
          <w:rFonts w:ascii="Arial" w:hAnsi="Arial" w:cs="Arial"/>
        </w:rPr>
      </w:pPr>
      <w:r w:rsidRPr="00CE51ED">
        <w:rPr>
          <w:rFonts w:ascii="Arial" w:hAnsi="Arial" w:cs="Arial"/>
          <w:lang w:val="pt-PT"/>
        </w:rPr>
        <w:t>[C11-26]</w:t>
      </w:r>
      <w:r w:rsidRPr="00CE51ED">
        <w:rPr>
          <w:rFonts w:ascii="Arial" w:hAnsi="Arial" w:cs="Arial"/>
          <w:lang w:val="pt-PT"/>
        </w:rPr>
        <w:tab/>
        <w:t xml:space="preserve">R. Shrestha e al. </w:t>
      </w:r>
      <w:r w:rsidRPr="00D27BA3">
        <w:rPr>
          <w:rFonts w:ascii="Arial" w:hAnsi="Arial" w:cs="Arial"/>
        </w:rPr>
        <w:t>“A wire waveguide channel for terabit-per-second links“, Applied Physics Letters, vol. 116, no. 13, Mar. 2020.</w:t>
      </w:r>
    </w:p>
    <w:p w14:paraId="62569B37" w14:textId="64DE4BB1"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[C11-27]</w:t>
      </w:r>
      <w:r w:rsidRPr="00D27BA3">
        <w:rPr>
          <w:rFonts w:ascii="Arial" w:hAnsi="Arial" w:cs="Arial"/>
        </w:rPr>
        <w:tab/>
        <w:t>H. D. Trinh, E. Zeydan, L. Giupponi, P. Dini, Detecting Mobile Traffic Anomalies Through</w:t>
      </w:r>
      <w:r w:rsidR="00056F84">
        <w:rPr>
          <w:rFonts w:ascii="Arial" w:hAnsi="Arial" w:cs="Arial"/>
        </w:rPr>
        <w:t xml:space="preserve"> </w:t>
      </w:r>
      <w:r w:rsidRPr="00D27BA3">
        <w:rPr>
          <w:rFonts w:ascii="Arial" w:hAnsi="Arial" w:cs="Arial"/>
        </w:rPr>
        <w:t>Physical Control Channel Fingerprinting:A Deep Semi-Supervised Approach , IEEE Access, Vol. 7, pp. 152187-152201, October 2019.</w:t>
      </w:r>
    </w:p>
    <w:p w14:paraId="2F8D6D44"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[C11-28]</w:t>
      </w:r>
      <w:r w:rsidRPr="00D27BA3">
        <w:rPr>
          <w:rFonts w:ascii="Arial" w:hAnsi="Arial" w:cs="Arial"/>
        </w:rPr>
        <w:tab/>
        <w:t>"Network 2030: A Blueprint of Technology, Applications and Market Drivers Towards the Year 2030 and Beyond", FG-NET-2030 ITU-T, May 2019</w:t>
      </w:r>
    </w:p>
    <w:p w14:paraId="5FA58CD6"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[C11-29]</w:t>
      </w:r>
      <w:r w:rsidRPr="00D27BA3">
        <w:rPr>
          <w:rFonts w:ascii="Arial" w:hAnsi="Arial" w:cs="Arial"/>
        </w:rPr>
        <w:tab/>
        <w:t>Nick Szabo: “Smart Contracts: Building Blocks for Digital Markets”. (1996).</w:t>
      </w:r>
    </w:p>
    <w:p w14:paraId="6D18E45A"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[C11-30]</w:t>
      </w:r>
      <w:r w:rsidRPr="00D27BA3">
        <w:rPr>
          <w:rFonts w:ascii="Arial" w:hAnsi="Arial" w:cs="Arial"/>
        </w:rPr>
        <w:tab/>
        <w:t>Satoshi Nakamoto: “Bitcoin: A peer-to-peer electronic cash system”. (2008), https://bitcoin.org/bitcoin.pdf.</w:t>
      </w:r>
    </w:p>
    <w:p w14:paraId="6EFD3F23"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[C11-31]</w:t>
      </w:r>
      <w:r w:rsidRPr="00D27BA3">
        <w:rPr>
          <w:rFonts w:ascii="Arial" w:hAnsi="Arial" w:cs="Arial"/>
        </w:rPr>
        <w:tab/>
        <w:t>Multichain: Three (non-pointless) permissioned blockchains in production. 2017, Quite taken from https://www.multichain.com/blog/2017/11/three-non-pointless-blockchains-production/.</w:t>
      </w:r>
    </w:p>
    <w:p w14:paraId="046C1808"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lastRenderedPageBreak/>
        <w:t>[C11-32]</w:t>
      </w:r>
      <w:r w:rsidRPr="00D27BA3">
        <w:rPr>
          <w:rFonts w:ascii="Arial" w:hAnsi="Arial" w:cs="Arial"/>
        </w:rPr>
        <w:tab/>
        <w:t>L. S. Sankar, M. Sindhu, M. Sethumadhavan: “Survey of consensus protocols on blockchain applications.” 4th IEEE Int. Conf. on Advanced Computing and Communication Systems (ICACCS), 2017.</w:t>
      </w:r>
    </w:p>
    <w:p w14:paraId="41E29730" w14:textId="77777777" w:rsidR="00D27BA3" w:rsidRPr="00D27BA3" w:rsidRDefault="00D27BA3" w:rsidP="00D27BA3">
      <w:pPr>
        <w:spacing w:after="120" w:line="240" w:lineRule="auto"/>
        <w:ind w:left="993" w:hanging="993"/>
        <w:jc w:val="both"/>
        <w:rPr>
          <w:rFonts w:ascii="Arial" w:hAnsi="Arial" w:cs="Arial"/>
        </w:rPr>
      </w:pPr>
      <w:r w:rsidRPr="00D27BA3">
        <w:rPr>
          <w:rFonts w:ascii="Arial" w:hAnsi="Arial" w:cs="Arial"/>
        </w:rPr>
        <w:t>[C11-33]</w:t>
      </w:r>
      <w:r w:rsidRPr="00D27BA3">
        <w:rPr>
          <w:rFonts w:ascii="Arial" w:hAnsi="Arial" w:cs="Arial"/>
        </w:rPr>
        <w:tab/>
        <w:t>Certificate Transparency: General Transparency. https://www.certificate-transparency.org/general-transparency</w:t>
      </w:r>
    </w:p>
    <w:p w14:paraId="1DDB84F0" w14:textId="2CCEF3B1" w:rsidR="00D27BA3" w:rsidRPr="00EC02AE" w:rsidRDefault="00D27BA3" w:rsidP="00D27BA3">
      <w:pPr>
        <w:spacing w:after="120" w:line="240" w:lineRule="auto"/>
        <w:ind w:left="993" w:hanging="993"/>
        <w:jc w:val="both"/>
        <w:rPr>
          <w:rFonts w:ascii="Arial" w:hAnsi="Arial" w:cs="Arial"/>
        </w:rPr>
      </w:pPr>
      <w:r w:rsidRPr="00D27BA3">
        <w:rPr>
          <w:rFonts w:ascii="Arial" w:hAnsi="Arial" w:cs="Arial"/>
          <w:lang w:val="fi-FI"/>
        </w:rPr>
        <w:t>[C11-34]</w:t>
      </w:r>
      <w:r w:rsidRPr="00D27BA3">
        <w:rPr>
          <w:rFonts w:ascii="Arial" w:hAnsi="Arial" w:cs="Arial"/>
          <w:lang w:val="fi-FI"/>
        </w:rPr>
        <w:tab/>
        <w:t xml:space="preserve">H. Lasi, P. Fettke, HG. </w:t>
      </w:r>
      <w:r w:rsidRPr="00D27BA3">
        <w:rPr>
          <w:rFonts w:ascii="Arial" w:hAnsi="Arial" w:cs="Arial"/>
        </w:rPr>
        <w:t>Kemper, et al: “Industry 4.0”, Bus Inf Syst Eng, 6: 239, 2014. https://doi.org/10.1007/s12599-014-0334-4</w:t>
      </w:r>
    </w:p>
    <w:p w14:paraId="72D5B9EB" w14:textId="77777777" w:rsidR="00EC02AE" w:rsidRPr="006F79DA" w:rsidRDefault="00EC02AE" w:rsidP="00EC02AE">
      <w:pPr>
        <w:spacing w:after="120" w:line="240" w:lineRule="auto"/>
        <w:jc w:val="both"/>
        <w:rPr>
          <w:rFonts w:ascii="Arial" w:hAnsi="Arial"/>
          <w:lang w:val="en-US"/>
        </w:rPr>
      </w:pPr>
    </w:p>
    <w:p w14:paraId="1B23807A" w14:textId="17F916E4" w:rsidR="007755E6" w:rsidRPr="006E3A41" w:rsidRDefault="007755E6" w:rsidP="007755E6">
      <w:pPr>
        <w:jc w:val="both"/>
        <w:rPr>
          <w:rFonts w:ascii="Arial" w:eastAsiaTheme="minorEastAsia" w:hAnsi="Arial" w:cs="Arial"/>
          <w:color w:val="0563C1" w:themeColor="hyperlink"/>
          <w:u w:val="single"/>
          <w:lang w:val="en-US"/>
        </w:rPr>
      </w:pPr>
    </w:p>
    <w:p w14:paraId="24FAC9F0" w14:textId="77777777" w:rsidR="00040EB3" w:rsidRPr="00040EB3" w:rsidRDefault="00040EB3" w:rsidP="00AA3EAB">
      <w:pPr>
        <w:spacing w:after="40" w:line="240" w:lineRule="auto"/>
        <w:ind w:left="851" w:hanging="851"/>
        <w:jc w:val="both"/>
        <w:rPr>
          <w:rFonts w:ascii="Arial" w:hAnsi="Arial" w:cs="Arial"/>
          <w:sz w:val="20"/>
          <w:szCs w:val="20"/>
          <w:lang w:val="en-US"/>
        </w:rPr>
      </w:pPr>
    </w:p>
    <w:p w14:paraId="019B3AE7" w14:textId="1455ACD3" w:rsidR="003B3AA3" w:rsidRDefault="003B3AA3" w:rsidP="003B3AA3">
      <w:pPr>
        <w:pStyle w:val="EndnoteText"/>
        <w:spacing w:before="0" w:line="240" w:lineRule="auto"/>
        <w:ind w:left="567" w:hanging="567"/>
        <w:rPr>
          <w:rFonts w:ascii="Arial" w:hAnsi="Arial" w:cs="Arial"/>
          <w:color w:val="000000" w:themeColor="text1"/>
          <w:sz w:val="22"/>
          <w:szCs w:val="22"/>
        </w:rPr>
      </w:pPr>
      <w:bookmarkStart w:id="626" w:name="Ref03"/>
      <w:bookmarkStart w:id="627" w:name="Ref08"/>
      <w:bookmarkStart w:id="628" w:name="Ref09"/>
      <w:bookmarkStart w:id="629" w:name="Ref10"/>
      <w:bookmarkStart w:id="630" w:name="Ref11"/>
      <w:bookmarkEnd w:id="626"/>
      <w:bookmarkEnd w:id="627"/>
      <w:bookmarkEnd w:id="628"/>
      <w:bookmarkEnd w:id="629"/>
      <w:bookmarkEnd w:id="630"/>
    </w:p>
    <w:p w14:paraId="5A486DE3" w14:textId="77777777" w:rsidR="00C42C17" w:rsidRDefault="00C42C17">
      <w:pPr>
        <w:rPr>
          <w:rFonts w:ascii="Arial" w:eastAsiaTheme="majorEastAsia" w:hAnsi="Arial" w:cstheme="majorBidi"/>
          <w:b/>
          <w:sz w:val="36"/>
          <w:szCs w:val="32"/>
          <w:lang w:eastAsia="de-DE"/>
        </w:rPr>
      </w:pPr>
      <w:r>
        <w:rPr>
          <w:lang w:eastAsia="de-DE"/>
        </w:rPr>
        <w:br w:type="page"/>
      </w:r>
    </w:p>
    <w:p w14:paraId="3A2907B9" w14:textId="689FECB3" w:rsidR="00F20A73" w:rsidRPr="0063079E" w:rsidRDefault="00F20A73" w:rsidP="00F20A73">
      <w:pPr>
        <w:pStyle w:val="Heading1"/>
        <w:rPr>
          <w:lang w:eastAsia="de-DE"/>
        </w:rPr>
      </w:pPr>
      <w:bookmarkStart w:id="631" w:name="_Toc42177387"/>
      <w:r w:rsidRPr="0063079E">
        <w:rPr>
          <w:lang w:eastAsia="de-DE"/>
        </w:rPr>
        <w:lastRenderedPageBreak/>
        <w:t>List of Contributors</w:t>
      </w:r>
      <w:bookmarkEnd w:id="631"/>
    </w:p>
    <w:p w14:paraId="531A14AE" w14:textId="77777777" w:rsidR="00F20A73" w:rsidRPr="0063079E" w:rsidRDefault="00F20A73" w:rsidP="00F20A73">
      <w:pPr>
        <w:pStyle w:val="EndnoteText"/>
        <w:spacing w:before="0" w:line="240" w:lineRule="auto"/>
        <w:ind w:left="567" w:hanging="567"/>
        <w:rPr>
          <w:rFonts w:ascii="Arial" w:hAnsi="Arial" w:cs="Arial"/>
          <w:color w:val="000000" w:themeColor="text1"/>
          <w:sz w:val="22"/>
          <w:szCs w:val="22"/>
        </w:rPr>
      </w:pPr>
    </w:p>
    <w:tbl>
      <w:tblPr>
        <w:tblStyle w:val="TableGrid"/>
        <w:tblW w:w="9498" w:type="dxa"/>
        <w:tblInd w:w="-5" w:type="dxa"/>
        <w:tblLook w:val="04A0" w:firstRow="1" w:lastRow="0" w:firstColumn="1" w:lastColumn="0" w:noHBand="0" w:noVBand="1"/>
      </w:tblPr>
      <w:tblGrid>
        <w:gridCol w:w="3539"/>
        <w:gridCol w:w="5959"/>
      </w:tblGrid>
      <w:tr w:rsidR="00FB7EDE" w:rsidRPr="003330BD" w14:paraId="0586DFBE" w14:textId="77777777" w:rsidTr="003330BD">
        <w:tc>
          <w:tcPr>
            <w:tcW w:w="3539" w:type="dxa"/>
          </w:tcPr>
          <w:p w14:paraId="19D77293" w14:textId="77777777" w:rsidR="00FB7EDE" w:rsidRPr="00C42C17" w:rsidRDefault="00FB7EDE" w:rsidP="000E4D95">
            <w:pPr>
              <w:rPr>
                <w:rFonts w:ascii="Arial" w:hAnsi="Arial" w:cs="Arial"/>
                <w:lang w:val="pt-PT"/>
              </w:rPr>
            </w:pPr>
            <w:r w:rsidRPr="00C42C17">
              <w:rPr>
                <w:rFonts w:ascii="Arial" w:hAnsi="Arial" w:cs="Arial"/>
                <w:lang w:val="pt-PT"/>
              </w:rPr>
              <w:t>Rui L. Aguiar (editor)</w:t>
            </w:r>
          </w:p>
        </w:tc>
        <w:tc>
          <w:tcPr>
            <w:tcW w:w="5959" w:type="dxa"/>
          </w:tcPr>
          <w:p w14:paraId="79532387" w14:textId="77777777" w:rsidR="00FB7EDE" w:rsidRPr="00C42C17" w:rsidRDefault="00FB7EDE" w:rsidP="000E4D95">
            <w:pPr>
              <w:rPr>
                <w:rFonts w:ascii="Arial" w:hAnsi="Arial" w:cs="Arial"/>
                <w:lang w:val="pt-PT"/>
              </w:rPr>
            </w:pPr>
            <w:r w:rsidRPr="00C42C17">
              <w:rPr>
                <w:rFonts w:ascii="Arial" w:hAnsi="Arial" w:cs="Arial"/>
                <w:lang w:val="pt-PT"/>
              </w:rPr>
              <w:t>Instituto de Telecomunicações, Univ. de Aveiro</w:t>
            </w:r>
          </w:p>
        </w:tc>
      </w:tr>
      <w:tr w:rsidR="00FB7EDE" w:rsidRPr="004013B2" w14:paraId="4E5CCCBF" w14:textId="77777777" w:rsidTr="003330BD">
        <w:tc>
          <w:tcPr>
            <w:tcW w:w="3539" w:type="dxa"/>
          </w:tcPr>
          <w:p w14:paraId="22422C81" w14:textId="77777777" w:rsidR="00FB7EDE" w:rsidRPr="00C42C17" w:rsidRDefault="00FB7EDE" w:rsidP="000E4D95">
            <w:pPr>
              <w:rPr>
                <w:rFonts w:ascii="Arial" w:hAnsi="Arial" w:cs="Arial"/>
              </w:rPr>
            </w:pPr>
            <w:r w:rsidRPr="00C42C17">
              <w:rPr>
                <w:rFonts w:ascii="Arial" w:hAnsi="Arial" w:cs="Arial"/>
              </w:rPr>
              <w:t>Ian F. Akyldiz</w:t>
            </w:r>
          </w:p>
        </w:tc>
        <w:tc>
          <w:tcPr>
            <w:tcW w:w="5959" w:type="dxa"/>
          </w:tcPr>
          <w:p w14:paraId="5FB21858" w14:textId="77777777" w:rsidR="00FB7EDE" w:rsidRPr="00C42C17" w:rsidRDefault="00FB7EDE" w:rsidP="000E4D95">
            <w:pPr>
              <w:rPr>
                <w:rFonts w:ascii="Arial" w:hAnsi="Arial" w:cs="Arial"/>
              </w:rPr>
            </w:pPr>
            <w:r w:rsidRPr="00C42C17">
              <w:rPr>
                <w:rFonts w:ascii="Arial" w:hAnsi="Arial" w:cs="Arial"/>
              </w:rPr>
              <w:t>Georgia Institute of Technology</w:t>
            </w:r>
          </w:p>
        </w:tc>
      </w:tr>
      <w:tr w:rsidR="00FB7EDE" w:rsidRPr="004013B2" w14:paraId="28897A40" w14:textId="77777777" w:rsidTr="003330BD">
        <w:tc>
          <w:tcPr>
            <w:tcW w:w="3539" w:type="dxa"/>
          </w:tcPr>
          <w:p w14:paraId="5927A0FD" w14:textId="77777777" w:rsidR="00FB7EDE" w:rsidRPr="00C42C17" w:rsidRDefault="00FB7EDE" w:rsidP="000E4D95">
            <w:pPr>
              <w:rPr>
                <w:rFonts w:ascii="Arial" w:hAnsi="Arial" w:cs="Arial"/>
                <w:lang w:val="pt-PT"/>
              </w:rPr>
            </w:pPr>
            <w:r w:rsidRPr="00C42C17">
              <w:rPr>
                <w:rFonts w:ascii="Arial" w:hAnsi="Arial" w:cs="Arial"/>
                <w:lang w:val="pt-PT"/>
              </w:rPr>
              <w:t>Marco Andrenacci</w:t>
            </w:r>
          </w:p>
        </w:tc>
        <w:tc>
          <w:tcPr>
            <w:tcW w:w="5959" w:type="dxa"/>
          </w:tcPr>
          <w:p w14:paraId="6057EF70" w14:textId="77777777" w:rsidR="00FB7EDE" w:rsidRPr="00C42C17" w:rsidRDefault="00FB7EDE" w:rsidP="000E4D95">
            <w:pPr>
              <w:rPr>
                <w:rFonts w:ascii="Arial" w:hAnsi="Arial" w:cs="Arial"/>
                <w:lang w:val="pt-PT"/>
              </w:rPr>
            </w:pPr>
            <w:r w:rsidRPr="00C42C17">
              <w:rPr>
                <w:rFonts w:ascii="Arial" w:hAnsi="Arial" w:cs="Arial"/>
                <w:lang w:val="pt-PT"/>
              </w:rPr>
              <w:t>MBI</w:t>
            </w:r>
          </w:p>
        </w:tc>
      </w:tr>
      <w:tr w:rsidR="00FB7EDE" w:rsidRPr="004013B2" w14:paraId="06BABC04" w14:textId="77777777" w:rsidTr="003330BD">
        <w:tc>
          <w:tcPr>
            <w:tcW w:w="3539" w:type="dxa"/>
          </w:tcPr>
          <w:p w14:paraId="3D23A591" w14:textId="77777777" w:rsidR="00FB7EDE" w:rsidRPr="00C42C17" w:rsidRDefault="00FB7EDE" w:rsidP="000E4D95">
            <w:pPr>
              <w:rPr>
                <w:rFonts w:ascii="Arial" w:hAnsi="Arial" w:cs="Arial"/>
                <w:lang w:val="pt-PT"/>
              </w:rPr>
            </w:pPr>
            <w:r w:rsidRPr="00C42C17">
              <w:rPr>
                <w:rFonts w:ascii="Arial" w:hAnsi="Arial" w:cs="Arial"/>
                <w:lang w:val="pt-PT"/>
              </w:rPr>
              <w:t>Miguel Ángel Vázquez</w:t>
            </w:r>
          </w:p>
        </w:tc>
        <w:tc>
          <w:tcPr>
            <w:tcW w:w="5959" w:type="dxa"/>
          </w:tcPr>
          <w:p w14:paraId="1B938DFC" w14:textId="77777777" w:rsidR="00FB7EDE" w:rsidRPr="00C42C17" w:rsidRDefault="00FB7EDE" w:rsidP="000E4D95">
            <w:pPr>
              <w:rPr>
                <w:rFonts w:ascii="Arial" w:hAnsi="Arial" w:cs="Arial"/>
                <w:lang w:val="pt-PT"/>
              </w:rPr>
            </w:pPr>
            <w:r w:rsidRPr="00C42C17">
              <w:rPr>
                <w:rFonts w:ascii="Arial" w:hAnsi="Arial" w:cs="Arial"/>
                <w:lang w:val="pt-PT"/>
              </w:rPr>
              <w:t>CTTC</w:t>
            </w:r>
          </w:p>
        </w:tc>
      </w:tr>
      <w:tr w:rsidR="00FB7EDE" w:rsidRPr="004013B2" w14:paraId="3DFB7C29" w14:textId="77777777" w:rsidTr="003330BD">
        <w:tc>
          <w:tcPr>
            <w:tcW w:w="3539" w:type="dxa"/>
          </w:tcPr>
          <w:p w14:paraId="44CB9329" w14:textId="77777777" w:rsidR="00FB7EDE" w:rsidRPr="00C42C17" w:rsidRDefault="00FB7EDE" w:rsidP="000E4D95">
            <w:pPr>
              <w:rPr>
                <w:rFonts w:ascii="Arial" w:hAnsi="Arial" w:cs="Arial"/>
                <w:lang w:val="pt-PT"/>
              </w:rPr>
            </w:pPr>
            <w:r w:rsidRPr="00C42C17">
              <w:rPr>
                <w:rFonts w:ascii="Arial" w:hAnsi="Arial" w:cs="Arial"/>
                <w:lang w:val="pt-PT"/>
              </w:rPr>
              <w:t>Antonio Arcidiacono</w:t>
            </w:r>
          </w:p>
        </w:tc>
        <w:tc>
          <w:tcPr>
            <w:tcW w:w="5959" w:type="dxa"/>
          </w:tcPr>
          <w:p w14:paraId="50D95E17" w14:textId="77777777" w:rsidR="00FB7EDE" w:rsidRPr="00C42C17" w:rsidRDefault="00FB7EDE" w:rsidP="000E4D95">
            <w:pPr>
              <w:rPr>
                <w:rFonts w:ascii="Arial" w:hAnsi="Arial" w:cs="Arial"/>
                <w:lang w:val="pt-PT"/>
              </w:rPr>
            </w:pPr>
            <w:r w:rsidRPr="00C42C17">
              <w:rPr>
                <w:rFonts w:ascii="Arial" w:hAnsi="Arial" w:cs="Arial"/>
                <w:lang w:val="pt-PT"/>
              </w:rPr>
              <w:t>EBU</w:t>
            </w:r>
          </w:p>
        </w:tc>
      </w:tr>
      <w:tr w:rsidR="00FB7EDE" w:rsidRPr="003330BD" w14:paraId="2B2931B2" w14:textId="77777777" w:rsidTr="003330BD">
        <w:tc>
          <w:tcPr>
            <w:tcW w:w="3539" w:type="dxa"/>
          </w:tcPr>
          <w:p w14:paraId="73D708A2" w14:textId="77777777" w:rsidR="00FB7EDE" w:rsidRPr="00C42C17" w:rsidRDefault="00FB7EDE" w:rsidP="000E4D95">
            <w:pPr>
              <w:rPr>
                <w:rFonts w:ascii="Arial" w:hAnsi="Arial" w:cs="Arial"/>
                <w:lang w:val="pt-PT"/>
              </w:rPr>
            </w:pPr>
            <w:r w:rsidRPr="00C42C17">
              <w:rPr>
                <w:rFonts w:ascii="Arial" w:hAnsi="Arial" w:cs="Arial"/>
                <w:lang w:val="pt-PT"/>
              </w:rPr>
              <w:t>Jordi Arjona</w:t>
            </w:r>
          </w:p>
        </w:tc>
        <w:tc>
          <w:tcPr>
            <w:tcW w:w="5959" w:type="dxa"/>
          </w:tcPr>
          <w:p w14:paraId="1B732398" w14:textId="77777777" w:rsidR="00FB7EDE" w:rsidRPr="00C42C17" w:rsidRDefault="00FB7EDE" w:rsidP="000E4D95">
            <w:pPr>
              <w:rPr>
                <w:rFonts w:ascii="Arial" w:hAnsi="Arial" w:cs="Arial"/>
                <w:lang w:val="pt-PT"/>
              </w:rPr>
            </w:pPr>
            <w:r w:rsidRPr="00C42C17">
              <w:rPr>
                <w:rFonts w:ascii="Arial" w:hAnsi="Arial" w:cs="Arial"/>
                <w:lang w:val="pt-PT"/>
              </w:rPr>
              <w:t>Instituto Tecnológico de Informática (ITI), Spain</w:t>
            </w:r>
          </w:p>
        </w:tc>
      </w:tr>
      <w:tr w:rsidR="00FB7EDE" w:rsidRPr="004013B2" w14:paraId="2A844414" w14:textId="77777777" w:rsidTr="003330BD">
        <w:tc>
          <w:tcPr>
            <w:tcW w:w="3539" w:type="dxa"/>
          </w:tcPr>
          <w:p w14:paraId="66644B55" w14:textId="77777777" w:rsidR="00FB7EDE" w:rsidRPr="00C42C17" w:rsidRDefault="00FB7EDE" w:rsidP="000E4D95">
            <w:pPr>
              <w:rPr>
                <w:rFonts w:ascii="Arial" w:hAnsi="Arial" w:cs="Arial"/>
                <w:lang w:val="pt-PT"/>
              </w:rPr>
            </w:pPr>
            <w:r w:rsidRPr="00C42C17">
              <w:rPr>
                <w:rFonts w:ascii="Arial" w:hAnsi="Arial" w:cs="Arial"/>
                <w:lang w:val="pt-PT"/>
              </w:rPr>
              <w:t>Jorge Arjona Aroca</w:t>
            </w:r>
          </w:p>
        </w:tc>
        <w:tc>
          <w:tcPr>
            <w:tcW w:w="5959" w:type="dxa"/>
          </w:tcPr>
          <w:p w14:paraId="30AAFBA2" w14:textId="77777777" w:rsidR="00FB7EDE" w:rsidRPr="00C42C17" w:rsidRDefault="00FB7EDE" w:rsidP="000E4D95">
            <w:pPr>
              <w:rPr>
                <w:rFonts w:ascii="Arial" w:hAnsi="Arial" w:cs="Arial"/>
                <w:lang w:val="pt-PT"/>
              </w:rPr>
            </w:pPr>
            <w:r w:rsidRPr="00C42C17">
              <w:rPr>
                <w:rFonts w:ascii="Arial" w:hAnsi="Arial" w:cs="Arial"/>
                <w:lang w:val="pt-PT"/>
              </w:rPr>
              <w:t>ITI</w:t>
            </w:r>
          </w:p>
        </w:tc>
      </w:tr>
      <w:tr w:rsidR="00FB7EDE" w:rsidRPr="004013B2" w14:paraId="04B382A2" w14:textId="77777777" w:rsidTr="003330BD">
        <w:tc>
          <w:tcPr>
            <w:tcW w:w="3539" w:type="dxa"/>
          </w:tcPr>
          <w:p w14:paraId="2F347F05" w14:textId="77777777" w:rsidR="00FB7EDE" w:rsidRPr="00C42C17" w:rsidRDefault="00FB7EDE" w:rsidP="000E4D95">
            <w:pPr>
              <w:rPr>
                <w:rFonts w:ascii="Arial" w:hAnsi="Arial" w:cs="Arial"/>
                <w:lang w:val="pt-PT"/>
              </w:rPr>
            </w:pPr>
            <w:r w:rsidRPr="00C42C17">
              <w:rPr>
                <w:rFonts w:ascii="Arial" w:hAnsi="Arial" w:cs="Arial"/>
                <w:lang w:val="pt-PT"/>
              </w:rPr>
              <w:t>Achim Autenrieth</w:t>
            </w:r>
          </w:p>
        </w:tc>
        <w:tc>
          <w:tcPr>
            <w:tcW w:w="5959" w:type="dxa"/>
          </w:tcPr>
          <w:p w14:paraId="0BF9AECC" w14:textId="77777777" w:rsidR="00FB7EDE" w:rsidRPr="00C42C17" w:rsidRDefault="00FB7EDE" w:rsidP="000E4D95">
            <w:pPr>
              <w:rPr>
                <w:rFonts w:ascii="Arial" w:hAnsi="Arial" w:cs="Arial"/>
                <w:lang w:val="pt-PT"/>
              </w:rPr>
            </w:pPr>
            <w:r w:rsidRPr="00C42C17">
              <w:rPr>
                <w:rFonts w:ascii="Arial" w:hAnsi="Arial" w:cs="Arial"/>
                <w:lang w:val="pt-PT"/>
              </w:rPr>
              <w:t>ADVA</w:t>
            </w:r>
          </w:p>
        </w:tc>
      </w:tr>
      <w:tr w:rsidR="00FB7EDE" w:rsidRPr="004013B2" w14:paraId="40E348AA" w14:textId="77777777" w:rsidTr="003330BD">
        <w:tc>
          <w:tcPr>
            <w:tcW w:w="3539" w:type="dxa"/>
          </w:tcPr>
          <w:p w14:paraId="75A72F01" w14:textId="0822A6AE" w:rsidR="00FB7EDE" w:rsidRPr="00C42C17" w:rsidRDefault="00FB7EDE" w:rsidP="000E4D95">
            <w:pPr>
              <w:rPr>
                <w:rFonts w:ascii="Arial" w:hAnsi="Arial" w:cs="Arial"/>
              </w:rPr>
            </w:pPr>
            <w:r w:rsidRPr="00C42C17">
              <w:rPr>
                <w:rFonts w:ascii="Arial" w:hAnsi="Arial" w:cs="Arial"/>
              </w:rPr>
              <w:t>Arturo</w:t>
            </w:r>
            <w:r w:rsidR="00B36249" w:rsidRPr="00C42C17">
              <w:rPr>
                <w:rFonts w:ascii="Arial" w:hAnsi="Arial" w:cs="Arial"/>
              </w:rPr>
              <w:t xml:space="preserve"> </w:t>
            </w:r>
            <w:r w:rsidRPr="00C42C17">
              <w:rPr>
                <w:rFonts w:ascii="Arial" w:hAnsi="Arial" w:cs="Arial"/>
              </w:rPr>
              <w:t>Azcorra</w:t>
            </w:r>
          </w:p>
        </w:tc>
        <w:tc>
          <w:tcPr>
            <w:tcW w:w="5959" w:type="dxa"/>
          </w:tcPr>
          <w:p w14:paraId="29C3355F" w14:textId="77777777" w:rsidR="00FB7EDE" w:rsidRPr="00C42C17" w:rsidRDefault="00FB7EDE" w:rsidP="000E4D95">
            <w:pPr>
              <w:rPr>
                <w:rFonts w:ascii="Arial" w:hAnsi="Arial" w:cs="Arial"/>
              </w:rPr>
            </w:pPr>
            <w:r w:rsidRPr="00C42C17">
              <w:rPr>
                <w:rFonts w:ascii="Arial" w:hAnsi="Arial" w:cs="Arial"/>
              </w:rPr>
              <w:t>University Carlos III of Madrid, Imdea Networks</w:t>
            </w:r>
          </w:p>
        </w:tc>
      </w:tr>
      <w:tr w:rsidR="00FB7EDE" w:rsidRPr="004013B2" w14:paraId="679CD89D" w14:textId="77777777" w:rsidTr="003330BD">
        <w:tc>
          <w:tcPr>
            <w:tcW w:w="3539" w:type="dxa"/>
          </w:tcPr>
          <w:p w14:paraId="6A6782B6" w14:textId="77777777" w:rsidR="00FB7EDE" w:rsidRPr="00C42C17" w:rsidRDefault="00FB7EDE" w:rsidP="000E4D95">
            <w:pPr>
              <w:rPr>
                <w:rFonts w:ascii="Arial" w:hAnsi="Arial" w:cs="Arial"/>
              </w:rPr>
            </w:pPr>
            <w:r w:rsidRPr="00C42C17">
              <w:rPr>
                <w:rFonts w:ascii="Arial" w:hAnsi="Arial" w:cs="Arial"/>
              </w:rPr>
              <w:t>Nikolaos Bartzoudis</w:t>
            </w:r>
          </w:p>
        </w:tc>
        <w:tc>
          <w:tcPr>
            <w:tcW w:w="5959" w:type="dxa"/>
          </w:tcPr>
          <w:p w14:paraId="200E81F8" w14:textId="77777777" w:rsidR="00FB7EDE" w:rsidRPr="00C42C17" w:rsidRDefault="00FB7EDE" w:rsidP="000E4D95">
            <w:pPr>
              <w:rPr>
                <w:rFonts w:ascii="Arial" w:hAnsi="Arial" w:cs="Arial"/>
              </w:rPr>
            </w:pPr>
            <w:r w:rsidRPr="00C42C17">
              <w:rPr>
                <w:rFonts w:ascii="Arial" w:hAnsi="Arial" w:cs="Arial"/>
              </w:rPr>
              <w:t>CTTC, Spain</w:t>
            </w:r>
          </w:p>
        </w:tc>
      </w:tr>
      <w:tr w:rsidR="00FB7EDE" w:rsidRPr="004013B2" w14:paraId="16DE91C4" w14:textId="77777777" w:rsidTr="003330BD">
        <w:tc>
          <w:tcPr>
            <w:tcW w:w="3539" w:type="dxa"/>
          </w:tcPr>
          <w:p w14:paraId="072EF0DB" w14:textId="77777777" w:rsidR="00FB7EDE" w:rsidRPr="00C42C17" w:rsidRDefault="00FB7EDE" w:rsidP="000E4D95">
            <w:pPr>
              <w:rPr>
                <w:rFonts w:ascii="Arial" w:hAnsi="Arial" w:cs="Arial"/>
              </w:rPr>
            </w:pPr>
            <w:r w:rsidRPr="00C42C17">
              <w:rPr>
                <w:rFonts w:ascii="Arial" w:hAnsi="Arial" w:cs="Arial"/>
              </w:rPr>
              <w:t>Didier Belot</w:t>
            </w:r>
          </w:p>
        </w:tc>
        <w:tc>
          <w:tcPr>
            <w:tcW w:w="5959" w:type="dxa"/>
          </w:tcPr>
          <w:p w14:paraId="2EDAB1AA" w14:textId="74A21AD4" w:rsidR="00FB7EDE" w:rsidRPr="00C42C17" w:rsidRDefault="00832584" w:rsidP="000E4D95">
            <w:pPr>
              <w:rPr>
                <w:rFonts w:ascii="Arial" w:hAnsi="Arial" w:cs="Arial"/>
              </w:rPr>
            </w:pPr>
            <w:r>
              <w:rPr>
                <w:rFonts w:ascii="Arial" w:hAnsi="Arial" w:cs="Arial"/>
              </w:rPr>
              <w:t>CEA-LETI</w:t>
            </w:r>
          </w:p>
        </w:tc>
      </w:tr>
      <w:tr w:rsidR="00FB7EDE" w:rsidRPr="004013B2" w14:paraId="3312DE84" w14:textId="77777777" w:rsidTr="003330BD">
        <w:tc>
          <w:tcPr>
            <w:tcW w:w="3539" w:type="dxa"/>
          </w:tcPr>
          <w:p w14:paraId="738AB8DC" w14:textId="77777777" w:rsidR="00FB7EDE" w:rsidRPr="00C42C17" w:rsidRDefault="00FB7EDE" w:rsidP="000E4D95">
            <w:pPr>
              <w:rPr>
                <w:rFonts w:ascii="Arial" w:hAnsi="Arial" w:cs="Arial"/>
              </w:rPr>
            </w:pPr>
            <w:r w:rsidRPr="00C42C17">
              <w:rPr>
                <w:rFonts w:ascii="Arial" w:hAnsi="Arial" w:cs="Arial"/>
              </w:rPr>
              <w:t>Jose Manuel Bernabeu Auban</w:t>
            </w:r>
          </w:p>
        </w:tc>
        <w:tc>
          <w:tcPr>
            <w:tcW w:w="5959" w:type="dxa"/>
          </w:tcPr>
          <w:p w14:paraId="2BE2B3A7" w14:textId="77777777" w:rsidR="00FB7EDE" w:rsidRPr="00C42C17" w:rsidRDefault="00FB7EDE" w:rsidP="000E4D95">
            <w:pPr>
              <w:rPr>
                <w:rFonts w:ascii="Arial" w:hAnsi="Arial" w:cs="Arial"/>
              </w:rPr>
            </w:pPr>
            <w:r w:rsidRPr="00C42C17">
              <w:rPr>
                <w:rFonts w:ascii="Arial" w:hAnsi="Arial" w:cs="Arial"/>
              </w:rPr>
              <w:t>ITI</w:t>
            </w:r>
          </w:p>
        </w:tc>
      </w:tr>
      <w:tr w:rsidR="00FB7EDE" w:rsidRPr="004013B2" w14:paraId="76C9B8E1" w14:textId="77777777" w:rsidTr="003330BD">
        <w:tc>
          <w:tcPr>
            <w:tcW w:w="3539" w:type="dxa"/>
          </w:tcPr>
          <w:p w14:paraId="75EF476A" w14:textId="77777777" w:rsidR="00FB7EDE" w:rsidRPr="00C42C17" w:rsidRDefault="00FB7EDE" w:rsidP="000E4D95">
            <w:pPr>
              <w:rPr>
                <w:rFonts w:ascii="Arial" w:hAnsi="Arial" w:cs="Arial"/>
                <w:lang w:val="pt-PT"/>
              </w:rPr>
            </w:pPr>
            <w:r w:rsidRPr="00C42C17">
              <w:rPr>
                <w:rFonts w:ascii="Arial" w:hAnsi="Arial" w:cs="Arial"/>
                <w:lang w:val="pt-PT"/>
              </w:rPr>
              <w:t>Carlos Jesus Bernardos Cano</w:t>
            </w:r>
          </w:p>
        </w:tc>
        <w:tc>
          <w:tcPr>
            <w:tcW w:w="5959" w:type="dxa"/>
          </w:tcPr>
          <w:p w14:paraId="7793A910" w14:textId="77777777" w:rsidR="00FB7EDE" w:rsidRPr="00C42C17" w:rsidRDefault="00FB7EDE" w:rsidP="000E4D95">
            <w:pPr>
              <w:rPr>
                <w:rFonts w:ascii="Arial" w:hAnsi="Arial" w:cs="Arial"/>
                <w:lang w:val="pt-PT"/>
              </w:rPr>
            </w:pPr>
            <w:r w:rsidRPr="00C42C17">
              <w:rPr>
                <w:rFonts w:ascii="Arial" w:hAnsi="Arial" w:cs="Arial"/>
                <w:lang w:val="pt-PT"/>
              </w:rPr>
              <w:t>UC3M</w:t>
            </w:r>
          </w:p>
        </w:tc>
      </w:tr>
      <w:tr w:rsidR="00FB7EDE" w:rsidRPr="004013B2" w14:paraId="232ACB5F" w14:textId="77777777" w:rsidTr="003330BD">
        <w:tc>
          <w:tcPr>
            <w:tcW w:w="3539" w:type="dxa"/>
          </w:tcPr>
          <w:p w14:paraId="33C6897F" w14:textId="77777777" w:rsidR="00FB7EDE" w:rsidRPr="00C42C17" w:rsidRDefault="00FB7EDE" w:rsidP="000E4D95">
            <w:pPr>
              <w:rPr>
                <w:rFonts w:ascii="Arial" w:hAnsi="Arial" w:cs="Arial"/>
                <w:lang w:val="pt-PT"/>
              </w:rPr>
            </w:pPr>
            <w:r w:rsidRPr="00C42C17">
              <w:rPr>
                <w:rFonts w:ascii="Arial" w:hAnsi="Arial" w:cs="Arial"/>
                <w:lang w:val="pt-PT"/>
              </w:rPr>
              <w:t>Sébastien Bigo</w:t>
            </w:r>
          </w:p>
        </w:tc>
        <w:tc>
          <w:tcPr>
            <w:tcW w:w="5959" w:type="dxa"/>
          </w:tcPr>
          <w:p w14:paraId="6295AD6B" w14:textId="77777777" w:rsidR="00FB7EDE" w:rsidRPr="00C42C17" w:rsidRDefault="00FB7EDE" w:rsidP="000E4D95">
            <w:pPr>
              <w:rPr>
                <w:rFonts w:ascii="Arial" w:hAnsi="Arial" w:cs="Arial"/>
                <w:lang w:val="pt-PT"/>
              </w:rPr>
            </w:pPr>
            <w:r w:rsidRPr="00C42C17">
              <w:rPr>
                <w:rFonts w:ascii="Arial" w:hAnsi="Arial" w:cs="Arial"/>
                <w:lang w:val="pt-PT"/>
              </w:rPr>
              <w:t>Nokia Bell Labs</w:t>
            </w:r>
          </w:p>
        </w:tc>
      </w:tr>
      <w:tr w:rsidR="00FB7EDE" w:rsidRPr="004013B2" w14:paraId="58F89088" w14:textId="77777777" w:rsidTr="003330BD">
        <w:tc>
          <w:tcPr>
            <w:tcW w:w="3539" w:type="dxa"/>
          </w:tcPr>
          <w:p w14:paraId="3BC8CBC3" w14:textId="77777777" w:rsidR="00FB7EDE" w:rsidRPr="00C42C17" w:rsidRDefault="00FB7EDE" w:rsidP="000E4D95">
            <w:pPr>
              <w:rPr>
                <w:rFonts w:ascii="Arial" w:hAnsi="Arial" w:cs="Arial"/>
              </w:rPr>
            </w:pPr>
            <w:r w:rsidRPr="00C42C17">
              <w:rPr>
                <w:rFonts w:ascii="Arial" w:hAnsi="Arial" w:cs="Arial"/>
              </w:rPr>
              <w:t>Gregory Blanc</w:t>
            </w:r>
          </w:p>
        </w:tc>
        <w:tc>
          <w:tcPr>
            <w:tcW w:w="5959" w:type="dxa"/>
          </w:tcPr>
          <w:p w14:paraId="213DBFEC" w14:textId="77777777" w:rsidR="00FB7EDE" w:rsidRPr="00C42C17" w:rsidRDefault="00FB7EDE" w:rsidP="000E4D95">
            <w:pPr>
              <w:rPr>
                <w:rFonts w:ascii="Arial" w:hAnsi="Arial" w:cs="Arial"/>
              </w:rPr>
            </w:pPr>
            <w:r w:rsidRPr="00C42C17">
              <w:rPr>
                <w:rFonts w:ascii="Arial" w:hAnsi="Arial" w:cs="Arial"/>
              </w:rPr>
              <w:t>IMT</w:t>
            </w:r>
          </w:p>
        </w:tc>
      </w:tr>
      <w:tr w:rsidR="003330BD" w:rsidRPr="00F25F6F" w14:paraId="4826815B" w14:textId="77777777" w:rsidTr="003330BD">
        <w:tc>
          <w:tcPr>
            <w:tcW w:w="3539" w:type="dxa"/>
          </w:tcPr>
          <w:p w14:paraId="28E2022D" w14:textId="77777777" w:rsidR="003330BD" w:rsidRPr="00F25F6F" w:rsidRDefault="003330BD" w:rsidP="003330BD">
            <w:pPr>
              <w:pStyle w:val="EndnoteText"/>
              <w:spacing w:before="0" w:line="240" w:lineRule="auto"/>
              <w:rPr>
                <w:rFonts w:ascii="Arial" w:hAnsi="Arial" w:cs="Arial"/>
                <w:color w:val="000000" w:themeColor="text1"/>
                <w:sz w:val="22"/>
                <w:szCs w:val="22"/>
              </w:rPr>
            </w:pPr>
            <w:r w:rsidRPr="001B48DC">
              <w:rPr>
                <w:rFonts w:ascii="Arial" w:hAnsi="Arial" w:cs="Arial"/>
                <w:sz w:val="22"/>
                <w:szCs w:val="22"/>
              </w:rPr>
              <w:t>Nicola Blefari-Melazzi</w:t>
            </w:r>
          </w:p>
        </w:tc>
        <w:tc>
          <w:tcPr>
            <w:tcW w:w="5959" w:type="dxa"/>
          </w:tcPr>
          <w:p w14:paraId="017A33EB" w14:textId="77777777" w:rsidR="003330BD" w:rsidRPr="00F25F6F" w:rsidRDefault="003330BD" w:rsidP="001B48DC">
            <w:pPr>
              <w:pStyle w:val="EndnoteText"/>
              <w:spacing w:before="0" w:line="240" w:lineRule="auto"/>
              <w:ind w:left="0" w:firstLine="0"/>
              <w:rPr>
                <w:rFonts w:ascii="Arial" w:hAnsi="Arial" w:cs="Arial"/>
                <w:color w:val="000000" w:themeColor="text1"/>
                <w:sz w:val="22"/>
                <w:szCs w:val="22"/>
              </w:rPr>
            </w:pPr>
            <w:r w:rsidRPr="00F25F6F">
              <w:rPr>
                <w:rFonts w:ascii="Arial" w:hAnsi="Arial" w:cs="Arial"/>
                <w:color w:val="000000" w:themeColor="text1"/>
                <w:sz w:val="22"/>
                <w:szCs w:val="22"/>
              </w:rPr>
              <w:t>CNIT</w:t>
            </w:r>
          </w:p>
        </w:tc>
      </w:tr>
      <w:tr w:rsidR="00FB7EDE" w:rsidRPr="004013B2" w14:paraId="5D021D4D" w14:textId="77777777" w:rsidTr="003330BD">
        <w:tc>
          <w:tcPr>
            <w:tcW w:w="3539" w:type="dxa"/>
          </w:tcPr>
          <w:p w14:paraId="52CD9C67" w14:textId="77777777" w:rsidR="00FB7EDE" w:rsidRPr="00C42C17" w:rsidRDefault="00FB7EDE" w:rsidP="000E4D95">
            <w:pPr>
              <w:rPr>
                <w:rFonts w:ascii="Arial" w:hAnsi="Arial" w:cs="Arial"/>
              </w:rPr>
            </w:pPr>
            <w:r w:rsidRPr="00C42C17">
              <w:rPr>
                <w:rFonts w:ascii="Arial" w:hAnsi="Arial" w:cs="Arial"/>
              </w:rPr>
              <w:t>Marja-Matinmikko Blue</w:t>
            </w:r>
          </w:p>
        </w:tc>
        <w:tc>
          <w:tcPr>
            <w:tcW w:w="5959" w:type="dxa"/>
          </w:tcPr>
          <w:p w14:paraId="34F603F2" w14:textId="77777777" w:rsidR="00FB7EDE" w:rsidRPr="00C42C17" w:rsidRDefault="00FB7EDE" w:rsidP="000E4D95">
            <w:pPr>
              <w:rPr>
                <w:rFonts w:ascii="Arial" w:hAnsi="Arial" w:cs="Arial"/>
              </w:rPr>
            </w:pPr>
            <w:r w:rsidRPr="00C42C17">
              <w:rPr>
                <w:rFonts w:ascii="Arial" w:hAnsi="Arial" w:cs="Arial"/>
              </w:rPr>
              <w:t>Unversity of Oulu</w:t>
            </w:r>
          </w:p>
        </w:tc>
      </w:tr>
      <w:tr w:rsidR="00FB7EDE" w:rsidRPr="004013B2" w14:paraId="5F33FBE7" w14:textId="77777777" w:rsidTr="003330BD">
        <w:tc>
          <w:tcPr>
            <w:tcW w:w="3539" w:type="dxa"/>
          </w:tcPr>
          <w:p w14:paraId="352AEA44" w14:textId="77777777" w:rsidR="00FB7EDE" w:rsidRPr="00C42C17" w:rsidRDefault="00FB7EDE" w:rsidP="000E4D95">
            <w:pPr>
              <w:rPr>
                <w:rFonts w:ascii="Arial" w:hAnsi="Arial" w:cs="Arial"/>
              </w:rPr>
            </w:pPr>
            <w:r w:rsidRPr="00C42C17">
              <w:rPr>
                <w:rFonts w:ascii="Arial" w:hAnsi="Arial" w:cs="Arial"/>
              </w:rPr>
              <w:t>Harald Bock</w:t>
            </w:r>
          </w:p>
        </w:tc>
        <w:tc>
          <w:tcPr>
            <w:tcW w:w="5959" w:type="dxa"/>
          </w:tcPr>
          <w:p w14:paraId="4A69FDA2" w14:textId="77777777" w:rsidR="00FB7EDE" w:rsidRPr="00C42C17" w:rsidRDefault="00FB7EDE" w:rsidP="000E4D95">
            <w:pPr>
              <w:rPr>
                <w:rFonts w:ascii="Arial" w:hAnsi="Arial" w:cs="Arial"/>
              </w:rPr>
            </w:pPr>
            <w:r w:rsidRPr="00C42C17">
              <w:rPr>
                <w:rFonts w:ascii="Arial" w:hAnsi="Arial" w:cs="Arial"/>
              </w:rPr>
              <w:t>Infinera</w:t>
            </w:r>
          </w:p>
        </w:tc>
      </w:tr>
      <w:tr w:rsidR="00FB7EDE" w:rsidRPr="004013B2" w14:paraId="43CD0EC0" w14:textId="77777777" w:rsidTr="003330BD">
        <w:tc>
          <w:tcPr>
            <w:tcW w:w="3539" w:type="dxa"/>
          </w:tcPr>
          <w:p w14:paraId="6853B4C4" w14:textId="77777777" w:rsidR="00FB7EDE" w:rsidRPr="00C42C17" w:rsidRDefault="00FB7EDE" w:rsidP="000E4D95">
            <w:pPr>
              <w:rPr>
                <w:rFonts w:ascii="Arial" w:hAnsi="Arial" w:cs="Arial"/>
              </w:rPr>
            </w:pPr>
            <w:r w:rsidRPr="00C42C17">
              <w:rPr>
                <w:rFonts w:ascii="Arial" w:hAnsi="Arial" w:cs="Arial"/>
              </w:rPr>
              <w:t>José Bonnet</w:t>
            </w:r>
          </w:p>
        </w:tc>
        <w:tc>
          <w:tcPr>
            <w:tcW w:w="5959" w:type="dxa"/>
          </w:tcPr>
          <w:p w14:paraId="6E4AB9F6" w14:textId="77777777" w:rsidR="00FB7EDE" w:rsidRPr="00C42C17" w:rsidRDefault="00FB7EDE" w:rsidP="000E4D95">
            <w:pPr>
              <w:rPr>
                <w:rFonts w:ascii="Arial" w:hAnsi="Arial" w:cs="Arial"/>
              </w:rPr>
            </w:pPr>
            <w:r w:rsidRPr="00C42C17">
              <w:rPr>
                <w:rFonts w:ascii="Arial" w:hAnsi="Arial" w:cs="Arial"/>
              </w:rPr>
              <w:t>Altice Labs</w:t>
            </w:r>
          </w:p>
        </w:tc>
      </w:tr>
      <w:tr w:rsidR="00FB7EDE" w:rsidRPr="004013B2" w14:paraId="5DD2AE1C" w14:textId="77777777" w:rsidTr="003330BD">
        <w:tc>
          <w:tcPr>
            <w:tcW w:w="3539" w:type="dxa"/>
          </w:tcPr>
          <w:p w14:paraId="2CBBA34F" w14:textId="77777777" w:rsidR="00FB7EDE" w:rsidRPr="00C42C17" w:rsidRDefault="00FB7EDE" w:rsidP="000E4D95">
            <w:pPr>
              <w:rPr>
                <w:rFonts w:ascii="Arial" w:hAnsi="Arial" w:cs="Arial"/>
              </w:rPr>
            </w:pPr>
            <w:r w:rsidRPr="00C42C17">
              <w:rPr>
                <w:rFonts w:ascii="Arial" w:hAnsi="Arial" w:cs="Arial"/>
              </w:rPr>
              <w:t>André Bourdoux (editor)</w:t>
            </w:r>
          </w:p>
        </w:tc>
        <w:tc>
          <w:tcPr>
            <w:tcW w:w="5959" w:type="dxa"/>
          </w:tcPr>
          <w:p w14:paraId="3574D315" w14:textId="77777777" w:rsidR="00FB7EDE" w:rsidRPr="00C42C17" w:rsidRDefault="00FB7EDE" w:rsidP="000E4D95">
            <w:pPr>
              <w:rPr>
                <w:rFonts w:ascii="Arial" w:hAnsi="Arial" w:cs="Arial"/>
              </w:rPr>
            </w:pPr>
            <w:r w:rsidRPr="00C42C17">
              <w:rPr>
                <w:rFonts w:ascii="Arial" w:hAnsi="Arial" w:cs="Arial"/>
              </w:rPr>
              <w:t>IMEC</w:t>
            </w:r>
          </w:p>
        </w:tc>
      </w:tr>
      <w:tr w:rsidR="00FB7EDE" w:rsidRPr="004013B2" w14:paraId="62A830B3" w14:textId="77777777" w:rsidTr="003330BD">
        <w:tc>
          <w:tcPr>
            <w:tcW w:w="3539" w:type="dxa"/>
          </w:tcPr>
          <w:p w14:paraId="766E4E12" w14:textId="77777777" w:rsidR="00FB7EDE" w:rsidRPr="00C42C17" w:rsidRDefault="00FB7EDE" w:rsidP="000E4D95">
            <w:pPr>
              <w:rPr>
                <w:rFonts w:ascii="Arial" w:hAnsi="Arial" w:cs="Arial"/>
              </w:rPr>
            </w:pPr>
            <w:r w:rsidRPr="00C42C17">
              <w:rPr>
                <w:rFonts w:ascii="Arial" w:hAnsi="Arial" w:cs="Arial"/>
              </w:rPr>
              <w:t>Raffaele Bruno</w:t>
            </w:r>
          </w:p>
        </w:tc>
        <w:tc>
          <w:tcPr>
            <w:tcW w:w="5959" w:type="dxa"/>
          </w:tcPr>
          <w:p w14:paraId="00B609F2" w14:textId="77777777" w:rsidR="00FB7EDE" w:rsidRPr="00C42C17" w:rsidRDefault="00FB7EDE" w:rsidP="000E4D95">
            <w:pPr>
              <w:rPr>
                <w:rFonts w:ascii="Arial" w:hAnsi="Arial" w:cs="Arial"/>
              </w:rPr>
            </w:pPr>
            <w:r w:rsidRPr="00C42C17">
              <w:rPr>
                <w:rFonts w:ascii="Arial" w:hAnsi="Arial" w:cs="Arial"/>
              </w:rPr>
              <w:t>National Research Council – Italy</w:t>
            </w:r>
          </w:p>
        </w:tc>
      </w:tr>
      <w:tr w:rsidR="00FB7EDE" w:rsidRPr="004013B2" w14:paraId="28477623" w14:textId="77777777" w:rsidTr="003330BD">
        <w:tc>
          <w:tcPr>
            <w:tcW w:w="3539" w:type="dxa"/>
          </w:tcPr>
          <w:p w14:paraId="69612E2C" w14:textId="77777777" w:rsidR="00FB7EDE" w:rsidRPr="00C42C17" w:rsidRDefault="00FB7EDE" w:rsidP="000E4D95">
            <w:pPr>
              <w:rPr>
                <w:rFonts w:ascii="Arial" w:hAnsi="Arial" w:cs="Arial"/>
              </w:rPr>
            </w:pPr>
            <w:r w:rsidRPr="00C42C17">
              <w:rPr>
                <w:rFonts w:ascii="Arial" w:hAnsi="Arial" w:cs="Arial"/>
              </w:rPr>
              <w:t>Giuseppe Caire</w:t>
            </w:r>
          </w:p>
        </w:tc>
        <w:tc>
          <w:tcPr>
            <w:tcW w:w="5959" w:type="dxa"/>
          </w:tcPr>
          <w:p w14:paraId="50354FE9" w14:textId="77777777" w:rsidR="00FB7EDE" w:rsidRPr="00C42C17" w:rsidRDefault="00FB7EDE" w:rsidP="000E4D95">
            <w:pPr>
              <w:rPr>
                <w:rFonts w:ascii="Arial" w:hAnsi="Arial" w:cs="Arial"/>
              </w:rPr>
            </w:pPr>
            <w:r w:rsidRPr="00C42C17">
              <w:rPr>
                <w:rFonts w:ascii="Arial" w:hAnsi="Arial" w:cs="Arial"/>
              </w:rPr>
              <w:t>TU Berlin</w:t>
            </w:r>
          </w:p>
        </w:tc>
      </w:tr>
      <w:tr w:rsidR="00FB7EDE" w:rsidRPr="004013B2" w14:paraId="04C1CD60" w14:textId="77777777" w:rsidTr="003330BD">
        <w:tc>
          <w:tcPr>
            <w:tcW w:w="3539" w:type="dxa"/>
          </w:tcPr>
          <w:p w14:paraId="588BE40C" w14:textId="77777777" w:rsidR="00FB7EDE" w:rsidRPr="00C42C17" w:rsidRDefault="00FB7EDE" w:rsidP="000E4D95">
            <w:pPr>
              <w:rPr>
                <w:rFonts w:ascii="Arial" w:hAnsi="Arial" w:cs="Arial"/>
              </w:rPr>
            </w:pPr>
            <w:r w:rsidRPr="00C42C17">
              <w:rPr>
                <w:rFonts w:ascii="Arial" w:hAnsi="Arial" w:cs="Arial"/>
              </w:rPr>
              <w:t>Gino Carrozzo</w:t>
            </w:r>
          </w:p>
        </w:tc>
        <w:tc>
          <w:tcPr>
            <w:tcW w:w="5959" w:type="dxa"/>
          </w:tcPr>
          <w:p w14:paraId="09B87734" w14:textId="77777777" w:rsidR="00FB7EDE" w:rsidRPr="00C42C17" w:rsidRDefault="00FB7EDE" w:rsidP="000E4D95">
            <w:pPr>
              <w:rPr>
                <w:rFonts w:ascii="Arial" w:hAnsi="Arial" w:cs="Arial"/>
              </w:rPr>
            </w:pPr>
            <w:r w:rsidRPr="00C42C17">
              <w:rPr>
                <w:rFonts w:ascii="Arial" w:hAnsi="Arial" w:cs="Arial"/>
              </w:rPr>
              <w:t>Nextworks</w:t>
            </w:r>
          </w:p>
        </w:tc>
      </w:tr>
      <w:tr w:rsidR="00FB7EDE" w:rsidRPr="004013B2" w14:paraId="67D8F093" w14:textId="77777777" w:rsidTr="003330BD">
        <w:tc>
          <w:tcPr>
            <w:tcW w:w="3539" w:type="dxa"/>
          </w:tcPr>
          <w:p w14:paraId="19F09A4B" w14:textId="77777777" w:rsidR="00FB7EDE" w:rsidRPr="00C42C17" w:rsidRDefault="00FB7EDE" w:rsidP="000E4D95">
            <w:pPr>
              <w:rPr>
                <w:rFonts w:ascii="Arial" w:hAnsi="Arial" w:cs="Arial"/>
              </w:rPr>
            </w:pPr>
            <w:r w:rsidRPr="00C42C17">
              <w:rPr>
                <w:rFonts w:ascii="Arial" w:hAnsi="Arial" w:cs="Arial"/>
              </w:rPr>
              <w:t>Roberto Cascella</w:t>
            </w:r>
          </w:p>
        </w:tc>
        <w:tc>
          <w:tcPr>
            <w:tcW w:w="5959" w:type="dxa"/>
          </w:tcPr>
          <w:p w14:paraId="3E5BEE7C" w14:textId="77777777" w:rsidR="00FB7EDE" w:rsidRPr="00C42C17" w:rsidRDefault="00FB7EDE" w:rsidP="000E4D95">
            <w:pPr>
              <w:rPr>
                <w:rFonts w:ascii="Arial" w:hAnsi="Arial" w:cs="Arial"/>
              </w:rPr>
            </w:pPr>
            <w:r w:rsidRPr="00C42C17">
              <w:rPr>
                <w:rFonts w:ascii="Arial" w:hAnsi="Arial" w:cs="Arial"/>
              </w:rPr>
              <w:t>ECSO</w:t>
            </w:r>
          </w:p>
        </w:tc>
      </w:tr>
      <w:tr w:rsidR="00FB7EDE" w:rsidRPr="004013B2" w14:paraId="1DD4EBAB" w14:textId="77777777" w:rsidTr="003330BD">
        <w:tc>
          <w:tcPr>
            <w:tcW w:w="3539" w:type="dxa"/>
          </w:tcPr>
          <w:p w14:paraId="089215F7" w14:textId="77777777" w:rsidR="00FB7EDE" w:rsidRPr="00C42C17" w:rsidRDefault="00FB7EDE" w:rsidP="000E4D95">
            <w:pPr>
              <w:rPr>
                <w:rFonts w:ascii="Arial" w:hAnsi="Arial" w:cs="Arial"/>
              </w:rPr>
            </w:pPr>
            <w:r w:rsidRPr="00C42C17">
              <w:rPr>
                <w:rFonts w:ascii="Arial" w:hAnsi="Arial" w:cs="Arial"/>
              </w:rPr>
              <w:t>Ramon Casellas</w:t>
            </w:r>
          </w:p>
        </w:tc>
        <w:tc>
          <w:tcPr>
            <w:tcW w:w="5959" w:type="dxa"/>
          </w:tcPr>
          <w:p w14:paraId="6761610C" w14:textId="77777777" w:rsidR="00FB7EDE" w:rsidRPr="00C42C17" w:rsidRDefault="00FB7EDE" w:rsidP="000E4D95">
            <w:pPr>
              <w:rPr>
                <w:rFonts w:ascii="Arial" w:hAnsi="Arial" w:cs="Arial"/>
              </w:rPr>
            </w:pPr>
            <w:r w:rsidRPr="00C42C17">
              <w:rPr>
                <w:rFonts w:ascii="Arial" w:hAnsi="Arial" w:cs="Arial"/>
              </w:rPr>
              <w:t>CTTC</w:t>
            </w:r>
          </w:p>
        </w:tc>
      </w:tr>
      <w:tr w:rsidR="00FB7EDE" w:rsidRPr="004013B2" w14:paraId="588DEA82" w14:textId="77777777" w:rsidTr="003330BD">
        <w:tc>
          <w:tcPr>
            <w:tcW w:w="3539" w:type="dxa"/>
          </w:tcPr>
          <w:p w14:paraId="0C61BE97" w14:textId="77777777" w:rsidR="00FB7EDE" w:rsidRPr="00C42C17" w:rsidRDefault="00FB7EDE" w:rsidP="000E4D95">
            <w:pPr>
              <w:rPr>
                <w:rFonts w:ascii="Arial" w:hAnsi="Arial" w:cs="Arial"/>
              </w:rPr>
            </w:pPr>
            <w:r w:rsidRPr="00C42C17">
              <w:rPr>
                <w:rFonts w:ascii="Arial" w:hAnsi="Arial" w:cs="Arial"/>
              </w:rPr>
              <w:t>Francky Catthoor</w:t>
            </w:r>
          </w:p>
        </w:tc>
        <w:tc>
          <w:tcPr>
            <w:tcW w:w="5959" w:type="dxa"/>
          </w:tcPr>
          <w:p w14:paraId="1CD95490" w14:textId="18AD6EE1" w:rsidR="00FB7EDE" w:rsidRPr="00C42C17" w:rsidRDefault="00832584" w:rsidP="000E4D95">
            <w:pPr>
              <w:rPr>
                <w:rFonts w:ascii="Arial" w:hAnsi="Arial" w:cs="Arial"/>
              </w:rPr>
            </w:pPr>
            <w:r>
              <w:rPr>
                <w:rFonts w:ascii="Arial" w:hAnsi="Arial" w:cs="Arial"/>
              </w:rPr>
              <w:t>IMEC</w:t>
            </w:r>
          </w:p>
        </w:tc>
      </w:tr>
      <w:tr w:rsidR="00FB7EDE" w:rsidRPr="004013B2" w14:paraId="0FDE79AF" w14:textId="77777777" w:rsidTr="003330BD">
        <w:tc>
          <w:tcPr>
            <w:tcW w:w="3539" w:type="dxa"/>
          </w:tcPr>
          <w:p w14:paraId="576A6108" w14:textId="77777777" w:rsidR="00FB7EDE" w:rsidRPr="00C42C17" w:rsidRDefault="00FB7EDE" w:rsidP="000E4D95">
            <w:pPr>
              <w:rPr>
                <w:rFonts w:ascii="Arial" w:hAnsi="Arial" w:cs="Arial"/>
              </w:rPr>
            </w:pPr>
            <w:r w:rsidRPr="00C42C17">
              <w:rPr>
                <w:rFonts w:ascii="Arial" w:hAnsi="Arial" w:cs="Arial"/>
              </w:rPr>
              <w:t>Fabio Cavaliere</w:t>
            </w:r>
          </w:p>
        </w:tc>
        <w:tc>
          <w:tcPr>
            <w:tcW w:w="5959" w:type="dxa"/>
          </w:tcPr>
          <w:p w14:paraId="271947A6" w14:textId="77777777" w:rsidR="00FB7EDE" w:rsidRPr="00C42C17" w:rsidRDefault="00FB7EDE" w:rsidP="000E4D95">
            <w:pPr>
              <w:rPr>
                <w:rFonts w:ascii="Arial" w:hAnsi="Arial" w:cs="Arial"/>
              </w:rPr>
            </w:pPr>
            <w:r w:rsidRPr="00C42C17">
              <w:rPr>
                <w:rFonts w:ascii="Arial" w:hAnsi="Arial" w:cs="Arial"/>
              </w:rPr>
              <w:t>Ericsson</w:t>
            </w:r>
          </w:p>
        </w:tc>
      </w:tr>
      <w:tr w:rsidR="00FB7EDE" w:rsidRPr="004013B2" w14:paraId="7E6DCE4C" w14:textId="77777777" w:rsidTr="003330BD">
        <w:tc>
          <w:tcPr>
            <w:tcW w:w="3539" w:type="dxa"/>
          </w:tcPr>
          <w:p w14:paraId="64EEE1E6" w14:textId="77777777" w:rsidR="00FB7EDE" w:rsidRPr="00C42C17" w:rsidRDefault="00FB7EDE" w:rsidP="000E4D95">
            <w:pPr>
              <w:rPr>
                <w:rFonts w:ascii="Arial" w:hAnsi="Arial" w:cs="Arial"/>
              </w:rPr>
            </w:pPr>
            <w:r w:rsidRPr="00C42C17">
              <w:rPr>
                <w:rFonts w:ascii="Arial" w:hAnsi="Arial" w:cs="Arial"/>
              </w:rPr>
              <w:t>Claudio Cicconetti</w:t>
            </w:r>
          </w:p>
        </w:tc>
        <w:tc>
          <w:tcPr>
            <w:tcW w:w="5959" w:type="dxa"/>
          </w:tcPr>
          <w:p w14:paraId="3B5D1EA7" w14:textId="77777777" w:rsidR="00FB7EDE" w:rsidRPr="00C42C17" w:rsidRDefault="00FB7EDE" w:rsidP="000E4D95">
            <w:pPr>
              <w:rPr>
                <w:rFonts w:ascii="Arial" w:hAnsi="Arial" w:cs="Arial"/>
              </w:rPr>
            </w:pPr>
            <w:r w:rsidRPr="00C42C17">
              <w:rPr>
                <w:rFonts w:ascii="Arial" w:hAnsi="Arial" w:cs="Arial"/>
              </w:rPr>
              <w:t>National Research Council – Italy</w:t>
            </w:r>
          </w:p>
        </w:tc>
      </w:tr>
      <w:tr w:rsidR="00FB7EDE" w:rsidRPr="004013B2" w14:paraId="1D9400F8" w14:textId="77777777" w:rsidTr="003330BD">
        <w:tc>
          <w:tcPr>
            <w:tcW w:w="3539" w:type="dxa"/>
          </w:tcPr>
          <w:p w14:paraId="55902D73" w14:textId="77777777" w:rsidR="00FB7EDE" w:rsidRPr="00C42C17" w:rsidRDefault="00FB7EDE" w:rsidP="000E4D95">
            <w:pPr>
              <w:rPr>
                <w:rFonts w:ascii="Arial" w:hAnsi="Arial" w:cs="Arial"/>
                <w:lang w:val="pt-PT"/>
              </w:rPr>
            </w:pPr>
            <w:r w:rsidRPr="00C42C17">
              <w:rPr>
                <w:rFonts w:ascii="Arial" w:hAnsi="Arial" w:cs="Arial"/>
                <w:lang w:val="pt-PT"/>
              </w:rPr>
              <w:t>Nicola Ciulli</w:t>
            </w:r>
          </w:p>
        </w:tc>
        <w:tc>
          <w:tcPr>
            <w:tcW w:w="5959" w:type="dxa"/>
          </w:tcPr>
          <w:p w14:paraId="172C67BA" w14:textId="77777777" w:rsidR="00FB7EDE" w:rsidRPr="00C42C17" w:rsidRDefault="00FB7EDE" w:rsidP="000E4D95">
            <w:pPr>
              <w:rPr>
                <w:rFonts w:ascii="Arial" w:hAnsi="Arial" w:cs="Arial"/>
                <w:lang w:val="pt-PT"/>
              </w:rPr>
            </w:pPr>
            <w:r w:rsidRPr="00C42C17">
              <w:rPr>
                <w:rFonts w:ascii="Arial" w:hAnsi="Arial" w:cs="Arial"/>
                <w:lang w:val="pt-PT"/>
              </w:rPr>
              <w:t>Nextworks</w:t>
            </w:r>
          </w:p>
        </w:tc>
      </w:tr>
      <w:tr w:rsidR="00FB7EDE" w:rsidRPr="00353F91" w14:paraId="7D0EC9BD" w14:textId="77777777" w:rsidTr="003330BD">
        <w:tc>
          <w:tcPr>
            <w:tcW w:w="3539" w:type="dxa"/>
          </w:tcPr>
          <w:p w14:paraId="51F5FEFD" w14:textId="77777777" w:rsidR="00FB7EDE" w:rsidRPr="00C42C17" w:rsidRDefault="00FB7EDE" w:rsidP="000E4D95">
            <w:pPr>
              <w:rPr>
                <w:rFonts w:ascii="Arial" w:hAnsi="Arial" w:cs="Arial"/>
                <w:lang w:val="pt-PT"/>
              </w:rPr>
            </w:pPr>
            <w:r w:rsidRPr="00C42C17">
              <w:rPr>
                <w:rFonts w:ascii="Arial" w:hAnsi="Arial" w:cs="Arial"/>
                <w:lang w:val="pt-PT"/>
              </w:rPr>
              <w:t>Daniel Corujo</w:t>
            </w:r>
          </w:p>
        </w:tc>
        <w:tc>
          <w:tcPr>
            <w:tcW w:w="5959" w:type="dxa"/>
          </w:tcPr>
          <w:p w14:paraId="65440208" w14:textId="77777777" w:rsidR="00FB7EDE" w:rsidRPr="00C42C17" w:rsidRDefault="00FB7EDE" w:rsidP="000E4D95">
            <w:pPr>
              <w:rPr>
                <w:rFonts w:ascii="Arial" w:hAnsi="Arial" w:cs="Arial"/>
                <w:lang w:val="pt-PT"/>
              </w:rPr>
            </w:pPr>
            <w:r w:rsidRPr="00C42C17">
              <w:rPr>
                <w:rFonts w:ascii="Arial" w:hAnsi="Arial" w:cs="Arial"/>
                <w:lang w:val="pt-PT"/>
              </w:rPr>
              <w:t>Instituto de Telecomunicações, Univ. de Aveiro</w:t>
            </w:r>
          </w:p>
        </w:tc>
      </w:tr>
      <w:tr w:rsidR="00FB7EDE" w:rsidRPr="004013B2" w14:paraId="1A1B9D2F" w14:textId="77777777" w:rsidTr="003330BD">
        <w:tc>
          <w:tcPr>
            <w:tcW w:w="3539" w:type="dxa"/>
          </w:tcPr>
          <w:p w14:paraId="3B5E59E3" w14:textId="77777777" w:rsidR="00FB7EDE" w:rsidRPr="00C42C17" w:rsidRDefault="00FB7EDE" w:rsidP="000E4D95">
            <w:pPr>
              <w:rPr>
                <w:rFonts w:ascii="Arial" w:hAnsi="Arial" w:cs="Arial"/>
                <w:lang w:val="pt-PT"/>
              </w:rPr>
            </w:pPr>
            <w:r w:rsidRPr="00C42C17">
              <w:rPr>
                <w:rFonts w:ascii="Arial" w:hAnsi="Arial" w:cs="Arial"/>
                <w:lang w:val="pt-PT"/>
              </w:rPr>
              <w:t>Emmanuel Dotaro (Editor)</w:t>
            </w:r>
          </w:p>
        </w:tc>
        <w:tc>
          <w:tcPr>
            <w:tcW w:w="5959" w:type="dxa"/>
          </w:tcPr>
          <w:p w14:paraId="2DAB279E" w14:textId="77777777" w:rsidR="00FB7EDE" w:rsidRPr="00C42C17" w:rsidRDefault="00FB7EDE" w:rsidP="000E4D95">
            <w:pPr>
              <w:rPr>
                <w:rFonts w:ascii="Arial" w:hAnsi="Arial" w:cs="Arial"/>
                <w:lang w:val="pt-PT"/>
              </w:rPr>
            </w:pPr>
            <w:r w:rsidRPr="00C42C17">
              <w:rPr>
                <w:rFonts w:ascii="Arial" w:hAnsi="Arial" w:cs="Arial"/>
                <w:lang w:val="pt-PT"/>
              </w:rPr>
              <w:t>Thales</w:t>
            </w:r>
          </w:p>
        </w:tc>
      </w:tr>
      <w:tr w:rsidR="00FB7EDE" w:rsidRPr="004013B2" w14:paraId="217A55D1" w14:textId="77777777" w:rsidTr="003330BD">
        <w:tc>
          <w:tcPr>
            <w:tcW w:w="3539" w:type="dxa"/>
          </w:tcPr>
          <w:p w14:paraId="3069E42D" w14:textId="77777777" w:rsidR="00FB7EDE" w:rsidRPr="00C42C17" w:rsidRDefault="00FB7EDE" w:rsidP="000E4D95">
            <w:pPr>
              <w:rPr>
                <w:rFonts w:ascii="Arial" w:hAnsi="Arial" w:cs="Arial"/>
                <w:lang w:val="pt-PT"/>
              </w:rPr>
            </w:pPr>
            <w:r w:rsidRPr="00C42C17">
              <w:rPr>
                <w:rFonts w:ascii="Arial" w:hAnsi="Arial" w:cs="Arial"/>
                <w:lang w:val="pt-PT"/>
              </w:rPr>
              <w:t>Jan Craninckx</w:t>
            </w:r>
          </w:p>
        </w:tc>
        <w:tc>
          <w:tcPr>
            <w:tcW w:w="5959" w:type="dxa"/>
          </w:tcPr>
          <w:p w14:paraId="69634C7D" w14:textId="1153191E" w:rsidR="00FB7EDE" w:rsidRPr="00C42C17" w:rsidRDefault="00832584" w:rsidP="000E4D95">
            <w:pPr>
              <w:rPr>
                <w:rFonts w:ascii="Arial" w:hAnsi="Arial" w:cs="Arial"/>
                <w:lang w:val="pt-PT"/>
              </w:rPr>
            </w:pPr>
            <w:r>
              <w:rPr>
                <w:rFonts w:ascii="Arial" w:hAnsi="Arial" w:cs="Arial"/>
                <w:lang w:val="pt-PT"/>
              </w:rPr>
              <w:t>IMEC</w:t>
            </w:r>
          </w:p>
        </w:tc>
      </w:tr>
      <w:tr w:rsidR="00FB7EDE" w:rsidRPr="004013B2" w14:paraId="554314E0" w14:textId="77777777" w:rsidTr="003330BD">
        <w:tc>
          <w:tcPr>
            <w:tcW w:w="3539" w:type="dxa"/>
          </w:tcPr>
          <w:p w14:paraId="6D3AF6CF" w14:textId="77777777" w:rsidR="00FB7EDE" w:rsidRPr="00C42C17" w:rsidRDefault="00FB7EDE" w:rsidP="000E4D95">
            <w:pPr>
              <w:rPr>
                <w:rFonts w:ascii="Arial" w:hAnsi="Arial" w:cs="Arial"/>
              </w:rPr>
            </w:pPr>
            <w:r w:rsidRPr="00C42C17">
              <w:rPr>
                <w:rFonts w:ascii="Arial" w:hAnsi="Arial" w:cs="Arial"/>
              </w:rPr>
              <w:t>Filippo Cugini</w:t>
            </w:r>
          </w:p>
        </w:tc>
        <w:tc>
          <w:tcPr>
            <w:tcW w:w="5959" w:type="dxa"/>
          </w:tcPr>
          <w:p w14:paraId="0A1B52C5" w14:textId="77777777" w:rsidR="00FB7EDE" w:rsidRPr="00C42C17" w:rsidRDefault="00FB7EDE" w:rsidP="000E4D95">
            <w:pPr>
              <w:rPr>
                <w:rFonts w:ascii="Arial" w:hAnsi="Arial" w:cs="Arial"/>
              </w:rPr>
            </w:pPr>
            <w:r w:rsidRPr="00C42C17">
              <w:rPr>
                <w:rFonts w:ascii="Arial" w:hAnsi="Arial" w:cs="Arial"/>
              </w:rPr>
              <w:t>CNIT</w:t>
            </w:r>
          </w:p>
        </w:tc>
      </w:tr>
      <w:tr w:rsidR="00FB7EDE" w:rsidRPr="004013B2" w14:paraId="71E07312" w14:textId="77777777" w:rsidTr="003330BD">
        <w:tc>
          <w:tcPr>
            <w:tcW w:w="3539" w:type="dxa"/>
          </w:tcPr>
          <w:p w14:paraId="0984AFE4" w14:textId="77777777" w:rsidR="00FB7EDE" w:rsidRPr="00C42C17" w:rsidRDefault="00FB7EDE" w:rsidP="000E4D95">
            <w:pPr>
              <w:rPr>
                <w:rFonts w:ascii="Arial" w:hAnsi="Arial" w:cs="Arial"/>
              </w:rPr>
            </w:pPr>
            <w:r w:rsidRPr="00C42C17">
              <w:rPr>
                <w:rFonts w:ascii="Arial" w:hAnsi="Arial" w:cs="Arial"/>
              </w:rPr>
              <w:t>Francesco D’andria</w:t>
            </w:r>
          </w:p>
        </w:tc>
        <w:tc>
          <w:tcPr>
            <w:tcW w:w="5959" w:type="dxa"/>
          </w:tcPr>
          <w:p w14:paraId="425C817D" w14:textId="77777777" w:rsidR="00FB7EDE" w:rsidRPr="00C42C17" w:rsidRDefault="00FB7EDE" w:rsidP="000E4D95">
            <w:pPr>
              <w:rPr>
                <w:rFonts w:ascii="Arial" w:hAnsi="Arial" w:cs="Arial"/>
              </w:rPr>
            </w:pPr>
            <w:r w:rsidRPr="00C42C17">
              <w:rPr>
                <w:rFonts w:ascii="Arial" w:hAnsi="Arial" w:cs="Arial"/>
              </w:rPr>
              <w:t>ATOS Spain</w:t>
            </w:r>
          </w:p>
        </w:tc>
      </w:tr>
      <w:tr w:rsidR="00FB7EDE" w:rsidRPr="004013B2" w14:paraId="37DBC8F4" w14:textId="77777777" w:rsidTr="003330BD">
        <w:tc>
          <w:tcPr>
            <w:tcW w:w="3539" w:type="dxa"/>
          </w:tcPr>
          <w:p w14:paraId="4AAB7180" w14:textId="77777777" w:rsidR="00FB7EDE" w:rsidRPr="00C42C17" w:rsidRDefault="00FB7EDE" w:rsidP="000E4D95">
            <w:pPr>
              <w:rPr>
                <w:rFonts w:ascii="Arial" w:hAnsi="Arial" w:cs="Arial"/>
              </w:rPr>
            </w:pPr>
            <w:r w:rsidRPr="00C42C17">
              <w:rPr>
                <w:rFonts w:ascii="Arial" w:hAnsi="Arial" w:cs="Arial"/>
              </w:rPr>
              <w:t>Franco Davoli</w:t>
            </w:r>
          </w:p>
        </w:tc>
        <w:tc>
          <w:tcPr>
            <w:tcW w:w="5959" w:type="dxa"/>
          </w:tcPr>
          <w:p w14:paraId="2E2E0DFF" w14:textId="77777777" w:rsidR="00FB7EDE" w:rsidRPr="00C42C17" w:rsidRDefault="00FB7EDE" w:rsidP="000E4D95">
            <w:pPr>
              <w:rPr>
                <w:rFonts w:ascii="Arial" w:hAnsi="Arial" w:cs="Arial"/>
              </w:rPr>
            </w:pPr>
            <w:r w:rsidRPr="00C42C17">
              <w:rPr>
                <w:rFonts w:ascii="Arial" w:hAnsi="Arial" w:cs="Arial"/>
              </w:rPr>
              <w:t>University of Genoa and CNIT S2N National Lab, Italy</w:t>
            </w:r>
          </w:p>
        </w:tc>
      </w:tr>
      <w:tr w:rsidR="00FB7EDE" w:rsidRPr="004013B2" w14:paraId="53574990" w14:textId="77777777" w:rsidTr="003330BD">
        <w:tc>
          <w:tcPr>
            <w:tcW w:w="3539" w:type="dxa"/>
          </w:tcPr>
          <w:p w14:paraId="05B8FFE7" w14:textId="77777777" w:rsidR="00FB7EDE" w:rsidRPr="00C42C17" w:rsidRDefault="00FB7EDE" w:rsidP="000E4D95">
            <w:pPr>
              <w:rPr>
                <w:rFonts w:ascii="Arial" w:hAnsi="Arial" w:cs="Arial"/>
                <w:lang w:val="pt-PT"/>
              </w:rPr>
            </w:pPr>
            <w:r w:rsidRPr="00C42C17">
              <w:rPr>
                <w:rFonts w:ascii="Arial" w:hAnsi="Arial" w:cs="Arial"/>
                <w:lang w:val="pt-PT"/>
              </w:rPr>
              <w:t>Tomaso De Cola</w:t>
            </w:r>
          </w:p>
        </w:tc>
        <w:tc>
          <w:tcPr>
            <w:tcW w:w="5959" w:type="dxa"/>
          </w:tcPr>
          <w:p w14:paraId="253DEA6E" w14:textId="77777777" w:rsidR="00FB7EDE" w:rsidRPr="00C42C17" w:rsidRDefault="00FB7EDE" w:rsidP="000E4D95">
            <w:pPr>
              <w:rPr>
                <w:rFonts w:ascii="Arial" w:hAnsi="Arial" w:cs="Arial"/>
                <w:lang w:val="pt-PT"/>
              </w:rPr>
            </w:pPr>
            <w:r w:rsidRPr="00C42C17">
              <w:rPr>
                <w:rFonts w:ascii="Arial" w:hAnsi="Arial" w:cs="Arial"/>
                <w:lang w:val="pt-PT"/>
              </w:rPr>
              <w:t>DLR</w:t>
            </w:r>
          </w:p>
        </w:tc>
      </w:tr>
      <w:tr w:rsidR="00FB7EDE" w:rsidRPr="004013B2" w14:paraId="3ACD9414" w14:textId="77777777" w:rsidTr="003330BD">
        <w:tc>
          <w:tcPr>
            <w:tcW w:w="3539" w:type="dxa"/>
          </w:tcPr>
          <w:p w14:paraId="56ADFDB7" w14:textId="77777777" w:rsidR="00FB7EDE" w:rsidRPr="00C42C17" w:rsidRDefault="00FB7EDE" w:rsidP="000E4D95">
            <w:pPr>
              <w:rPr>
                <w:rFonts w:ascii="Arial" w:hAnsi="Arial" w:cs="Arial"/>
                <w:lang w:val="pt-PT"/>
              </w:rPr>
            </w:pPr>
            <w:r w:rsidRPr="00C42C17">
              <w:rPr>
                <w:rFonts w:ascii="Arial" w:hAnsi="Arial" w:cs="Arial"/>
                <w:lang w:val="pt-PT"/>
              </w:rPr>
              <w:t>Hervé Debar</w:t>
            </w:r>
          </w:p>
        </w:tc>
        <w:tc>
          <w:tcPr>
            <w:tcW w:w="5959" w:type="dxa"/>
          </w:tcPr>
          <w:p w14:paraId="6BEB3E9A" w14:textId="77777777" w:rsidR="00FB7EDE" w:rsidRPr="00C42C17" w:rsidRDefault="00FB7EDE" w:rsidP="000E4D95">
            <w:pPr>
              <w:rPr>
                <w:rFonts w:ascii="Arial" w:hAnsi="Arial" w:cs="Arial"/>
                <w:lang w:val="pt-PT"/>
              </w:rPr>
            </w:pPr>
            <w:r w:rsidRPr="00C42C17">
              <w:rPr>
                <w:rFonts w:ascii="Arial" w:hAnsi="Arial" w:cs="Arial"/>
                <w:lang w:val="pt-PT"/>
              </w:rPr>
              <w:t>ECSO, IMT</w:t>
            </w:r>
          </w:p>
        </w:tc>
      </w:tr>
      <w:tr w:rsidR="00FB7EDE" w:rsidRPr="004013B2" w14:paraId="435861D9" w14:textId="77777777" w:rsidTr="003330BD">
        <w:tc>
          <w:tcPr>
            <w:tcW w:w="3539" w:type="dxa"/>
          </w:tcPr>
          <w:p w14:paraId="7BB6A019" w14:textId="77777777" w:rsidR="00FB7EDE" w:rsidRPr="00C42C17" w:rsidRDefault="00FB7EDE" w:rsidP="000E4D95">
            <w:pPr>
              <w:rPr>
                <w:rFonts w:ascii="Arial" w:hAnsi="Arial" w:cs="Arial"/>
                <w:lang w:val="pt-PT"/>
              </w:rPr>
            </w:pPr>
            <w:r w:rsidRPr="00C42C17">
              <w:rPr>
                <w:rFonts w:ascii="Arial" w:hAnsi="Arial" w:cs="Arial"/>
                <w:lang w:val="pt-PT"/>
              </w:rPr>
              <w:t>Thomas Delamotte</w:t>
            </w:r>
          </w:p>
        </w:tc>
        <w:tc>
          <w:tcPr>
            <w:tcW w:w="5959" w:type="dxa"/>
          </w:tcPr>
          <w:p w14:paraId="2828E14F" w14:textId="77777777" w:rsidR="00FB7EDE" w:rsidRPr="00C42C17" w:rsidRDefault="00FB7EDE" w:rsidP="000E4D95">
            <w:pPr>
              <w:rPr>
                <w:rFonts w:ascii="Arial" w:hAnsi="Arial" w:cs="Arial"/>
                <w:lang w:val="pt-PT"/>
              </w:rPr>
            </w:pPr>
            <w:r w:rsidRPr="00C42C17">
              <w:rPr>
                <w:rFonts w:ascii="Arial" w:hAnsi="Arial" w:cs="Arial"/>
                <w:lang w:val="pt-PT"/>
              </w:rPr>
              <w:t>University of Munich</w:t>
            </w:r>
          </w:p>
        </w:tc>
      </w:tr>
      <w:tr w:rsidR="00FB7EDE" w:rsidRPr="00353F91" w14:paraId="7AB84FA9" w14:textId="77777777" w:rsidTr="003330BD">
        <w:tc>
          <w:tcPr>
            <w:tcW w:w="3539" w:type="dxa"/>
          </w:tcPr>
          <w:p w14:paraId="30AEACFB" w14:textId="77777777" w:rsidR="00FB7EDE" w:rsidRPr="00C42C17" w:rsidRDefault="00FB7EDE" w:rsidP="000E4D95">
            <w:pPr>
              <w:rPr>
                <w:rFonts w:ascii="Arial" w:hAnsi="Arial" w:cs="Arial"/>
                <w:lang w:val="pt-PT"/>
              </w:rPr>
            </w:pPr>
            <w:r w:rsidRPr="00C42C17">
              <w:rPr>
                <w:rFonts w:ascii="Arial" w:hAnsi="Arial" w:cs="Arial"/>
                <w:lang w:val="pt-PT"/>
              </w:rPr>
              <w:t>Paolo Dini</w:t>
            </w:r>
          </w:p>
        </w:tc>
        <w:tc>
          <w:tcPr>
            <w:tcW w:w="5959" w:type="dxa"/>
          </w:tcPr>
          <w:p w14:paraId="382EE948" w14:textId="77777777" w:rsidR="00FB7EDE" w:rsidRPr="00C42C17" w:rsidRDefault="00FB7EDE" w:rsidP="000E4D95">
            <w:pPr>
              <w:rPr>
                <w:rFonts w:ascii="Arial" w:hAnsi="Arial" w:cs="Arial"/>
                <w:lang w:val="pt-PT"/>
              </w:rPr>
            </w:pPr>
            <w:r w:rsidRPr="00C42C17">
              <w:rPr>
                <w:rFonts w:ascii="Arial" w:hAnsi="Arial" w:cs="Arial"/>
                <w:lang w:val="pt-PT"/>
              </w:rPr>
              <w:t>Centre Tecnologic de Telecomunicacions de Catalunya CTTC, Spain</w:t>
            </w:r>
          </w:p>
        </w:tc>
      </w:tr>
      <w:tr w:rsidR="00FB7EDE" w:rsidRPr="0014051E" w14:paraId="7885A27F" w14:textId="77777777" w:rsidTr="003330BD">
        <w:tc>
          <w:tcPr>
            <w:tcW w:w="3539" w:type="dxa"/>
          </w:tcPr>
          <w:p w14:paraId="0BD504CD" w14:textId="77777777" w:rsidR="00FB7EDE" w:rsidRPr="00C42C17" w:rsidRDefault="00FB7EDE" w:rsidP="000E4D95">
            <w:pPr>
              <w:rPr>
                <w:rFonts w:ascii="Arial" w:hAnsi="Arial" w:cs="Arial"/>
                <w:lang w:val="pt-PT"/>
              </w:rPr>
            </w:pPr>
            <w:r w:rsidRPr="00C42C17">
              <w:rPr>
                <w:rFonts w:ascii="Arial" w:hAnsi="Arial" w:cs="Arial"/>
                <w:lang w:val="pt-PT"/>
              </w:rPr>
              <w:t>Rui Dinis</w:t>
            </w:r>
          </w:p>
        </w:tc>
        <w:tc>
          <w:tcPr>
            <w:tcW w:w="5959" w:type="dxa"/>
          </w:tcPr>
          <w:p w14:paraId="0625F070" w14:textId="77777777" w:rsidR="00FB7EDE" w:rsidRPr="00832584" w:rsidRDefault="00FB7EDE" w:rsidP="000E4D95">
            <w:pPr>
              <w:rPr>
                <w:rFonts w:ascii="Arial" w:hAnsi="Arial" w:cs="Arial"/>
                <w:sz w:val="20"/>
                <w:szCs w:val="20"/>
                <w:lang w:val="pt-PT"/>
              </w:rPr>
            </w:pPr>
            <w:r w:rsidRPr="00832584">
              <w:rPr>
                <w:rFonts w:ascii="Arial" w:hAnsi="Arial" w:cs="Arial"/>
                <w:sz w:val="20"/>
                <w:szCs w:val="20"/>
                <w:lang w:val="pt-PT"/>
              </w:rPr>
              <w:t>Instituto de Telecomunicações (IT) / Nova University of Lisbon</w:t>
            </w:r>
          </w:p>
        </w:tc>
      </w:tr>
      <w:tr w:rsidR="00FB7EDE" w:rsidRPr="004013B2" w14:paraId="5476DE22" w14:textId="77777777" w:rsidTr="003330BD">
        <w:tc>
          <w:tcPr>
            <w:tcW w:w="3539" w:type="dxa"/>
          </w:tcPr>
          <w:p w14:paraId="39B7C99D" w14:textId="77777777" w:rsidR="00FB7EDE" w:rsidRPr="00C42C17" w:rsidRDefault="00FB7EDE" w:rsidP="000E4D95">
            <w:pPr>
              <w:rPr>
                <w:rFonts w:ascii="Arial" w:hAnsi="Arial" w:cs="Arial"/>
              </w:rPr>
            </w:pPr>
            <w:r w:rsidRPr="00C42C17">
              <w:rPr>
                <w:rFonts w:ascii="Arial" w:hAnsi="Arial" w:cs="Arial"/>
              </w:rPr>
              <w:t>Michael Eiselt</w:t>
            </w:r>
          </w:p>
        </w:tc>
        <w:tc>
          <w:tcPr>
            <w:tcW w:w="5959" w:type="dxa"/>
          </w:tcPr>
          <w:p w14:paraId="5ABE6007" w14:textId="77777777" w:rsidR="00FB7EDE" w:rsidRPr="00C42C17" w:rsidRDefault="00FB7EDE" w:rsidP="000E4D95">
            <w:pPr>
              <w:rPr>
                <w:rFonts w:ascii="Arial" w:hAnsi="Arial" w:cs="Arial"/>
              </w:rPr>
            </w:pPr>
            <w:r w:rsidRPr="00C42C17">
              <w:rPr>
                <w:rFonts w:ascii="Arial" w:hAnsi="Arial" w:cs="Arial"/>
              </w:rPr>
              <w:t>ADVA</w:t>
            </w:r>
          </w:p>
        </w:tc>
      </w:tr>
      <w:tr w:rsidR="00FB7EDE" w:rsidRPr="004013B2" w14:paraId="77C0FBF0" w14:textId="77777777" w:rsidTr="003330BD">
        <w:tc>
          <w:tcPr>
            <w:tcW w:w="3539" w:type="dxa"/>
          </w:tcPr>
          <w:p w14:paraId="6F34A646" w14:textId="77777777" w:rsidR="00FB7EDE" w:rsidRPr="00C42C17" w:rsidRDefault="00FB7EDE" w:rsidP="000E4D95">
            <w:pPr>
              <w:rPr>
                <w:rFonts w:ascii="Arial" w:hAnsi="Arial" w:cs="Arial"/>
              </w:rPr>
            </w:pPr>
            <w:r w:rsidRPr="00C42C17">
              <w:rPr>
                <w:rFonts w:ascii="Arial" w:hAnsi="Arial" w:cs="Arial"/>
              </w:rPr>
              <w:t>Jörg-Peter Elbers (Editor)</w:t>
            </w:r>
          </w:p>
        </w:tc>
        <w:tc>
          <w:tcPr>
            <w:tcW w:w="5959" w:type="dxa"/>
          </w:tcPr>
          <w:p w14:paraId="51DBC929" w14:textId="77777777" w:rsidR="00FB7EDE" w:rsidRPr="00C42C17" w:rsidRDefault="00FB7EDE" w:rsidP="000E4D95">
            <w:pPr>
              <w:rPr>
                <w:rFonts w:ascii="Arial" w:hAnsi="Arial" w:cs="Arial"/>
              </w:rPr>
            </w:pPr>
            <w:r w:rsidRPr="00C42C17">
              <w:rPr>
                <w:rFonts w:ascii="Arial" w:hAnsi="Arial" w:cs="Arial"/>
              </w:rPr>
              <w:t>ADVA</w:t>
            </w:r>
          </w:p>
        </w:tc>
      </w:tr>
      <w:tr w:rsidR="00FB7EDE" w:rsidRPr="004013B2" w14:paraId="04D658EE" w14:textId="77777777" w:rsidTr="003330BD">
        <w:tc>
          <w:tcPr>
            <w:tcW w:w="3539" w:type="dxa"/>
          </w:tcPr>
          <w:p w14:paraId="418E226B" w14:textId="77777777" w:rsidR="00FB7EDE" w:rsidRPr="00C42C17" w:rsidRDefault="00FB7EDE" w:rsidP="000E4D95">
            <w:pPr>
              <w:rPr>
                <w:rFonts w:ascii="Arial" w:hAnsi="Arial" w:cs="Arial"/>
              </w:rPr>
            </w:pPr>
            <w:r w:rsidRPr="00C42C17">
              <w:rPr>
                <w:rFonts w:ascii="Arial" w:hAnsi="Arial" w:cs="Arial"/>
              </w:rPr>
              <w:t>Omar Elloumi</w:t>
            </w:r>
          </w:p>
        </w:tc>
        <w:tc>
          <w:tcPr>
            <w:tcW w:w="5959" w:type="dxa"/>
          </w:tcPr>
          <w:p w14:paraId="04CB4302" w14:textId="77777777" w:rsidR="00FB7EDE" w:rsidRPr="00C42C17" w:rsidRDefault="00FB7EDE" w:rsidP="000E4D95">
            <w:pPr>
              <w:rPr>
                <w:rFonts w:ascii="Arial" w:hAnsi="Arial" w:cs="Arial"/>
              </w:rPr>
            </w:pPr>
            <w:r w:rsidRPr="00C42C17">
              <w:rPr>
                <w:rFonts w:ascii="Arial" w:hAnsi="Arial" w:cs="Arial"/>
              </w:rPr>
              <w:t>Nokia</w:t>
            </w:r>
          </w:p>
        </w:tc>
      </w:tr>
      <w:tr w:rsidR="00FB7EDE" w:rsidRPr="004013B2" w14:paraId="7E34C447" w14:textId="77777777" w:rsidTr="003330BD">
        <w:tc>
          <w:tcPr>
            <w:tcW w:w="3539" w:type="dxa"/>
          </w:tcPr>
          <w:p w14:paraId="2E1E5497" w14:textId="77777777" w:rsidR="00FB7EDE" w:rsidRPr="00C42C17" w:rsidRDefault="00FB7EDE" w:rsidP="000E4D95">
            <w:pPr>
              <w:rPr>
                <w:rFonts w:ascii="Arial" w:hAnsi="Arial" w:cs="Arial"/>
              </w:rPr>
            </w:pPr>
            <w:r w:rsidRPr="00C42C17">
              <w:rPr>
                <w:rFonts w:ascii="Arial" w:hAnsi="Arial" w:cs="Arial"/>
              </w:rPr>
              <w:t>Barry Evans</w:t>
            </w:r>
          </w:p>
        </w:tc>
        <w:tc>
          <w:tcPr>
            <w:tcW w:w="5959" w:type="dxa"/>
          </w:tcPr>
          <w:p w14:paraId="5C9FEC30" w14:textId="77777777" w:rsidR="00FB7EDE" w:rsidRPr="00C42C17" w:rsidRDefault="00FB7EDE" w:rsidP="000E4D95">
            <w:pPr>
              <w:rPr>
                <w:rFonts w:ascii="Arial" w:hAnsi="Arial" w:cs="Arial"/>
              </w:rPr>
            </w:pPr>
            <w:r w:rsidRPr="00C42C17">
              <w:rPr>
                <w:rFonts w:ascii="Arial" w:hAnsi="Arial" w:cs="Arial"/>
              </w:rPr>
              <w:t>University of Surrey</w:t>
            </w:r>
          </w:p>
        </w:tc>
      </w:tr>
      <w:tr w:rsidR="00FB7EDE" w:rsidRPr="004013B2" w14:paraId="1882CF9F" w14:textId="77777777" w:rsidTr="003330BD">
        <w:tc>
          <w:tcPr>
            <w:tcW w:w="3539" w:type="dxa"/>
          </w:tcPr>
          <w:p w14:paraId="495AC5A3" w14:textId="77777777" w:rsidR="00FB7EDE" w:rsidRPr="00C42C17" w:rsidRDefault="00FB7EDE" w:rsidP="000E4D95">
            <w:pPr>
              <w:rPr>
                <w:rFonts w:ascii="Arial" w:hAnsi="Arial" w:cs="Arial"/>
              </w:rPr>
            </w:pPr>
            <w:r w:rsidRPr="00C42C17">
              <w:rPr>
                <w:rFonts w:ascii="Arial" w:hAnsi="Arial" w:cs="Arial"/>
              </w:rPr>
              <w:t>Gerhard Fettweis</w:t>
            </w:r>
          </w:p>
        </w:tc>
        <w:tc>
          <w:tcPr>
            <w:tcW w:w="5959" w:type="dxa"/>
          </w:tcPr>
          <w:p w14:paraId="3A5CE325" w14:textId="77777777" w:rsidR="00FB7EDE" w:rsidRPr="00C42C17" w:rsidRDefault="00FB7EDE" w:rsidP="000E4D95">
            <w:pPr>
              <w:rPr>
                <w:rFonts w:ascii="Arial" w:hAnsi="Arial" w:cs="Arial"/>
              </w:rPr>
            </w:pPr>
            <w:r w:rsidRPr="00C42C17">
              <w:rPr>
                <w:rFonts w:ascii="Arial" w:hAnsi="Arial" w:cs="Arial"/>
              </w:rPr>
              <w:t>TU Dresden</w:t>
            </w:r>
          </w:p>
        </w:tc>
      </w:tr>
      <w:tr w:rsidR="00FB7EDE" w:rsidRPr="004013B2" w14:paraId="4ECAD6BD" w14:textId="77777777" w:rsidTr="003330BD">
        <w:tc>
          <w:tcPr>
            <w:tcW w:w="3539" w:type="dxa"/>
          </w:tcPr>
          <w:p w14:paraId="6D63BDAF" w14:textId="77777777" w:rsidR="00FB7EDE" w:rsidRPr="00C42C17" w:rsidRDefault="00FB7EDE" w:rsidP="000E4D95">
            <w:pPr>
              <w:rPr>
                <w:rFonts w:ascii="Arial" w:hAnsi="Arial" w:cs="Arial"/>
              </w:rPr>
            </w:pPr>
            <w:r w:rsidRPr="00C42C17">
              <w:rPr>
                <w:rFonts w:ascii="Arial" w:hAnsi="Arial" w:cs="Arial"/>
              </w:rPr>
              <w:t>Valerio Frascolla</w:t>
            </w:r>
          </w:p>
        </w:tc>
        <w:tc>
          <w:tcPr>
            <w:tcW w:w="5959" w:type="dxa"/>
          </w:tcPr>
          <w:p w14:paraId="2670C1E3" w14:textId="6DF0D6D5" w:rsidR="00FB7EDE" w:rsidRPr="00C42C17" w:rsidRDefault="00832584" w:rsidP="000E4D95">
            <w:pPr>
              <w:rPr>
                <w:rFonts w:ascii="Arial" w:hAnsi="Arial" w:cs="Arial"/>
              </w:rPr>
            </w:pPr>
            <w:r>
              <w:rPr>
                <w:rFonts w:ascii="Arial" w:hAnsi="Arial" w:cs="Arial"/>
              </w:rPr>
              <w:t>Intel</w:t>
            </w:r>
          </w:p>
        </w:tc>
      </w:tr>
      <w:tr w:rsidR="00FB7EDE" w:rsidRPr="004013B2" w14:paraId="744A312C" w14:textId="77777777" w:rsidTr="003330BD">
        <w:tc>
          <w:tcPr>
            <w:tcW w:w="3539" w:type="dxa"/>
          </w:tcPr>
          <w:p w14:paraId="569CF01E" w14:textId="77777777" w:rsidR="00FB7EDE" w:rsidRPr="00C42C17" w:rsidRDefault="00FB7EDE" w:rsidP="000E4D95">
            <w:pPr>
              <w:rPr>
                <w:rFonts w:ascii="Arial" w:hAnsi="Arial" w:cs="Arial"/>
              </w:rPr>
            </w:pPr>
            <w:r w:rsidRPr="00C42C17">
              <w:rPr>
                <w:rFonts w:ascii="Arial" w:hAnsi="Arial" w:cs="Arial"/>
              </w:rPr>
              <w:t>Ronald Freund</w:t>
            </w:r>
          </w:p>
        </w:tc>
        <w:tc>
          <w:tcPr>
            <w:tcW w:w="5959" w:type="dxa"/>
          </w:tcPr>
          <w:p w14:paraId="5DB49879" w14:textId="77777777" w:rsidR="00FB7EDE" w:rsidRPr="00C42C17" w:rsidRDefault="00FB7EDE" w:rsidP="000E4D95">
            <w:pPr>
              <w:rPr>
                <w:rFonts w:ascii="Arial" w:hAnsi="Arial" w:cs="Arial"/>
              </w:rPr>
            </w:pPr>
            <w:r w:rsidRPr="00C42C17">
              <w:rPr>
                <w:rFonts w:ascii="Arial" w:hAnsi="Arial" w:cs="Arial"/>
              </w:rPr>
              <w:t>Fraunhofer HHI</w:t>
            </w:r>
          </w:p>
        </w:tc>
      </w:tr>
      <w:tr w:rsidR="00FB7EDE" w:rsidRPr="004013B2" w14:paraId="61CF875B" w14:textId="77777777" w:rsidTr="003330BD">
        <w:tc>
          <w:tcPr>
            <w:tcW w:w="3539" w:type="dxa"/>
          </w:tcPr>
          <w:p w14:paraId="5D4D4F4E" w14:textId="77777777" w:rsidR="00FB7EDE" w:rsidRPr="00C42C17" w:rsidRDefault="00FB7EDE" w:rsidP="000E4D95">
            <w:pPr>
              <w:rPr>
                <w:rFonts w:ascii="Arial" w:hAnsi="Arial" w:cs="Arial"/>
              </w:rPr>
            </w:pPr>
            <w:r w:rsidRPr="00C42C17">
              <w:rPr>
                <w:rFonts w:ascii="Arial" w:hAnsi="Arial" w:cs="Arial"/>
              </w:rPr>
              <w:t>Alex Galis</w:t>
            </w:r>
          </w:p>
        </w:tc>
        <w:tc>
          <w:tcPr>
            <w:tcW w:w="5959" w:type="dxa"/>
          </w:tcPr>
          <w:p w14:paraId="79E859F2" w14:textId="77777777" w:rsidR="00FB7EDE" w:rsidRPr="00C42C17" w:rsidRDefault="00FB7EDE" w:rsidP="000E4D95">
            <w:pPr>
              <w:rPr>
                <w:rFonts w:ascii="Arial" w:hAnsi="Arial" w:cs="Arial"/>
              </w:rPr>
            </w:pPr>
            <w:r w:rsidRPr="00C42C17">
              <w:rPr>
                <w:rFonts w:ascii="Arial" w:hAnsi="Arial" w:cs="Arial"/>
              </w:rPr>
              <w:t>University College London</w:t>
            </w:r>
          </w:p>
        </w:tc>
      </w:tr>
      <w:tr w:rsidR="00FB7EDE" w:rsidRPr="004013B2" w14:paraId="7F469DC9" w14:textId="77777777" w:rsidTr="003330BD">
        <w:tc>
          <w:tcPr>
            <w:tcW w:w="3539" w:type="dxa"/>
          </w:tcPr>
          <w:p w14:paraId="67E25FE2" w14:textId="77777777" w:rsidR="00FB7EDE" w:rsidRPr="00C42C17" w:rsidRDefault="00FB7EDE" w:rsidP="000E4D95">
            <w:pPr>
              <w:rPr>
                <w:rFonts w:ascii="Arial" w:hAnsi="Arial" w:cs="Arial"/>
                <w:lang w:val="pt-PT"/>
              </w:rPr>
            </w:pPr>
            <w:r w:rsidRPr="00C42C17">
              <w:rPr>
                <w:rFonts w:ascii="Arial" w:hAnsi="Arial" w:cs="Arial"/>
                <w:lang w:val="pt-PT"/>
              </w:rPr>
              <w:t>Ana Garcia</w:t>
            </w:r>
          </w:p>
        </w:tc>
        <w:tc>
          <w:tcPr>
            <w:tcW w:w="5959" w:type="dxa"/>
          </w:tcPr>
          <w:p w14:paraId="72854F78" w14:textId="77777777" w:rsidR="00FB7EDE" w:rsidRPr="00C42C17" w:rsidRDefault="00FB7EDE" w:rsidP="000E4D95">
            <w:pPr>
              <w:rPr>
                <w:rFonts w:ascii="Arial" w:hAnsi="Arial" w:cs="Arial"/>
                <w:lang w:val="pt-PT"/>
              </w:rPr>
            </w:pPr>
            <w:r w:rsidRPr="00C42C17">
              <w:rPr>
                <w:rFonts w:ascii="Arial" w:hAnsi="Arial" w:cs="Arial"/>
                <w:lang w:val="pt-PT"/>
              </w:rPr>
              <w:t>University Carlos III of Madrid</w:t>
            </w:r>
          </w:p>
        </w:tc>
      </w:tr>
      <w:tr w:rsidR="00FB7EDE" w:rsidRPr="004013B2" w14:paraId="4099C76D" w14:textId="77777777" w:rsidTr="003330BD">
        <w:tc>
          <w:tcPr>
            <w:tcW w:w="3539" w:type="dxa"/>
          </w:tcPr>
          <w:p w14:paraId="53201723" w14:textId="77777777" w:rsidR="00FB7EDE" w:rsidRPr="00C42C17" w:rsidRDefault="00FB7EDE" w:rsidP="000E4D95">
            <w:pPr>
              <w:rPr>
                <w:rFonts w:ascii="Arial" w:hAnsi="Arial" w:cs="Arial"/>
              </w:rPr>
            </w:pPr>
            <w:r w:rsidRPr="00C42C17">
              <w:rPr>
                <w:rFonts w:ascii="Arial" w:hAnsi="Arial" w:cs="Arial"/>
              </w:rPr>
              <w:lastRenderedPageBreak/>
              <w:t>Lorenza Giupponi</w:t>
            </w:r>
          </w:p>
        </w:tc>
        <w:tc>
          <w:tcPr>
            <w:tcW w:w="5959" w:type="dxa"/>
          </w:tcPr>
          <w:p w14:paraId="112481F1" w14:textId="77777777" w:rsidR="00FB7EDE" w:rsidRPr="00C42C17" w:rsidRDefault="00FB7EDE" w:rsidP="000E4D95">
            <w:pPr>
              <w:rPr>
                <w:rFonts w:ascii="Arial" w:hAnsi="Arial" w:cs="Arial"/>
              </w:rPr>
            </w:pPr>
            <w:r w:rsidRPr="00C42C17">
              <w:rPr>
                <w:rFonts w:ascii="Arial" w:hAnsi="Arial" w:cs="Arial"/>
              </w:rPr>
              <w:t>CTTC</w:t>
            </w:r>
          </w:p>
        </w:tc>
      </w:tr>
      <w:tr w:rsidR="00FB7EDE" w:rsidRPr="004013B2" w14:paraId="4AF64E79" w14:textId="77777777" w:rsidTr="003330BD">
        <w:tc>
          <w:tcPr>
            <w:tcW w:w="3539" w:type="dxa"/>
          </w:tcPr>
          <w:p w14:paraId="6684885F" w14:textId="77777777" w:rsidR="00FB7EDE" w:rsidRPr="00C42C17" w:rsidRDefault="00FB7EDE" w:rsidP="000E4D95">
            <w:pPr>
              <w:rPr>
                <w:rFonts w:ascii="Arial" w:hAnsi="Arial" w:cs="Arial"/>
              </w:rPr>
            </w:pPr>
            <w:r w:rsidRPr="00C42C17">
              <w:rPr>
                <w:rFonts w:ascii="Arial" w:hAnsi="Arial" w:cs="Arial"/>
              </w:rPr>
              <w:t>Stein Gjessing</w:t>
            </w:r>
          </w:p>
        </w:tc>
        <w:tc>
          <w:tcPr>
            <w:tcW w:w="5959" w:type="dxa"/>
          </w:tcPr>
          <w:p w14:paraId="0570944F" w14:textId="77777777" w:rsidR="00FB7EDE" w:rsidRPr="00C42C17" w:rsidRDefault="00FB7EDE" w:rsidP="000E4D95">
            <w:pPr>
              <w:rPr>
                <w:rFonts w:ascii="Arial" w:hAnsi="Arial" w:cs="Arial"/>
              </w:rPr>
            </w:pPr>
            <w:r w:rsidRPr="00C42C17">
              <w:rPr>
                <w:rFonts w:ascii="Arial" w:hAnsi="Arial" w:cs="Arial"/>
              </w:rPr>
              <w:t>University of Oslo Norway</w:t>
            </w:r>
          </w:p>
        </w:tc>
      </w:tr>
      <w:tr w:rsidR="00FB7EDE" w:rsidRPr="004013B2" w14:paraId="52582B4A" w14:textId="77777777" w:rsidTr="003330BD">
        <w:tc>
          <w:tcPr>
            <w:tcW w:w="3539" w:type="dxa"/>
          </w:tcPr>
          <w:p w14:paraId="662D6580" w14:textId="77777777" w:rsidR="00FB7EDE" w:rsidRPr="00C42C17" w:rsidRDefault="00FB7EDE" w:rsidP="000E4D95">
            <w:pPr>
              <w:rPr>
                <w:rFonts w:ascii="Arial" w:hAnsi="Arial" w:cs="Arial"/>
              </w:rPr>
            </w:pPr>
            <w:r w:rsidRPr="00C42C17">
              <w:rPr>
                <w:rFonts w:ascii="Arial" w:hAnsi="Arial" w:cs="Arial"/>
              </w:rPr>
              <w:t>Helmut Grießer</w:t>
            </w:r>
          </w:p>
        </w:tc>
        <w:tc>
          <w:tcPr>
            <w:tcW w:w="5959" w:type="dxa"/>
          </w:tcPr>
          <w:p w14:paraId="769BCEC4" w14:textId="77777777" w:rsidR="00FB7EDE" w:rsidRPr="00C42C17" w:rsidRDefault="00FB7EDE" w:rsidP="000E4D95">
            <w:pPr>
              <w:rPr>
                <w:rFonts w:ascii="Arial" w:hAnsi="Arial" w:cs="Arial"/>
              </w:rPr>
            </w:pPr>
            <w:r w:rsidRPr="00C42C17">
              <w:rPr>
                <w:rFonts w:ascii="Arial" w:hAnsi="Arial" w:cs="Arial"/>
              </w:rPr>
              <w:t>ADVA</w:t>
            </w:r>
          </w:p>
        </w:tc>
      </w:tr>
      <w:tr w:rsidR="00FB7EDE" w:rsidRPr="004013B2" w14:paraId="03193B43" w14:textId="77777777" w:rsidTr="003330BD">
        <w:tc>
          <w:tcPr>
            <w:tcW w:w="3539" w:type="dxa"/>
          </w:tcPr>
          <w:p w14:paraId="1B8199EA" w14:textId="77777777" w:rsidR="00FB7EDE" w:rsidRPr="00C42C17" w:rsidRDefault="00FB7EDE" w:rsidP="000E4D95">
            <w:pPr>
              <w:rPr>
                <w:rFonts w:ascii="Arial" w:hAnsi="Arial" w:cs="Arial"/>
              </w:rPr>
            </w:pPr>
            <w:r w:rsidRPr="00C42C17">
              <w:rPr>
                <w:rFonts w:ascii="Arial" w:hAnsi="Arial" w:cs="Arial"/>
              </w:rPr>
              <w:t>Harald Haas</w:t>
            </w:r>
          </w:p>
        </w:tc>
        <w:tc>
          <w:tcPr>
            <w:tcW w:w="5959" w:type="dxa"/>
          </w:tcPr>
          <w:p w14:paraId="55FA6C4A" w14:textId="77777777" w:rsidR="00FB7EDE" w:rsidRPr="00C42C17" w:rsidRDefault="00FB7EDE" w:rsidP="000E4D95">
            <w:pPr>
              <w:rPr>
                <w:rFonts w:ascii="Arial" w:hAnsi="Arial" w:cs="Arial"/>
              </w:rPr>
            </w:pPr>
            <w:r w:rsidRPr="00C42C17">
              <w:rPr>
                <w:rFonts w:ascii="Arial" w:hAnsi="Arial" w:cs="Arial"/>
              </w:rPr>
              <w:t>University of Edinburgh</w:t>
            </w:r>
          </w:p>
        </w:tc>
      </w:tr>
      <w:tr w:rsidR="00FB7EDE" w:rsidRPr="004013B2" w14:paraId="18EB818E" w14:textId="77777777" w:rsidTr="003330BD">
        <w:tc>
          <w:tcPr>
            <w:tcW w:w="3539" w:type="dxa"/>
          </w:tcPr>
          <w:p w14:paraId="7A032DC9" w14:textId="77777777" w:rsidR="00FB7EDE" w:rsidRPr="00C42C17" w:rsidRDefault="00FB7EDE" w:rsidP="000E4D95">
            <w:pPr>
              <w:rPr>
                <w:rFonts w:ascii="Arial" w:hAnsi="Arial" w:cs="Arial"/>
              </w:rPr>
            </w:pPr>
            <w:r w:rsidRPr="00C42C17">
              <w:rPr>
                <w:rFonts w:ascii="Arial" w:hAnsi="Arial" w:cs="Arial"/>
              </w:rPr>
              <w:t>Said Hamdioui</w:t>
            </w:r>
          </w:p>
        </w:tc>
        <w:tc>
          <w:tcPr>
            <w:tcW w:w="5959" w:type="dxa"/>
          </w:tcPr>
          <w:p w14:paraId="67007DEB" w14:textId="776596F7" w:rsidR="00FB7EDE" w:rsidRPr="00C42C17" w:rsidRDefault="00832584" w:rsidP="000E4D95">
            <w:pPr>
              <w:rPr>
                <w:rFonts w:ascii="Arial" w:hAnsi="Arial" w:cs="Arial"/>
              </w:rPr>
            </w:pPr>
            <w:r>
              <w:rPr>
                <w:rFonts w:ascii="Arial" w:hAnsi="Arial" w:cs="Arial"/>
              </w:rPr>
              <w:t>TU Delft</w:t>
            </w:r>
          </w:p>
        </w:tc>
      </w:tr>
      <w:tr w:rsidR="00B36249" w:rsidRPr="004013B2" w14:paraId="57574299" w14:textId="77777777" w:rsidTr="003330BD">
        <w:tc>
          <w:tcPr>
            <w:tcW w:w="3539" w:type="dxa"/>
          </w:tcPr>
          <w:p w14:paraId="2C09C642" w14:textId="175B29A3" w:rsidR="00B36249" w:rsidRPr="00C42C17" w:rsidRDefault="00B36249" w:rsidP="000E4D95">
            <w:pPr>
              <w:rPr>
                <w:rFonts w:ascii="Arial" w:hAnsi="Arial" w:cs="Arial"/>
              </w:rPr>
            </w:pPr>
            <w:r w:rsidRPr="00C42C17">
              <w:rPr>
                <w:rFonts w:ascii="Arial" w:hAnsi="Arial" w:cs="Arial"/>
              </w:rPr>
              <w:t>Artur Hecker (Editor)</w:t>
            </w:r>
          </w:p>
        </w:tc>
        <w:tc>
          <w:tcPr>
            <w:tcW w:w="5959" w:type="dxa"/>
          </w:tcPr>
          <w:p w14:paraId="0E07ABD2" w14:textId="023A84C8" w:rsidR="00B36249" w:rsidRPr="00C42C17" w:rsidRDefault="00B36249" w:rsidP="000E4D95">
            <w:pPr>
              <w:rPr>
                <w:rFonts w:ascii="Arial" w:hAnsi="Arial" w:cs="Arial"/>
              </w:rPr>
            </w:pPr>
            <w:r w:rsidRPr="00C42C17">
              <w:rPr>
                <w:rFonts w:ascii="Arial" w:hAnsi="Arial" w:cs="Arial"/>
              </w:rPr>
              <w:t>Huawei</w:t>
            </w:r>
          </w:p>
        </w:tc>
      </w:tr>
      <w:tr w:rsidR="00FB7EDE" w:rsidRPr="004013B2" w14:paraId="4FF98286" w14:textId="77777777" w:rsidTr="003330BD">
        <w:tc>
          <w:tcPr>
            <w:tcW w:w="3539" w:type="dxa"/>
          </w:tcPr>
          <w:p w14:paraId="1DD5EE9E" w14:textId="77777777" w:rsidR="00FB7EDE" w:rsidRPr="00C42C17" w:rsidRDefault="00FB7EDE" w:rsidP="000E4D95">
            <w:pPr>
              <w:rPr>
                <w:rFonts w:ascii="Arial" w:hAnsi="Arial" w:cs="Arial"/>
              </w:rPr>
            </w:pPr>
            <w:r w:rsidRPr="00C42C17">
              <w:rPr>
                <w:rFonts w:ascii="Arial" w:hAnsi="Arial" w:cs="Arial"/>
              </w:rPr>
              <w:t>Tim Hentschel</w:t>
            </w:r>
          </w:p>
        </w:tc>
        <w:tc>
          <w:tcPr>
            <w:tcW w:w="5959" w:type="dxa"/>
          </w:tcPr>
          <w:p w14:paraId="332FE88F" w14:textId="77777777" w:rsidR="00FB7EDE" w:rsidRPr="00C42C17" w:rsidRDefault="00FB7EDE" w:rsidP="000E4D95">
            <w:pPr>
              <w:rPr>
                <w:rFonts w:ascii="Arial" w:hAnsi="Arial" w:cs="Arial"/>
              </w:rPr>
            </w:pPr>
            <w:r w:rsidRPr="00C42C17">
              <w:rPr>
                <w:rFonts w:ascii="Arial" w:hAnsi="Arial" w:cs="Arial"/>
              </w:rPr>
              <w:t>Barkhausen Institut, Germany</w:t>
            </w:r>
          </w:p>
        </w:tc>
      </w:tr>
      <w:tr w:rsidR="00FB7EDE" w:rsidRPr="004013B2" w14:paraId="121D66A9" w14:textId="77777777" w:rsidTr="003330BD">
        <w:tc>
          <w:tcPr>
            <w:tcW w:w="3539" w:type="dxa"/>
          </w:tcPr>
          <w:p w14:paraId="321140F2" w14:textId="77777777" w:rsidR="00FB7EDE" w:rsidRPr="00C42C17" w:rsidRDefault="00FB7EDE" w:rsidP="000E4D95">
            <w:pPr>
              <w:rPr>
                <w:rFonts w:ascii="Arial" w:hAnsi="Arial" w:cs="Arial"/>
              </w:rPr>
            </w:pPr>
            <w:r w:rsidRPr="00C42C17">
              <w:rPr>
                <w:rFonts w:ascii="Arial" w:hAnsi="Arial" w:cs="Arial"/>
              </w:rPr>
              <w:t>David Hillerkuss</w:t>
            </w:r>
          </w:p>
        </w:tc>
        <w:tc>
          <w:tcPr>
            <w:tcW w:w="5959" w:type="dxa"/>
          </w:tcPr>
          <w:p w14:paraId="5AF55DD4" w14:textId="77777777" w:rsidR="00FB7EDE" w:rsidRPr="00C42C17" w:rsidRDefault="00FB7EDE" w:rsidP="000E4D95">
            <w:pPr>
              <w:rPr>
                <w:rFonts w:ascii="Arial" w:hAnsi="Arial" w:cs="Arial"/>
              </w:rPr>
            </w:pPr>
            <w:r w:rsidRPr="00C42C17">
              <w:rPr>
                <w:rFonts w:ascii="Arial" w:hAnsi="Arial" w:cs="Arial"/>
              </w:rPr>
              <w:t>Huawei</w:t>
            </w:r>
          </w:p>
        </w:tc>
      </w:tr>
      <w:tr w:rsidR="00FB7EDE" w:rsidRPr="004013B2" w14:paraId="529F57A2" w14:textId="77777777" w:rsidTr="003330BD">
        <w:tc>
          <w:tcPr>
            <w:tcW w:w="3539" w:type="dxa"/>
          </w:tcPr>
          <w:p w14:paraId="0CF8104E" w14:textId="77777777" w:rsidR="00FB7EDE" w:rsidRPr="00C42C17" w:rsidRDefault="00FB7EDE" w:rsidP="000E4D95">
            <w:pPr>
              <w:rPr>
                <w:rFonts w:ascii="Arial" w:hAnsi="Arial" w:cs="Arial"/>
              </w:rPr>
            </w:pPr>
            <w:r w:rsidRPr="00C42C17">
              <w:rPr>
                <w:rFonts w:ascii="Arial" w:hAnsi="Arial" w:cs="Arial"/>
              </w:rPr>
              <w:t>Marco Hoffmann</w:t>
            </w:r>
          </w:p>
        </w:tc>
        <w:tc>
          <w:tcPr>
            <w:tcW w:w="5959" w:type="dxa"/>
          </w:tcPr>
          <w:p w14:paraId="23962893" w14:textId="77777777" w:rsidR="00FB7EDE" w:rsidRPr="00C42C17" w:rsidRDefault="00FB7EDE" w:rsidP="000E4D95">
            <w:pPr>
              <w:rPr>
                <w:rFonts w:ascii="Arial" w:hAnsi="Arial" w:cs="Arial"/>
              </w:rPr>
            </w:pPr>
            <w:r w:rsidRPr="00C42C17">
              <w:rPr>
                <w:rFonts w:ascii="Arial" w:hAnsi="Arial" w:cs="Arial"/>
              </w:rPr>
              <w:t>Nokia</w:t>
            </w:r>
          </w:p>
        </w:tc>
      </w:tr>
      <w:tr w:rsidR="00FB7EDE" w:rsidRPr="004013B2" w14:paraId="1C8F1A2A" w14:textId="77777777" w:rsidTr="003330BD">
        <w:tc>
          <w:tcPr>
            <w:tcW w:w="3539" w:type="dxa"/>
          </w:tcPr>
          <w:p w14:paraId="45F1BF96" w14:textId="77777777" w:rsidR="00FB7EDE" w:rsidRPr="00C42C17" w:rsidRDefault="00FB7EDE" w:rsidP="000E4D95">
            <w:pPr>
              <w:rPr>
                <w:rFonts w:ascii="Arial" w:hAnsi="Arial" w:cs="Arial"/>
              </w:rPr>
            </w:pPr>
            <w:r w:rsidRPr="00C42C17">
              <w:rPr>
                <w:rFonts w:ascii="Arial" w:hAnsi="Arial" w:cs="Arial"/>
              </w:rPr>
              <w:t>Bengt Holter</w:t>
            </w:r>
          </w:p>
        </w:tc>
        <w:tc>
          <w:tcPr>
            <w:tcW w:w="5959" w:type="dxa"/>
          </w:tcPr>
          <w:p w14:paraId="664FC03F" w14:textId="783E4648" w:rsidR="00FB7EDE" w:rsidRPr="00C42C17" w:rsidRDefault="00FB7EDE" w:rsidP="000E4D95">
            <w:pPr>
              <w:rPr>
                <w:rFonts w:ascii="Arial" w:hAnsi="Arial" w:cs="Arial"/>
              </w:rPr>
            </w:pPr>
            <w:r w:rsidRPr="00C42C17">
              <w:rPr>
                <w:rFonts w:ascii="Arial" w:hAnsi="Arial" w:cs="Arial"/>
              </w:rPr>
              <w:t>SINTEF (Stiftelsen for industriel</w:t>
            </w:r>
            <w:r w:rsidR="00832584">
              <w:rPr>
                <w:rFonts w:ascii="Arial" w:hAnsi="Arial" w:cs="Arial"/>
              </w:rPr>
              <w:t>l og teknisk forskning)</w:t>
            </w:r>
          </w:p>
        </w:tc>
      </w:tr>
      <w:tr w:rsidR="00FB7EDE" w:rsidRPr="004013B2" w14:paraId="5C104B00" w14:textId="77777777" w:rsidTr="003330BD">
        <w:tc>
          <w:tcPr>
            <w:tcW w:w="3539" w:type="dxa"/>
          </w:tcPr>
          <w:p w14:paraId="38EB789A" w14:textId="77777777" w:rsidR="00FB7EDE" w:rsidRPr="00C42C17" w:rsidRDefault="00FB7EDE" w:rsidP="000E4D95">
            <w:pPr>
              <w:rPr>
                <w:rFonts w:ascii="Arial" w:hAnsi="Arial" w:cs="Arial"/>
              </w:rPr>
            </w:pPr>
            <w:r w:rsidRPr="00C42C17">
              <w:rPr>
                <w:rFonts w:ascii="Arial" w:hAnsi="Arial" w:cs="Arial"/>
              </w:rPr>
              <w:t>Marko Höyhtyä</w:t>
            </w:r>
          </w:p>
        </w:tc>
        <w:tc>
          <w:tcPr>
            <w:tcW w:w="5959" w:type="dxa"/>
          </w:tcPr>
          <w:p w14:paraId="3C7E8064" w14:textId="77777777" w:rsidR="00FB7EDE" w:rsidRPr="00C42C17" w:rsidRDefault="00FB7EDE" w:rsidP="000E4D95">
            <w:pPr>
              <w:rPr>
                <w:rFonts w:ascii="Arial" w:hAnsi="Arial" w:cs="Arial"/>
              </w:rPr>
            </w:pPr>
            <w:r w:rsidRPr="00C42C17">
              <w:rPr>
                <w:rFonts w:ascii="Arial" w:hAnsi="Arial" w:cs="Arial"/>
              </w:rPr>
              <w:t>VTT</w:t>
            </w:r>
          </w:p>
        </w:tc>
      </w:tr>
      <w:tr w:rsidR="00FB7EDE" w:rsidRPr="004013B2" w14:paraId="03D6D43B" w14:textId="77777777" w:rsidTr="003330BD">
        <w:tc>
          <w:tcPr>
            <w:tcW w:w="3539" w:type="dxa"/>
          </w:tcPr>
          <w:p w14:paraId="781A348F" w14:textId="77777777" w:rsidR="00FB7EDE" w:rsidRPr="00C42C17" w:rsidRDefault="00FB7EDE" w:rsidP="000E4D95">
            <w:pPr>
              <w:rPr>
                <w:rFonts w:ascii="Arial" w:hAnsi="Arial" w:cs="Arial"/>
              </w:rPr>
            </w:pPr>
            <w:r w:rsidRPr="00C42C17">
              <w:rPr>
                <w:rFonts w:ascii="Arial" w:hAnsi="Arial" w:cs="Arial"/>
              </w:rPr>
              <w:t>Hans-Peter Huth</w:t>
            </w:r>
          </w:p>
        </w:tc>
        <w:tc>
          <w:tcPr>
            <w:tcW w:w="5959" w:type="dxa"/>
          </w:tcPr>
          <w:p w14:paraId="205F51EE" w14:textId="77777777" w:rsidR="00FB7EDE" w:rsidRPr="00C42C17" w:rsidRDefault="00FB7EDE" w:rsidP="000E4D95">
            <w:pPr>
              <w:rPr>
                <w:rFonts w:ascii="Arial" w:hAnsi="Arial" w:cs="Arial"/>
              </w:rPr>
            </w:pPr>
            <w:r w:rsidRPr="00C42C17">
              <w:rPr>
                <w:rFonts w:ascii="Arial" w:hAnsi="Arial" w:cs="Arial"/>
              </w:rPr>
              <w:t>Siemens</w:t>
            </w:r>
          </w:p>
        </w:tc>
      </w:tr>
      <w:tr w:rsidR="00FB7EDE" w:rsidRPr="004013B2" w14:paraId="54B18B6E" w14:textId="77777777" w:rsidTr="003330BD">
        <w:tc>
          <w:tcPr>
            <w:tcW w:w="3539" w:type="dxa"/>
          </w:tcPr>
          <w:p w14:paraId="63989AD2" w14:textId="7F6CCA21" w:rsidR="00FB7EDE" w:rsidRPr="00C42C17" w:rsidRDefault="00FB7EDE" w:rsidP="000E4D95">
            <w:pPr>
              <w:rPr>
                <w:rFonts w:ascii="Arial" w:hAnsi="Arial" w:cs="Arial"/>
              </w:rPr>
            </w:pPr>
            <w:r w:rsidRPr="00C42C17">
              <w:rPr>
                <w:rFonts w:ascii="Arial" w:hAnsi="Arial" w:cs="Arial"/>
              </w:rPr>
              <w:t>Jyrki Huusko</w:t>
            </w:r>
            <w:r w:rsidR="00B36249" w:rsidRPr="00C42C17">
              <w:rPr>
                <w:rFonts w:ascii="Arial" w:hAnsi="Arial" w:cs="Arial"/>
              </w:rPr>
              <w:t xml:space="preserve"> (Editor)</w:t>
            </w:r>
          </w:p>
        </w:tc>
        <w:tc>
          <w:tcPr>
            <w:tcW w:w="5959" w:type="dxa"/>
          </w:tcPr>
          <w:p w14:paraId="70785DC0" w14:textId="77777777" w:rsidR="00FB7EDE" w:rsidRPr="00C42C17" w:rsidRDefault="00FB7EDE" w:rsidP="000E4D95">
            <w:pPr>
              <w:rPr>
                <w:rFonts w:ascii="Arial" w:hAnsi="Arial" w:cs="Arial"/>
              </w:rPr>
            </w:pPr>
            <w:r w:rsidRPr="00C42C17">
              <w:rPr>
                <w:rFonts w:ascii="Arial" w:hAnsi="Arial" w:cs="Arial"/>
              </w:rPr>
              <w:t>VTT</w:t>
            </w:r>
          </w:p>
        </w:tc>
      </w:tr>
      <w:tr w:rsidR="00FB7EDE" w:rsidRPr="004013B2" w14:paraId="5D6CECD6" w14:textId="77777777" w:rsidTr="003330BD">
        <w:tc>
          <w:tcPr>
            <w:tcW w:w="3539" w:type="dxa"/>
          </w:tcPr>
          <w:p w14:paraId="3A3EDE64" w14:textId="77777777" w:rsidR="00FB7EDE" w:rsidRPr="00C42C17" w:rsidRDefault="00FB7EDE" w:rsidP="000E4D95">
            <w:pPr>
              <w:rPr>
                <w:rFonts w:ascii="Arial" w:hAnsi="Arial" w:cs="Arial"/>
              </w:rPr>
            </w:pPr>
            <w:r w:rsidRPr="00C42C17">
              <w:rPr>
                <w:rFonts w:ascii="Arial" w:hAnsi="Arial" w:cs="Arial"/>
              </w:rPr>
              <w:t>Josep M. Jornet</w:t>
            </w:r>
          </w:p>
        </w:tc>
        <w:tc>
          <w:tcPr>
            <w:tcW w:w="5959" w:type="dxa"/>
          </w:tcPr>
          <w:p w14:paraId="18E67D98" w14:textId="77777777" w:rsidR="00FB7EDE" w:rsidRPr="00C42C17" w:rsidRDefault="00FB7EDE" w:rsidP="000E4D95">
            <w:pPr>
              <w:rPr>
                <w:rFonts w:ascii="Arial" w:hAnsi="Arial" w:cs="Arial"/>
              </w:rPr>
            </w:pPr>
            <w:r w:rsidRPr="00C42C17">
              <w:rPr>
                <w:rFonts w:ascii="Arial" w:hAnsi="Arial" w:cs="Arial"/>
              </w:rPr>
              <w:t>State University of New York at Buffalo</w:t>
            </w:r>
          </w:p>
        </w:tc>
      </w:tr>
      <w:tr w:rsidR="00FB7EDE" w:rsidRPr="004013B2" w14:paraId="5144F6D0" w14:textId="77777777" w:rsidTr="003330BD">
        <w:tc>
          <w:tcPr>
            <w:tcW w:w="3539" w:type="dxa"/>
          </w:tcPr>
          <w:p w14:paraId="36C6A58F" w14:textId="77777777" w:rsidR="00FB7EDE" w:rsidRPr="00C42C17" w:rsidRDefault="00FB7EDE" w:rsidP="000E4D95">
            <w:pPr>
              <w:rPr>
                <w:rFonts w:ascii="Arial" w:hAnsi="Arial" w:cs="Arial"/>
                <w:lang w:val="pt-PT"/>
              </w:rPr>
            </w:pPr>
            <w:r w:rsidRPr="00C42C17">
              <w:rPr>
                <w:rFonts w:ascii="Arial" w:hAnsi="Arial" w:cs="Arial"/>
                <w:lang w:val="pt-PT"/>
              </w:rPr>
              <w:t>Liu Ju</w:t>
            </w:r>
          </w:p>
        </w:tc>
        <w:tc>
          <w:tcPr>
            <w:tcW w:w="5959" w:type="dxa"/>
          </w:tcPr>
          <w:p w14:paraId="7DCA344A" w14:textId="77777777" w:rsidR="00FB7EDE" w:rsidRPr="00C42C17" w:rsidRDefault="00FB7EDE" w:rsidP="000E4D95">
            <w:pPr>
              <w:rPr>
                <w:rFonts w:ascii="Arial" w:hAnsi="Arial" w:cs="Arial"/>
                <w:lang w:val="pt-PT"/>
              </w:rPr>
            </w:pPr>
            <w:r w:rsidRPr="00C42C17">
              <w:rPr>
                <w:rFonts w:ascii="Arial" w:hAnsi="Arial" w:cs="Arial"/>
                <w:lang w:val="pt-PT"/>
              </w:rPr>
              <w:t>Huawei</w:t>
            </w:r>
          </w:p>
        </w:tc>
      </w:tr>
      <w:tr w:rsidR="00FB7EDE" w:rsidRPr="004013B2" w14:paraId="6C604B40" w14:textId="77777777" w:rsidTr="003330BD">
        <w:tc>
          <w:tcPr>
            <w:tcW w:w="3539" w:type="dxa"/>
          </w:tcPr>
          <w:p w14:paraId="5DBD742F" w14:textId="77777777" w:rsidR="00FB7EDE" w:rsidRPr="00C42C17" w:rsidRDefault="00FB7EDE" w:rsidP="000E4D95">
            <w:pPr>
              <w:rPr>
                <w:rFonts w:ascii="Arial" w:hAnsi="Arial" w:cs="Arial"/>
                <w:lang w:val="pt-PT"/>
              </w:rPr>
            </w:pPr>
            <w:r w:rsidRPr="00C42C17">
              <w:rPr>
                <w:rFonts w:ascii="Arial" w:hAnsi="Arial" w:cs="Arial"/>
                <w:lang w:val="pt-PT"/>
              </w:rPr>
              <w:t>Ana Juan</w:t>
            </w:r>
          </w:p>
        </w:tc>
        <w:tc>
          <w:tcPr>
            <w:tcW w:w="5959" w:type="dxa"/>
          </w:tcPr>
          <w:p w14:paraId="481F1B1F" w14:textId="77777777" w:rsidR="00FB7EDE" w:rsidRPr="00C42C17" w:rsidRDefault="00FB7EDE" w:rsidP="000E4D95">
            <w:pPr>
              <w:rPr>
                <w:rFonts w:ascii="Arial" w:hAnsi="Arial" w:cs="Arial"/>
                <w:lang w:val="pt-PT"/>
              </w:rPr>
            </w:pPr>
            <w:r w:rsidRPr="00C42C17">
              <w:rPr>
                <w:rFonts w:ascii="Arial" w:hAnsi="Arial" w:cs="Arial"/>
                <w:lang w:val="pt-PT"/>
              </w:rPr>
              <w:t>ATOS Spain</w:t>
            </w:r>
          </w:p>
        </w:tc>
      </w:tr>
      <w:tr w:rsidR="00FB7EDE" w:rsidRPr="004013B2" w14:paraId="4B2D2A67" w14:textId="77777777" w:rsidTr="003330BD">
        <w:tc>
          <w:tcPr>
            <w:tcW w:w="3539" w:type="dxa"/>
          </w:tcPr>
          <w:p w14:paraId="4533D208" w14:textId="77777777" w:rsidR="00FB7EDE" w:rsidRPr="00C42C17" w:rsidRDefault="00FB7EDE" w:rsidP="000E4D95">
            <w:pPr>
              <w:rPr>
                <w:rFonts w:ascii="Arial" w:hAnsi="Arial" w:cs="Arial"/>
                <w:lang w:val="pt-PT"/>
              </w:rPr>
            </w:pPr>
            <w:r w:rsidRPr="00C42C17">
              <w:rPr>
                <w:rFonts w:ascii="Arial" w:hAnsi="Arial" w:cs="Arial"/>
                <w:lang w:val="pt-PT"/>
              </w:rPr>
              <w:t>Charalampos Kalalas</w:t>
            </w:r>
          </w:p>
        </w:tc>
        <w:tc>
          <w:tcPr>
            <w:tcW w:w="5959" w:type="dxa"/>
          </w:tcPr>
          <w:p w14:paraId="700D5971" w14:textId="77777777" w:rsidR="00FB7EDE" w:rsidRPr="00C42C17" w:rsidRDefault="00FB7EDE" w:rsidP="000E4D95">
            <w:pPr>
              <w:rPr>
                <w:rFonts w:ascii="Arial" w:hAnsi="Arial" w:cs="Arial"/>
                <w:lang w:val="pt-PT"/>
              </w:rPr>
            </w:pPr>
            <w:r w:rsidRPr="00C42C17">
              <w:rPr>
                <w:rFonts w:ascii="Arial" w:hAnsi="Arial" w:cs="Arial"/>
                <w:lang w:val="pt-PT"/>
              </w:rPr>
              <w:t>CTTC</w:t>
            </w:r>
          </w:p>
        </w:tc>
      </w:tr>
      <w:tr w:rsidR="00FB7EDE" w:rsidRPr="004013B2" w14:paraId="63AA16B2" w14:textId="77777777" w:rsidTr="003330BD">
        <w:tc>
          <w:tcPr>
            <w:tcW w:w="3539" w:type="dxa"/>
          </w:tcPr>
          <w:p w14:paraId="1EC0900E" w14:textId="77777777" w:rsidR="00FB7EDE" w:rsidRPr="00C42C17" w:rsidRDefault="00FB7EDE" w:rsidP="000E4D95">
            <w:pPr>
              <w:rPr>
                <w:rFonts w:ascii="Arial" w:hAnsi="Arial" w:cs="Arial"/>
                <w:lang w:val="pt-PT"/>
              </w:rPr>
            </w:pPr>
            <w:r w:rsidRPr="00C42C17">
              <w:rPr>
                <w:rFonts w:ascii="Arial" w:hAnsi="Arial" w:cs="Arial"/>
                <w:lang w:val="pt-PT"/>
              </w:rPr>
              <w:t>Alexandros Kaloxylos</w:t>
            </w:r>
          </w:p>
        </w:tc>
        <w:tc>
          <w:tcPr>
            <w:tcW w:w="5959" w:type="dxa"/>
          </w:tcPr>
          <w:p w14:paraId="5C632C5F" w14:textId="7468C987" w:rsidR="00FB7EDE" w:rsidRPr="00C42C17" w:rsidRDefault="00B36249" w:rsidP="000E4D95">
            <w:pPr>
              <w:rPr>
                <w:rFonts w:ascii="Arial" w:hAnsi="Arial" w:cs="Arial"/>
                <w:lang w:val="pt-PT"/>
              </w:rPr>
            </w:pPr>
            <w:r w:rsidRPr="00C42C17">
              <w:rPr>
                <w:rFonts w:ascii="Arial" w:hAnsi="Arial" w:cs="Arial"/>
                <w:lang w:val="pt-PT"/>
              </w:rPr>
              <w:t>5G-PPP</w:t>
            </w:r>
          </w:p>
        </w:tc>
      </w:tr>
      <w:tr w:rsidR="00FB7EDE" w:rsidRPr="004013B2" w14:paraId="3E4E131E" w14:textId="77777777" w:rsidTr="003330BD">
        <w:tc>
          <w:tcPr>
            <w:tcW w:w="3539" w:type="dxa"/>
          </w:tcPr>
          <w:p w14:paraId="0F3590DF" w14:textId="77777777" w:rsidR="00FB7EDE" w:rsidRPr="00C42C17" w:rsidRDefault="00FB7EDE" w:rsidP="000E4D95">
            <w:pPr>
              <w:rPr>
                <w:rFonts w:ascii="Arial" w:hAnsi="Arial" w:cs="Arial"/>
              </w:rPr>
            </w:pPr>
            <w:r w:rsidRPr="00C42C17">
              <w:rPr>
                <w:rFonts w:ascii="Arial" w:hAnsi="Arial" w:cs="Arial"/>
              </w:rPr>
              <w:t>Gour Kar</w:t>
            </w:r>
          </w:p>
        </w:tc>
        <w:tc>
          <w:tcPr>
            <w:tcW w:w="5959" w:type="dxa"/>
          </w:tcPr>
          <w:p w14:paraId="15036533" w14:textId="2553AFF8" w:rsidR="00FB7EDE" w:rsidRPr="00C42C17" w:rsidRDefault="00832584" w:rsidP="000E4D95">
            <w:pPr>
              <w:rPr>
                <w:rFonts w:ascii="Arial" w:hAnsi="Arial" w:cs="Arial"/>
              </w:rPr>
            </w:pPr>
            <w:r>
              <w:rPr>
                <w:rFonts w:ascii="Arial" w:hAnsi="Arial" w:cs="Arial"/>
              </w:rPr>
              <w:t>IMEC</w:t>
            </w:r>
          </w:p>
        </w:tc>
      </w:tr>
      <w:tr w:rsidR="0014051E" w:rsidRPr="004013B2" w14:paraId="74CEAA47" w14:textId="77777777" w:rsidTr="008517AC">
        <w:tc>
          <w:tcPr>
            <w:tcW w:w="3539" w:type="dxa"/>
          </w:tcPr>
          <w:p w14:paraId="30B90266" w14:textId="77777777" w:rsidR="0014051E" w:rsidRPr="00C42C17" w:rsidRDefault="0014051E" w:rsidP="008517AC">
            <w:pPr>
              <w:rPr>
                <w:rFonts w:ascii="Arial" w:hAnsi="Arial" w:cs="Arial"/>
                <w:lang w:val="pt-PT"/>
              </w:rPr>
            </w:pPr>
            <w:r>
              <w:rPr>
                <w:rFonts w:ascii="Arial" w:hAnsi="Arial" w:cs="Arial"/>
                <w:lang w:val="pt-PT"/>
              </w:rPr>
              <w:t>Georgios K</w:t>
            </w:r>
            <w:r w:rsidRPr="00C42C17">
              <w:rPr>
                <w:rFonts w:ascii="Arial" w:hAnsi="Arial" w:cs="Arial"/>
                <w:lang w:val="pt-PT"/>
              </w:rPr>
              <w:t>aragiannis</w:t>
            </w:r>
          </w:p>
        </w:tc>
        <w:tc>
          <w:tcPr>
            <w:tcW w:w="5959" w:type="dxa"/>
          </w:tcPr>
          <w:p w14:paraId="449DCD02" w14:textId="77777777" w:rsidR="0014051E" w:rsidRPr="00C42C17" w:rsidRDefault="0014051E" w:rsidP="008517AC">
            <w:pPr>
              <w:rPr>
                <w:rFonts w:ascii="Arial" w:hAnsi="Arial" w:cs="Arial"/>
                <w:lang w:val="pt-PT"/>
              </w:rPr>
            </w:pPr>
            <w:r w:rsidRPr="00C42C17">
              <w:rPr>
                <w:rFonts w:ascii="Arial" w:hAnsi="Arial" w:cs="Arial"/>
                <w:lang w:val="pt-PT"/>
              </w:rPr>
              <w:t>Huawei</w:t>
            </w:r>
          </w:p>
        </w:tc>
      </w:tr>
      <w:tr w:rsidR="00FB7EDE" w:rsidRPr="004013B2" w14:paraId="39CD7BFE" w14:textId="77777777" w:rsidTr="003330BD">
        <w:tc>
          <w:tcPr>
            <w:tcW w:w="3539" w:type="dxa"/>
          </w:tcPr>
          <w:p w14:paraId="54404B93" w14:textId="77777777" w:rsidR="00FB7EDE" w:rsidRPr="00C42C17" w:rsidRDefault="00FB7EDE" w:rsidP="000E4D95">
            <w:pPr>
              <w:rPr>
                <w:rFonts w:ascii="Arial" w:hAnsi="Arial" w:cs="Arial"/>
              </w:rPr>
            </w:pPr>
            <w:bookmarkStart w:id="632" w:name="_GoBack"/>
            <w:bookmarkEnd w:id="632"/>
            <w:r w:rsidRPr="00C42C17">
              <w:rPr>
                <w:rFonts w:ascii="Arial" w:hAnsi="Arial" w:cs="Arial"/>
              </w:rPr>
              <w:t>Holger Karl</w:t>
            </w:r>
          </w:p>
        </w:tc>
        <w:tc>
          <w:tcPr>
            <w:tcW w:w="5959" w:type="dxa"/>
          </w:tcPr>
          <w:p w14:paraId="41A032E6" w14:textId="77777777" w:rsidR="00FB7EDE" w:rsidRPr="00C42C17" w:rsidRDefault="00FB7EDE" w:rsidP="000E4D95">
            <w:pPr>
              <w:rPr>
                <w:rFonts w:ascii="Arial" w:hAnsi="Arial" w:cs="Arial"/>
              </w:rPr>
            </w:pPr>
            <w:r w:rsidRPr="00C42C17">
              <w:rPr>
                <w:rFonts w:ascii="Arial" w:hAnsi="Arial" w:cs="Arial"/>
              </w:rPr>
              <w:t>Paderborn University</w:t>
            </w:r>
          </w:p>
        </w:tc>
      </w:tr>
      <w:tr w:rsidR="00FB7EDE" w:rsidRPr="004013B2" w14:paraId="0A390E33" w14:textId="77777777" w:rsidTr="003330BD">
        <w:tc>
          <w:tcPr>
            <w:tcW w:w="3539" w:type="dxa"/>
          </w:tcPr>
          <w:p w14:paraId="1B1AA255" w14:textId="77777777" w:rsidR="00FB7EDE" w:rsidRPr="00C42C17" w:rsidRDefault="00FB7EDE" w:rsidP="000E4D95">
            <w:pPr>
              <w:rPr>
                <w:rFonts w:ascii="Arial" w:hAnsi="Arial" w:cs="Arial"/>
              </w:rPr>
            </w:pPr>
            <w:r w:rsidRPr="00C42C17">
              <w:rPr>
                <w:rFonts w:ascii="Arial" w:hAnsi="Arial" w:cs="Arial"/>
              </w:rPr>
              <w:t>Raymond Knopp</w:t>
            </w:r>
          </w:p>
        </w:tc>
        <w:tc>
          <w:tcPr>
            <w:tcW w:w="5959" w:type="dxa"/>
          </w:tcPr>
          <w:p w14:paraId="67D24F4C" w14:textId="77777777" w:rsidR="00FB7EDE" w:rsidRPr="00C42C17" w:rsidRDefault="00FB7EDE" w:rsidP="000E4D95">
            <w:pPr>
              <w:rPr>
                <w:rFonts w:ascii="Arial" w:hAnsi="Arial" w:cs="Arial"/>
              </w:rPr>
            </w:pPr>
            <w:r w:rsidRPr="00C42C17">
              <w:rPr>
                <w:rFonts w:ascii="Arial" w:hAnsi="Arial" w:cs="Arial"/>
              </w:rPr>
              <w:t>EURECOM</w:t>
            </w:r>
          </w:p>
        </w:tc>
      </w:tr>
      <w:tr w:rsidR="00FB7EDE" w:rsidRPr="004013B2" w14:paraId="35452658" w14:textId="77777777" w:rsidTr="003330BD">
        <w:tc>
          <w:tcPr>
            <w:tcW w:w="3539" w:type="dxa"/>
          </w:tcPr>
          <w:p w14:paraId="49E26A1B" w14:textId="77777777" w:rsidR="00FB7EDE" w:rsidRPr="00C42C17" w:rsidRDefault="00FB7EDE" w:rsidP="000E4D95">
            <w:pPr>
              <w:rPr>
                <w:rFonts w:ascii="Arial" w:hAnsi="Arial" w:cs="Arial"/>
              </w:rPr>
            </w:pPr>
            <w:r w:rsidRPr="00C42C17">
              <w:rPr>
                <w:rFonts w:ascii="Arial" w:hAnsi="Arial" w:cs="Arial"/>
              </w:rPr>
              <w:t>Florent Krichner</w:t>
            </w:r>
          </w:p>
        </w:tc>
        <w:tc>
          <w:tcPr>
            <w:tcW w:w="5959" w:type="dxa"/>
          </w:tcPr>
          <w:p w14:paraId="0E0D74C3" w14:textId="77777777" w:rsidR="00FB7EDE" w:rsidRPr="00C42C17" w:rsidRDefault="00FB7EDE" w:rsidP="000E4D95">
            <w:pPr>
              <w:rPr>
                <w:rFonts w:ascii="Arial" w:hAnsi="Arial" w:cs="Arial"/>
              </w:rPr>
            </w:pPr>
            <w:r w:rsidRPr="00C42C17">
              <w:rPr>
                <w:rFonts w:ascii="Arial" w:hAnsi="Arial" w:cs="Arial"/>
              </w:rPr>
              <w:t>SPARTA, CEA</w:t>
            </w:r>
          </w:p>
        </w:tc>
      </w:tr>
      <w:tr w:rsidR="00FB7EDE" w:rsidRPr="004013B2" w14:paraId="5DACF0CB" w14:textId="77777777" w:rsidTr="003330BD">
        <w:tc>
          <w:tcPr>
            <w:tcW w:w="3539" w:type="dxa"/>
          </w:tcPr>
          <w:p w14:paraId="38DCDF14" w14:textId="77777777" w:rsidR="00FB7EDE" w:rsidRPr="00C42C17" w:rsidRDefault="00FB7EDE" w:rsidP="000E4D95">
            <w:pPr>
              <w:rPr>
                <w:rFonts w:ascii="Arial" w:hAnsi="Arial" w:cs="Arial"/>
              </w:rPr>
            </w:pPr>
            <w:r w:rsidRPr="00C42C17">
              <w:rPr>
                <w:rFonts w:ascii="Arial" w:hAnsi="Arial" w:cs="Arial"/>
              </w:rPr>
              <w:t>Evgeny Kucheryavy</w:t>
            </w:r>
          </w:p>
        </w:tc>
        <w:tc>
          <w:tcPr>
            <w:tcW w:w="5959" w:type="dxa"/>
          </w:tcPr>
          <w:p w14:paraId="0C66C554" w14:textId="77777777" w:rsidR="00FB7EDE" w:rsidRPr="00C42C17" w:rsidRDefault="00FB7EDE" w:rsidP="000E4D95">
            <w:pPr>
              <w:rPr>
                <w:rFonts w:ascii="Arial" w:hAnsi="Arial" w:cs="Arial"/>
              </w:rPr>
            </w:pPr>
            <w:r w:rsidRPr="00C42C17">
              <w:rPr>
                <w:rFonts w:ascii="Arial" w:hAnsi="Arial" w:cs="Arial"/>
              </w:rPr>
              <w:t>Tampere University of Technology</w:t>
            </w:r>
          </w:p>
        </w:tc>
      </w:tr>
      <w:tr w:rsidR="00FB7EDE" w:rsidRPr="004013B2" w14:paraId="5CBD1D91" w14:textId="77777777" w:rsidTr="003330BD">
        <w:tc>
          <w:tcPr>
            <w:tcW w:w="3539" w:type="dxa"/>
          </w:tcPr>
          <w:p w14:paraId="4E9E8E50" w14:textId="77777777" w:rsidR="00FB7EDE" w:rsidRPr="00C42C17" w:rsidRDefault="00FB7EDE" w:rsidP="000E4D95">
            <w:pPr>
              <w:rPr>
                <w:rFonts w:ascii="Arial" w:hAnsi="Arial" w:cs="Arial"/>
              </w:rPr>
            </w:pPr>
            <w:r w:rsidRPr="00C42C17">
              <w:rPr>
                <w:rFonts w:ascii="Arial" w:hAnsi="Arial" w:cs="Arial"/>
              </w:rPr>
              <w:t>Eva Lagunas</w:t>
            </w:r>
          </w:p>
        </w:tc>
        <w:tc>
          <w:tcPr>
            <w:tcW w:w="5959" w:type="dxa"/>
          </w:tcPr>
          <w:p w14:paraId="33C6627D" w14:textId="77777777" w:rsidR="00FB7EDE" w:rsidRPr="00C42C17" w:rsidRDefault="00FB7EDE" w:rsidP="000E4D95">
            <w:pPr>
              <w:rPr>
                <w:rFonts w:ascii="Arial" w:hAnsi="Arial" w:cs="Arial"/>
              </w:rPr>
            </w:pPr>
            <w:r w:rsidRPr="00C42C17">
              <w:rPr>
                <w:rFonts w:ascii="Arial" w:hAnsi="Arial" w:cs="Arial"/>
              </w:rPr>
              <w:t>University of Luxembourg</w:t>
            </w:r>
          </w:p>
        </w:tc>
      </w:tr>
      <w:tr w:rsidR="00FB7EDE" w:rsidRPr="004013B2" w14:paraId="5A2F37FF" w14:textId="77777777" w:rsidTr="003330BD">
        <w:tc>
          <w:tcPr>
            <w:tcW w:w="3539" w:type="dxa"/>
          </w:tcPr>
          <w:p w14:paraId="5E241A71" w14:textId="77777777" w:rsidR="00FB7EDE" w:rsidRPr="00C42C17" w:rsidRDefault="00FB7EDE" w:rsidP="000E4D95">
            <w:pPr>
              <w:rPr>
                <w:rFonts w:ascii="Arial" w:hAnsi="Arial" w:cs="Arial"/>
              </w:rPr>
            </w:pPr>
            <w:r w:rsidRPr="00C42C17">
              <w:rPr>
                <w:rFonts w:ascii="Arial" w:hAnsi="Arial" w:cs="Arial"/>
              </w:rPr>
              <w:t>Yao-Hong Liu</w:t>
            </w:r>
          </w:p>
        </w:tc>
        <w:tc>
          <w:tcPr>
            <w:tcW w:w="5959" w:type="dxa"/>
          </w:tcPr>
          <w:p w14:paraId="2A1747EE" w14:textId="3AA11B69" w:rsidR="00FB7EDE" w:rsidRPr="00C42C17" w:rsidRDefault="00832584" w:rsidP="000E4D95">
            <w:pPr>
              <w:rPr>
                <w:rFonts w:ascii="Arial" w:hAnsi="Arial" w:cs="Arial"/>
              </w:rPr>
            </w:pPr>
            <w:r>
              <w:rPr>
                <w:rFonts w:ascii="Arial" w:hAnsi="Arial" w:cs="Arial"/>
              </w:rPr>
              <w:t>IMEC-NL</w:t>
            </w:r>
          </w:p>
        </w:tc>
      </w:tr>
      <w:tr w:rsidR="00FB7EDE" w:rsidRPr="004013B2" w14:paraId="05CF810C" w14:textId="77777777" w:rsidTr="003330BD">
        <w:tc>
          <w:tcPr>
            <w:tcW w:w="3539" w:type="dxa"/>
          </w:tcPr>
          <w:p w14:paraId="608416DD" w14:textId="77777777" w:rsidR="00FB7EDE" w:rsidRPr="00C42C17" w:rsidRDefault="00FB7EDE" w:rsidP="000E4D95">
            <w:pPr>
              <w:rPr>
                <w:rFonts w:ascii="Arial" w:hAnsi="Arial" w:cs="Arial"/>
                <w:lang w:val="pt-PT"/>
              </w:rPr>
            </w:pPr>
            <w:r w:rsidRPr="00C42C17">
              <w:rPr>
                <w:rFonts w:ascii="Arial" w:hAnsi="Arial" w:cs="Arial"/>
                <w:lang w:val="pt-PT"/>
              </w:rPr>
              <w:t>Michele Luglio</w:t>
            </w:r>
          </w:p>
        </w:tc>
        <w:tc>
          <w:tcPr>
            <w:tcW w:w="5959" w:type="dxa"/>
          </w:tcPr>
          <w:p w14:paraId="466E0556" w14:textId="77777777" w:rsidR="00FB7EDE" w:rsidRPr="00C42C17" w:rsidRDefault="00FB7EDE" w:rsidP="000E4D95">
            <w:pPr>
              <w:rPr>
                <w:rFonts w:ascii="Arial" w:hAnsi="Arial" w:cs="Arial"/>
              </w:rPr>
            </w:pPr>
            <w:r w:rsidRPr="00C42C17">
              <w:rPr>
                <w:rFonts w:ascii="Arial" w:hAnsi="Arial" w:cs="Arial"/>
              </w:rPr>
              <w:t>University of Rome Tor Vergata</w:t>
            </w:r>
          </w:p>
        </w:tc>
      </w:tr>
      <w:tr w:rsidR="00FB7EDE" w:rsidRPr="004013B2" w14:paraId="73ABE6BA" w14:textId="77777777" w:rsidTr="003330BD">
        <w:tc>
          <w:tcPr>
            <w:tcW w:w="3539" w:type="dxa"/>
          </w:tcPr>
          <w:p w14:paraId="049663CF" w14:textId="77777777" w:rsidR="00FB7EDE" w:rsidRPr="00C42C17" w:rsidRDefault="00FB7EDE" w:rsidP="000E4D95">
            <w:pPr>
              <w:rPr>
                <w:rFonts w:ascii="Arial" w:hAnsi="Arial" w:cs="Arial"/>
                <w:lang w:val="pt-PT"/>
              </w:rPr>
            </w:pPr>
            <w:r w:rsidRPr="00C42C17">
              <w:rPr>
                <w:rFonts w:ascii="Arial" w:hAnsi="Arial" w:cs="Arial"/>
                <w:lang w:val="pt-PT"/>
              </w:rPr>
              <w:t>Antonio Manzalini</w:t>
            </w:r>
          </w:p>
        </w:tc>
        <w:tc>
          <w:tcPr>
            <w:tcW w:w="5959" w:type="dxa"/>
          </w:tcPr>
          <w:p w14:paraId="187FA364" w14:textId="77777777" w:rsidR="00FB7EDE" w:rsidRPr="00C42C17" w:rsidRDefault="00FB7EDE" w:rsidP="000E4D95">
            <w:pPr>
              <w:rPr>
                <w:rFonts w:ascii="Arial" w:hAnsi="Arial" w:cs="Arial"/>
                <w:lang w:val="pt-PT"/>
              </w:rPr>
            </w:pPr>
            <w:r w:rsidRPr="00C42C17">
              <w:rPr>
                <w:rFonts w:ascii="Arial" w:hAnsi="Arial" w:cs="Arial"/>
                <w:lang w:val="pt-PT"/>
              </w:rPr>
              <w:t>TIM (Telecom Italia) - Italy</w:t>
            </w:r>
          </w:p>
        </w:tc>
      </w:tr>
      <w:tr w:rsidR="00FB7EDE" w:rsidRPr="004013B2" w14:paraId="455A3D4B" w14:textId="77777777" w:rsidTr="003330BD">
        <w:tc>
          <w:tcPr>
            <w:tcW w:w="3539" w:type="dxa"/>
          </w:tcPr>
          <w:p w14:paraId="24BF5EA4" w14:textId="77777777" w:rsidR="00FB7EDE" w:rsidRPr="00C42C17" w:rsidRDefault="00FB7EDE" w:rsidP="000E4D95">
            <w:pPr>
              <w:rPr>
                <w:rFonts w:ascii="Arial" w:hAnsi="Arial" w:cs="Arial"/>
                <w:lang w:val="pt-PT"/>
              </w:rPr>
            </w:pPr>
            <w:r w:rsidRPr="00C42C17">
              <w:rPr>
                <w:rFonts w:ascii="Arial" w:hAnsi="Arial" w:cs="Arial"/>
                <w:lang w:val="pt-PT"/>
              </w:rPr>
              <w:t>Mario Marchese</w:t>
            </w:r>
          </w:p>
        </w:tc>
        <w:tc>
          <w:tcPr>
            <w:tcW w:w="5959" w:type="dxa"/>
          </w:tcPr>
          <w:p w14:paraId="5C9E70CD" w14:textId="77777777" w:rsidR="00FB7EDE" w:rsidRPr="00C42C17" w:rsidRDefault="00FB7EDE" w:rsidP="000E4D95">
            <w:pPr>
              <w:rPr>
                <w:rFonts w:ascii="Arial" w:hAnsi="Arial" w:cs="Arial"/>
                <w:lang w:val="pt-PT"/>
              </w:rPr>
            </w:pPr>
            <w:r w:rsidRPr="00C42C17">
              <w:rPr>
                <w:rFonts w:ascii="Arial" w:hAnsi="Arial" w:cs="Arial"/>
                <w:lang w:val="pt-PT"/>
              </w:rPr>
              <w:t>University of Genova</w:t>
            </w:r>
          </w:p>
        </w:tc>
      </w:tr>
      <w:tr w:rsidR="00FB7EDE" w:rsidRPr="004013B2" w14:paraId="3FB60994" w14:textId="77777777" w:rsidTr="003330BD">
        <w:tc>
          <w:tcPr>
            <w:tcW w:w="3539" w:type="dxa"/>
          </w:tcPr>
          <w:p w14:paraId="31EE3166" w14:textId="77777777" w:rsidR="00FB7EDE" w:rsidRPr="00C42C17" w:rsidRDefault="00FB7EDE" w:rsidP="000E4D95">
            <w:pPr>
              <w:rPr>
                <w:rFonts w:ascii="Arial" w:hAnsi="Arial" w:cs="Arial"/>
                <w:lang w:val="pt-PT"/>
              </w:rPr>
            </w:pPr>
            <w:r w:rsidRPr="00C42C17">
              <w:rPr>
                <w:rFonts w:ascii="Arial" w:hAnsi="Arial" w:cs="Arial"/>
                <w:lang w:val="pt-PT"/>
              </w:rPr>
              <w:t>Josep Martrat (editor)</w:t>
            </w:r>
          </w:p>
        </w:tc>
        <w:tc>
          <w:tcPr>
            <w:tcW w:w="5959" w:type="dxa"/>
          </w:tcPr>
          <w:p w14:paraId="19E9F704" w14:textId="77777777" w:rsidR="00FB7EDE" w:rsidRPr="00C42C17" w:rsidRDefault="00FB7EDE" w:rsidP="000E4D95">
            <w:pPr>
              <w:rPr>
                <w:rFonts w:ascii="Arial" w:hAnsi="Arial" w:cs="Arial"/>
                <w:lang w:val="pt-PT"/>
              </w:rPr>
            </w:pPr>
            <w:r w:rsidRPr="00C42C17">
              <w:rPr>
                <w:rFonts w:ascii="Arial" w:hAnsi="Arial" w:cs="Arial"/>
                <w:lang w:val="pt-PT"/>
              </w:rPr>
              <w:t>ATOS Spain</w:t>
            </w:r>
          </w:p>
        </w:tc>
      </w:tr>
      <w:tr w:rsidR="00FB7EDE" w:rsidRPr="004013B2" w14:paraId="44A637B6" w14:textId="77777777" w:rsidTr="003330BD">
        <w:tc>
          <w:tcPr>
            <w:tcW w:w="3539" w:type="dxa"/>
          </w:tcPr>
          <w:p w14:paraId="459A444A" w14:textId="77777777" w:rsidR="00FB7EDE" w:rsidRPr="00C42C17" w:rsidRDefault="00FB7EDE" w:rsidP="000E4D95">
            <w:pPr>
              <w:rPr>
                <w:rFonts w:ascii="Arial" w:hAnsi="Arial" w:cs="Arial"/>
                <w:lang w:val="pt-PT"/>
              </w:rPr>
            </w:pPr>
            <w:r w:rsidRPr="00C42C17">
              <w:rPr>
                <w:rFonts w:ascii="Arial" w:hAnsi="Arial" w:cs="Arial"/>
                <w:lang w:val="pt-PT"/>
              </w:rPr>
              <w:t>Enzo Mingozzi</w:t>
            </w:r>
          </w:p>
        </w:tc>
        <w:tc>
          <w:tcPr>
            <w:tcW w:w="5959" w:type="dxa"/>
          </w:tcPr>
          <w:p w14:paraId="4A3A9656" w14:textId="77777777" w:rsidR="00FB7EDE" w:rsidRPr="00C42C17" w:rsidRDefault="00FB7EDE" w:rsidP="000E4D95">
            <w:pPr>
              <w:rPr>
                <w:rFonts w:ascii="Arial" w:hAnsi="Arial" w:cs="Arial"/>
                <w:lang w:val="pt-PT"/>
              </w:rPr>
            </w:pPr>
            <w:r w:rsidRPr="00C42C17">
              <w:rPr>
                <w:rFonts w:ascii="Arial" w:hAnsi="Arial" w:cs="Arial"/>
                <w:lang w:val="pt-PT"/>
              </w:rPr>
              <w:t>University of Pisa</w:t>
            </w:r>
          </w:p>
        </w:tc>
      </w:tr>
      <w:tr w:rsidR="00FB7EDE" w:rsidRPr="0014051E" w14:paraId="2579B1E3" w14:textId="77777777" w:rsidTr="003330BD">
        <w:tc>
          <w:tcPr>
            <w:tcW w:w="3539" w:type="dxa"/>
          </w:tcPr>
          <w:p w14:paraId="37B40C1F" w14:textId="77777777" w:rsidR="00FB7EDE" w:rsidRPr="00C42C17" w:rsidRDefault="00FB7EDE" w:rsidP="000E4D95">
            <w:pPr>
              <w:rPr>
                <w:rFonts w:ascii="Arial" w:hAnsi="Arial" w:cs="Arial"/>
                <w:lang w:val="pt-PT"/>
              </w:rPr>
            </w:pPr>
            <w:r w:rsidRPr="00C42C17">
              <w:rPr>
                <w:rFonts w:ascii="Arial" w:hAnsi="Arial" w:cs="Arial"/>
                <w:lang w:val="pt-PT"/>
              </w:rPr>
              <w:t>Marco Miozzo</w:t>
            </w:r>
          </w:p>
        </w:tc>
        <w:tc>
          <w:tcPr>
            <w:tcW w:w="5959" w:type="dxa"/>
          </w:tcPr>
          <w:p w14:paraId="1141D449" w14:textId="177349D4" w:rsidR="00FB7EDE" w:rsidRPr="00C42C17" w:rsidRDefault="00FB7EDE" w:rsidP="000E4D95">
            <w:pPr>
              <w:rPr>
                <w:rFonts w:ascii="Arial" w:hAnsi="Arial" w:cs="Arial"/>
                <w:lang w:val="pt-PT"/>
              </w:rPr>
            </w:pPr>
            <w:r w:rsidRPr="00C42C17">
              <w:rPr>
                <w:rFonts w:ascii="Arial" w:hAnsi="Arial" w:cs="Arial"/>
                <w:lang w:val="pt-PT"/>
              </w:rPr>
              <w:t>Centre Tecnologic de Telecomuni</w:t>
            </w:r>
            <w:r w:rsidR="00832584">
              <w:rPr>
                <w:rFonts w:ascii="Arial" w:hAnsi="Arial" w:cs="Arial"/>
                <w:lang w:val="pt-PT"/>
              </w:rPr>
              <w:t>cacions de Catalunya</w:t>
            </w:r>
          </w:p>
        </w:tc>
      </w:tr>
      <w:tr w:rsidR="00FB7EDE" w:rsidRPr="004013B2" w14:paraId="3B531659" w14:textId="77777777" w:rsidTr="003330BD">
        <w:tc>
          <w:tcPr>
            <w:tcW w:w="3539" w:type="dxa"/>
          </w:tcPr>
          <w:p w14:paraId="48AA223D" w14:textId="77777777" w:rsidR="00FB7EDE" w:rsidRPr="00C42C17" w:rsidRDefault="00FB7EDE" w:rsidP="000E4D95">
            <w:pPr>
              <w:rPr>
                <w:rFonts w:ascii="Arial" w:hAnsi="Arial" w:cs="Arial"/>
              </w:rPr>
            </w:pPr>
            <w:r w:rsidRPr="00C42C17">
              <w:rPr>
                <w:rFonts w:ascii="Arial" w:hAnsi="Arial" w:cs="Arial"/>
              </w:rPr>
              <w:t>Werner Mohr (editor)</w:t>
            </w:r>
          </w:p>
        </w:tc>
        <w:tc>
          <w:tcPr>
            <w:tcW w:w="5959" w:type="dxa"/>
          </w:tcPr>
          <w:p w14:paraId="41F050A8" w14:textId="77777777" w:rsidR="00FB7EDE" w:rsidRPr="00C42C17" w:rsidRDefault="00FB7EDE" w:rsidP="000E4D95">
            <w:pPr>
              <w:rPr>
                <w:rFonts w:ascii="Arial" w:hAnsi="Arial" w:cs="Arial"/>
              </w:rPr>
            </w:pPr>
            <w:r w:rsidRPr="00C42C17">
              <w:rPr>
                <w:rFonts w:ascii="Arial" w:hAnsi="Arial" w:cs="Arial"/>
              </w:rPr>
              <w:t>Nokia</w:t>
            </w:r>
          </w:p>
        </w:tc>
      </w:tr>
      <w:tr w:rsidR="00FB7EDE" w:rsidRPr="004013B2" w14:paraId="1F61B4B0" w14:textId="77777777" w:rsidTr="003330BD">
        <w:tc>
          <w:tcPr>
            <w:tcW w:w="3539" w:type="dxa"/>
          </w:tcPr>
          <w:p w14:paraId="7D8D1B96" w14:textId="77777777" w:rsidR="00FB7EDE" w:rsidRPr="00C42C17" w:rsidRDefault="00FB7EDE" w:rsidP="000E4D95">
            <w:pPr>
              <w:rPr>
                <w:rFonts w:ascii="Arial" w:hAnsi="Arial" w:cs="Arial"/>
              </w:rPr>
            </w:pPr>
            <w:r w:rsidRPr="00C42C17">
              <w:rPr>
                <w:rFonts w:ascii="Arial" w:hAnsi="Arial" w:cs="Arial"/>
              </w:rPr>
              <w:t>Alain Morad</w:t>
            </w:r>
          </w:p>
        </w:tc>
        <w:tc>
          <w:tcPr>
            <w:tcW w:w="5959" w:type="dxa"/>
          </w:tcPr>
          <w:p w14:paraId="29683FBB" w14:textId="77777777" w:rsidR="00FB7EDE" w:rsidRPr="00C42C17" w:rsidRDefault="00FB7EDE" w:rsidP="000E4D95">
            <w:pPr>
              <w:rPr>
                <w:rFonts w:ascii="Arial" w:hAnsi="Arial" w:cs="Arial"/>
              </w:rPr>
            </w:pPr>
            <w:r w:rsidRPr="00C42C17">
              <w:rPr>
                <w:rFonts w:ascii="Arial" w:hAnsi="Arial" w:cs="Arial"/>
              </w:rPr>
              <w:t>InterDigital</w:t>
            </w:r>
          </w:p>
        </w:tc>
      </w:tr>
      <w:tr w:rsidR="00FB7EDE" w:rsidRPr="004013B2" w14:paraId="3867D35A" w14:textId="77777777" w:rsidTr="003330BD">
        <w:tc>
          <w:tcPr>
            <w:tcW w:w="3539" w:type="dxa"/>
          </w:tcPr>
          <w:p w14:paraId="025D8FEB" w14:textId="77777777" w:rsidR="00FB7EDE" w:rsidRPr="00C42C17" w:rsidRDefault="00FB7EDE" w:rsidP="000E4D95">
            <w:pPr>
              <w:rPr>
                <w:rFonts w:ascii="Arial" w:hAnsi="Arial" w:cs="Arial"/>
                <w:lang w:val="pt-PT"/>
              </w:rPr>
            </w:pPr>
            <w:r w:rsidRPr="00C42C17">
              <w:rPr>
                <w:rFonts w:ascii="Arial" w:hAnsi="Arial" w:cs="Arial"/>
                <w:lang w:val="pt-PT"/>
              </w:rPr>
              <w:t>Raul Muñoz</w:t>
            </w:r>
          </w:p>
        </w:tc>
        <w:tc>
          <w:tcPr>
            <w:tcW w:w="5959" w:type="dxa"/>
          </w:tcPr>
          <w:p w14:paraId="5A66E4E4" w14:textId="77777777" w:rsidR="00FB7EDE" w:rsidRPr="00C42C17" w:rsidRDefault="00FB7EDE" w:rsidP="000E4D95">
            <w:pPr>
              <w:rPr>
                <w:rFonts w:ascii="Arial" w:hAnsi="Arial" w:cs="Arial"/>
                <w:lang w:val="pt-PT"/>
              </w:rPr>
            </w:pPr>
            <w:r w:rsidRPr="00C42C17">
              <w:rPr>
                <w:rFonts w:ascii="Arial" w:hAnsi="Arial" w:cs="Arial"/>
                <w:lang w:val="pt-PT"/>
              </w:rPr>
              <w:t>CTTC</w:t>
            </w:r>
          </w:p>
        </w:tc>
      </w:tr>
      <w:tr w:rsidR="00FB7EDE" w:rsidRPr="004013B2" w14:paraId="7EB1CCFA" w14:textId="77777777" w:rsidTr="003330BD">
        <w:tc>
          <w:tcPr>
            <w:tcW w:w="3539" w:type="dxa"/>
          </w:tcPr>
          <w:p w14:paraId="0223E9FB" w14:textId="77777777" w:rsidR="00FB7EDE" w:rsidRPr="00C42C17" w:rsidRDefault="00FB7EDE" w:rsidP="000E4D95">
            <w:pPr>
              <w:rPr>
                <w:rFonts w:ascii="Arial" w:hAnsi="Arial" w:cs="Arial"/>
              </w:rPr>
            </w:pPr>
            <w:r w:rsidRPr="00C42C17">
              <w:rPr>
                <w:rFonts w:ascii="Arial" w:hAnsi="Arial" w:cs="Arial"/>
              </w:rPr>
              <w:t>Maziar Nekovee</w:t>
            </w:r>
          </w:p>
        </w:tc>
        <w:tc>
          <w:tcPr>
            <w:tcW w:w="5959" w:type="dxa"/>
          </w:tcPr>
          <w:p w14:paraId="36D40432" w14:textId="77777777" w:rsidR="00FB7EDE" w:rsidRPr="00C42C17" w:rsidRDefault="00FB7EDE" w:rsidP="000E4D95">
            <w:pPr>
              <w:rPr>
                <w:rFonts w:ascii="Arial" w:hAnsi="Arial" w:cs="Arial"/>
              </w:rPr>
            </w:pPr>
            <w:r w:rsidRPr="00C42C17">
              <w:rPr>
                <w:rFonts w:ascii="Arial" w:hAnsi="Arial" w:cs="Arial"/>
              </w:rPr>
              <w:t>University of Sussex</w:t>
            </w:r>
          </w:p>
        </w:tc>
      </w:tr>
      <w:tr w:rsidR="00FB7EDE" w:rsidRPr="004013B2" w14:paraId="5130CE6E" w14:textId="77777777" w:rsidTr="003330BD">
        <w:tc>
          <w:tcPr>
            <w:tcW w:w="3539" w:type="dxa"/>
          </w:tcPr>
          <w:p w14:paraId="0611895C" w14:textId="77777777" w:rsidR="00FB7EDE" w:rsidRPr="00C42C17" w:rsidRDefault="00FB7EDE" w:rsidP="000E4D95">
            <w:pPr>
              <w:rPr>
                <w:rFonts w:ascii="Arial" w:hAnsi="Arial" w:cs="Arial"/>
              </w:rPr>
            </w:pPr>
            <w:r w:rsidRPr="00C42C17">
              <w:rPr>
                <w:rFonts w:ascii="Arial" w:hAnsi="Arial" w:cs="Arial"/>
              </w:rPr>
              <w:t>Peter Ossieur</w:t>
            </w:r>
          </w:p>
        </w:tc>
        <w:tc>
          <w:tcPr>
            <w:tcW w:w="5959" w:type="dxa"/>
          </w:tcPr>
          <w:p w14:paraId="69CF4FAF" w14:textId="21EB7D4D" w:rsidR="00FB7EDE" w:rsidRPr="00C42C17" w:rsidRDefault="00832584" w:rsidP="000E4D95">
            <w:pPr>
              <w:rPr>
                <w:rFonts w:ascii="Arial" w:hAnsi="Arial" w:cs="Arial"/>
              </w:rPr>
            </w:pPr>
            <w:r>
              <w:rPr>
                <w:rFonts w:ascii="Arial" w:hAnsi="Arial" w:cs="Arial"/>
              </w:rPr>
              <w:t>IMEC</w:t>
            </w:r>
          </w:p>
        </w:tc>
      </w:tr>
      <w:tr w:rsidR="00FB7EDE" w:rsidRPr="004013B2" w14:paraId="6967715D" w14:textId="77777777" w:rsidTr="003330BD">
        <w:tc>
          <w:tcPr>
            <w:tcW w:w="3539" w:type="dxa"/>
          </w:tcPr>
          <w:p w14:paraId="586C3457" w14:textId="77777777" w:rsidR="00FB7EDE" w:rsidRPr="00C42C17" w:rsidRDefault="00FB7EDE" w:rsidP="000E4D95">
            <w:pPr>
              <w:rPr>
                <w:rFonts w:ascii="Arial" w:hAnsi="Arial" w:cs="Arial"/>
              </w:rPr>
            </w:pPr>
            <w:r w:rsidRPr="00C42C17">
              <w:rPr>
                <w:rFonts w:ascii="Arial" w:hAnsi="Arial" w:cs="Arial"/>
              </w:rPr>
              <w:t>Daniel Pakkala</w:t>
            </w:r>
          </w:p>
        </w:tc>
        <w:tc>
          <w:tcPr>
            <w:tcW w:w="5959" w:type="dxa"/>
          </w:tcPr>
          <w:p w14:paraId="4A20DA67" w14:textId="77777777" w:rsidR="00FB7EDE" w:rsidRPr="00C42C17" w:rsidRDefault="00FB7EDE" w:rsidP="000E4D95">
            <w:pPr>
              <w:rPr>
                <w:rFonts w:ascii="Arial" w:hAnsi="Arial" w:cs="Arial"/>
              </w:rPr>
            </w:pPr>
            <w:r w:rsidRPr="00C42C17">
              <w:rPr>
                <w:rFonts w:ascii="Arial" w:hAnsi="Arial" w:cs="Arial"/>
              </w:rPr>
              <w:t>VTT Technical Research Centre of Finland</w:t>
            </w:r>
          </w:p>
        </w:tc>
      </w:tr>
      <w:tr w:rsidR="00FB7EDE" w:rsidRPr="004013B2" w14:paraId="398AD920" w14:textId="77777777" w:rsidTr="003330BD">
        <w:tc>
          <w:tcPr>
            <w:tcW w:w="3539" w:type="dxa"/>
          </w:tcPr>
          <w:p w14:paraId="4074F5B8" w14:textId="77777777" w:rsidR="00FB7EDE" w:rsidRPr="00C42C17" w:rsidRDefault="00FB7EDE" w:rsidP="000E4D95">
            <w:pPr>
              <w:rPr>
                <w:rFonts w:ascii="Arial" w:hAnsi="Arial" w:cs="Arial"/>
              </w:rPr>
            </w:pPr>
            <w:r w:rsidRPr="00C42C17">
              <w:rPr>
                <w:rFonts w:ascii="Arial" w:hAnsi="Arial" w:cs="Arial"/>
              </w:rPr>
              <w:t>Aarno Pärssinen</w:t>
            </w:r>
          </w:p>
        </w:tc>
        <w:tc>
          <w:tcPr>
            <w:tcW w:w="5959" w:type="dxa"/>
          </w:tcPr>
          <w:p w14:paraId="62037420" w14:textId="5E834F46" w:rsidR="00FB7EDE" w:rsidRPr="00C42C17" w:rsidRDefault="00832584" w:rsidP="000E4D95">
            <w:pPr>
              <w:rPr>
                <w:rFonts w:ascii="Arial" w:hAnsi="Arial" w:cs="Arial"/>
              </w:rPr>
            </w:pPr>
            <w:r>
              <w:rPr>
                <w:rFonts w:ascii="Arial" w:hAnsi="Arial" w:cs="Arial"/>
              </w:rPr>
              <w:t>University of Oulu</w:t>
            </w:r>
          </w:p>
        </w:tc>
      </w:tr>
      <w:tr w:rsidR="00FB7EDE" w:rsidRPr="004013B2" w14:paraId="35AA9D4E" w14:textId="77777777" w:rsidTr="003330BD">
        <w:tc>
          <w:tcPr>
            <w:tcW w:w="3539" w:type="dxa"/>
          </w:tcPr>
          <w:p w14:paraId="1EB870E0" w14:textId="77777777" w:rsidR="00FB7EDE" w:rsidRPr="00C42C17" w:rsidRDefault="00FB7EDE" w:rsidP="000E4D95">
            <w:pPr>
              <w:rPr>
                <w:rFonts w:ascii="Arial" w:hAnsi="Arial" w:cs="Arial"/>
              </w:rPr>
            </w:pPr>
            <w:r w:rsidRPr="00C42C17">
              <w:rPr>
                <w:rFonts w:ascii="Arial" w:hAnsi="Arial" w:cs="Arial"/>
              </w:rPr>
              <w:t>Andrea Passarella</w:t>
            </w:r>
          </w:p>
        </w:tc>
        <w:tc>
          <w:tcPr>
            <w:tcW w:w="5959" w:type="dxa"/>
          </w:tcPr>
          <w:p w14:paraId="24CF0975" w14:textId="77777777" w:rsidR="00FB7EDE" w:rsidRPr="00C42C17" w:rsidRDefault="00FB7EDE" w:rsidP="000E4D95">
            <w:pPr>
              <w:rPr>
                <w:rFonts w:ascii="Arial" w:hAnsi="Arial" w:cs="Arial"/>
              </w:rPr>
            </w:pPr>
            <w:r w:rsidRPr="00C42C17">
              <w:rPr>
                <w:rFonts w:ascii="Arial" w:hAnsi="Arial" w:cs="Arial"/>
              </w:rPr>
              <w:t>National Research Council – Italy</w:t>
            </w:r>
          </w:p>
        </w:tc>
      </w:tr>
      <w:tr w:rsidR="00FB7EDE" w:rsidRPr="004013B2" w14:paraId="08D5453A" w14:textId="77777777" w:rsidTr="003330BD">
        <w:tc>
          <w:tcPr>
            <w:tcW w:w="3539" w:type="dxa"/>
          </w:tcPr>
          <w:p w14:paraId="6D617DF8" w14:textId="77777777" w:rsidR="00FB7EDE" w:rsidRPr="00C42C17" w:rsidRDefault="00FB7EDE" w:rsidP="000E4D95">
            <w:pPr>
              <w:rPr>
                <w:rFonts w:ascii="Arial" w:hAnsi="Arial" w:cs="Arial"/>
                <w:lang w:val="pt-PT"/>
              </w:rPr>
            </w:pPr>
            <w:r w:rsidRPr="00C42C17">
              <w:rPr>
                <w:rFonts w:ascii="Arial" w:hAnsi="Arial" w:cs="Arial"/>
                <w:lang w:val="pt-PT"/>
              </w:rPr>
              <w:t>Ana Pérez</w:t>
            </w:r>
          </w:p>
        </w:tc>
        <w:tc>
          <w:tcPr>
            <w:tcW w:w="5959" w:type="dxa"/>
          </w:tcPr>
          <w:p w14:paraId="502A7B9E" w14:textId="77777777" w:rsidR="00FB7EDE" w:rsidRPr="00C42C17" w:rsidRDefault="00FB7EDE" w:rsidP="000E4D95">
            <w:pPr>
              <w:rPr>
                <w:rFonts w:ascii="Arial" w:hAnsi="Arial" w:cs="Arial"/>
                <w:lang w:val="pt-PT"/>
              </w:rPr>
            </w:pPr>
            <w:r w:rsidRPr="00C42C17">
              <w:rPr>
                <w:rFonts w:ascii="Arial" w:hAnsi="Arial" w:cs="Arial"/>
                <w:lang w:val="pt-PT"/>
              </w:rPr>
              <w:t>CTTC</w:t>
            </w:r>
          </w:p>
        </w:tc>
      </w:tr>
      <w:tr w:rsidR="00FB7EDE" w:rsidRPr="004013B2" w14:paraId="389C9B6C" w14:textId="77777777" w:rsidTr="003330BD">
        <w:tc>
          <w:tcPr>
            <w:tcW w:w="3539" w:type="dxa"/>
          </w:tcPr>
          <w:p w14:paraId="78CD79F7" w14:textId="77777777" w:rsidR="00FB7EDE" w:rsidRPr="00C42C17" w:rsidRDefault="00FB7EDE" w:rsidP="000E4D95">
            <w:pPr>
              <w:rPr>
                <w:rFonts w:ascii="Arial" w:hAnsi="Arial" w:cs="Arial"/>
                <w:lang w:val="pt-PT"/>
              </w:rPr>
            </w:pPr>
            <w:r w:rsidRPr="00C42C17">
              <w:rPr>
                <w:rFonts w:ascii="Arial" w:hAnsi="Arial" w:cs="Arial"/>
                <w:lang w:val="pt-PT"/>
              </w:rPr>
              <w:t>Luis Perez-Freire</w:t>
            </w:r>
          </w:p>
        </w:tc>
        <w:tc>
          <w:tcPr>
            <w:tcW w:w="5959" w:type="dxa"/>
          </w:tcPr>
          <w:p w14:paraId="7DCCE5E6" w14:textId="77777777" w:rsidR="00FB7EDE" w:rsidRPr="00C42C17" w:rsidRDefault="00FB7EDE" w:rsidP="000E4D95">
            <w:pPr>
              <w:rPr>
                <w:rFonts w:ascii="Arial" w:hAnsi="Arial" w:cs="Arial"/>
                <w:lang w:val="pt-PT"/>
              </w:rPr>
            </w:pPr>
            <w:r w:rsidRPr="00C42C17">
              <w:rPr>
                <w:rFonts w:ascii="Arial" w:hAnsi="Arial" w:cs="Arial"/>
                <w:lang w:val="pt-PT"/>
              </w:rPr>
              <w:t>Gradiant, AIOTI</w:t>
            </w:r>
          </w:p>
        </w:tc>
      </w:tr>
      <w:tr w:rsidR="00FB7EDE" w:rsidRPr="004013B2" w14:paraId="2830BD30" w14:textId="77777777" w:rsidTr="003330BD">
        <w:tc>
          <w:tcPr>
            <w:tcW w:w="3539" w:type="dxa"/>
          </w:tcPr>
          <w:p w14:paraId="6B03433E" w14:textId="77777777" w:rsidR="00FB7EDE" w:rsidRPr="00C42C17" w:rsidRDefault="00FB7EDE" w:rsidP="000E4D95">
            <w:pPr>
              <w:rPr>
                <w:rFonts w:ascii="Arial" w:hAnsi="Arial" w:cs="Arial"/>
                <w:lang w:val="pt-PT"/>
              </w:rPr>
            </w:pPr>
            <w:r w:rsidRPr="00C42C17">
              <w:rPr>
                <w:rFonts w:ascii="Arial" w:hAnsi="Arial" w:cs="Arial"/>
                <w:lang w:val="pt-PT"/>
              </w:rPr>
              <w:t>Ullrich Pfeiffer</w:t>
            </w:r>
          </w:p>
        </w:tc>
        <w:tc>
          <w:tcPr>
            <w:tcW w:w="5959" w:type="dxa"/>
          </w:tcPr>
          <w:p w14:paraId="77378686" w14:textId="29D3806F" w:rsidR="00FB7EDE" w:rsidRPr="00C42C17" w:rsidRDefault="00832584" w:rsidP="000E4D95">
            <w:pPr>
              <w:rPr>
                <w:rFonts w:ascii="Arial" w:hAnsi="Arial" w:cs="Arial"/>
                <w:lang w:val="pt-PT"/>
              </w:rPr>
            </w:pPr>
            <w:r>
              <w:rPr>
                <w:rFonts w:ascii="Arial" w:hAnsi="Arial" w:cs="Arial"/>
                <w:lang w:val="pt-PT"/>
              </w:rPr>
              <w:t>University of Wupperthal</w:t>
            </w:r>
          </w:p>
        </w:tc>
      </w:tr>
      <w:tr w:rsidR="00FB7EDE" w:rsidRPr="004013B2" w14:paraId="634634A5" w14:textId="77777777" w:rsidTr="003330BD">
        <w:tc>
          <w:tcPr>
            <w:tcW w:w="3539" w:type="dxa"/>
          </w:tcPr>
          <w:p w14:paraId="70D6B3AD" w14:textId="77777777" w:rsidR="00FB7EDE" w:rsidRPr="00C42C17" w:rsidRDefault="00FB7EDE" w:rsidP="000E4D95">
            <w:pPr>
              <w:rPr>
                <w:rFonts w:ascii="Arial" w:hAnsi="Arial" w:cs="Arial"/>
              </w:rPr>
            </w:pPr>
            <w:r w:rsidRPr="00C42C17">
              <w:rPr>
                <w:rFonts w:ascii="Arial" w:hAnsi="Arial" w:cs="Arial"/>
              </w:rPr>
              <w:t>Yvan Pointurier</w:t>
            </w:r>
          </w:p>
        </w:tc>
        <w:tc>
          <w:tcPr>
            <w:tcW w:w="5959" w:type="dxa"/>
          </w:tcPr>
          <w:p w14:paraId="77B7DA7F" w14:textId="77777777" w:rsidR="00FB7EDE" w:rsidRPr="00C42C17" w:rsidRDefault="00FB7EDE" w:rsidP="000E4D95">
            <w:pPr>
              <w:rPr>
                <w:rFonts w:ascii="Arial" w:hAnsi="Arial" w:cs="Arial"/>
              </w:rPr>
            </w:pPr>
            <w:r w:rsidRPr="00C42C17">
              <w:rPr>
                <w:rFonts w:ascii="Arial" w:hAnsi="Arial" w:cs="Arial"/>
              </w:rPr>
              <w:t>Huawei</w:t>
            </w:r>
          </w:p>
        </w:tc>
      </w:tr>
      <w:tr w:rsidR="00FB7EDE" w:rsidRPr="004013B2" w14:paraId="4173F1C8" w14:textId="77777777" w:rsidTr="003330BD">
        <w:tc>
          <w:tcPr>
            <w:tcW w:w="3539" w:type="dxa"/>
          </w:tcPr>
          <w:p w14:paraId="175E772F" w14:textId="77777777" w:rsidR="00FB7EDE" w:rsidRPr="00C42C17" w:rsidRDefault="00FB7EDE" w:rsidP="000E4D95">
            <w:pPr>
              <w:rPr>
                <w:rFonts w:ascii="Arial" w:hAnsi="Arial" w:cs="Arial"/>
              </w:rPr>
            </w:pPr>
            <w:r w:rsidRPr="00C42C17">
              <w:rPr>
                <w:rFonts w:ascii="Arial" w:hAnsi="Arial" w:cs="Arial"/>
              </w:rPr>
              <w:t>Ari Pouttu (editor)</w:t>
            </w:r>
          </w:p>
        </w:tc>
        <w:tc>
          <w:tcPr>
            <w:tcW w:w="5959" w:type="dxa"/>
          </w:tcPr>
          <w:p w14:paraId="1E0F065D" w14:textId="77777777" w:rsidR="00FB7EDE" w:rsidRPr="00C42C17" w:rsidRDefault="00FB7EDE" w:rsidP="000E4D95">
            <w:pPr>
              <w:rPr>
                <w:rFonts w:ascii="Arial" w:hAnsi="Arial" w:cs="Arial"/>
              </w:rPr>
            </w:pPr>
            <w:r w:rsidRPr="00C42C17">
              <w:rPr>
                <w:rFonts w:ascii="Arial" w:hAnsi="Arial" w:cs="Arial"/>
              </w:rPr>
              <w:t>University of Oulu</w:t>
            </w:r>
          </w:p>
        </w:tc>
      </w:tr>
      <w:tr w:rsidR="00FB7EDE" w:rsidRPr="004013B2" w14:paraId="4E85A1E9" w14:textId="77777777" w:rsidTr="003330BD">
        <w:tc>
          <w:tcPr>
            <w:tcW w:w="3539" w:type="dxa"/>
          </w:tcPr>
          <w:p w14:paraId="180F50E3" w14:textId="77777777" w:rsidR="00FB7EDE" w:rsidRPr="00C42C17" w:rsidRDefault="00FB7EDE" w:rsidP="000E4D95">
            <w:pPr>
              <w:rPr>
                <w:rFonts w:ascii="Arial" w:hAnsi="Arial" w:cs="Arial"/>
                <w:lang w:val="pt-PT"/>
              </w:rPr>
            </w:pPr>
            <w:r w:rsidRPr="00C42C17">
              <w:rPr>
                <w:rFonts w:ascii="Arial" w:hAnsi="Arial" w:cs="Arial"/>
                <w:lang w:val="pt-PT"/>
              </w:rPr>
              <w:t>Ayman Radwan</w:t>
            </w:r>
          </w:p>
        </w:tc>
        <w:tc>
          <w:tcPr>
            <w:tcW w:w="5959" w:type="dxa"/>
          </w:tcPr>
          <w:p w14:paraId="1E9ED608" w14:textId="77777777" w:rsidR="00FB7EDE" w:rsidRPr="00C42C17" w:rsidRDefault="00FB7EDE" w:rsidP="000E4D95">
            <w:pPr>
              <w:rPr>
                <w:rFonts w:ascii="Arial" w:hAnsi="Arial" w:cs="Arial"/>
                <w:lang w:val="pt-PT"/>
              </w:rPr>
            </w:pPr>
            <w:r w:rsidRPr="00C42C17">
              <w:rPr>
                <w:rFonts w:ascii="Arial" w:hAnsi="Arial" w:cs="Arial"/>
                <w:lang w:val="pt-PT"/>
              </w:rPr>
              <w:t>Instituto de Telecomunicações</w:t>
            </w:r>
          </w:p>
        </w:tc>
      </w:tr>
      <w:tr w:rsidR="00FB7EDE" w:rsidRPr="004013B2" w14:paraId="6F25AAD2" w14:textId="77777777" w:rsidTr="003330BD">
        <w:tc>
          <w:tcPr>
            <w:tcW w:w="3539" w:type="dxa"/>
          </w:tcPr>
          <w:p w14:paraId="77A1398A" w14:textId="77777777" w:rsidR="00FB7EDE" w:rsidRPr="00C42C17" w:rsidRDefault="00FB7EDE" w:rsidP="000E4D95">
            <w:pPr>
              <w:rPr>
                <w:rFonts w:ascii="Arial" w:hAnsi="Arial" w:cs="Arial"/>
                <w:lang w:val="pt-PT"/>
              </w:rPr>
            </w:pPr>
            <w:r w:rsidRPr="00C42C17">
              <w:rPr>
                <w:rFonts w:ascii="Arial" w:hAnsi="Arial" w:cs="Arial"/>
                <w:lang w:val="pt-PT"/>
              </w:rPr>
              <w:t>Parm Raewal</w:t>
            </w:r>
          </w:p>
        </w:tc>
        <w:tc>
          <w:tcPr>
            <w:tcW w:w="5959" w:type="dxa"/>
          </w:tcPr>
          <w:p w14:paraId="7F29516C" w14:textId="77777777" w:rsidR="00FB7EDE" w:rsidRPr="00C42C17" w:rsidRDefault="00FB7EDE" w:rsidP="000E4D95">
            <w:pPr>
              <w:rPr>
                <w:rFonts w:ascii="Arial" w:hAnsi="Arial" w:cs="Arial"/>
                <w:lang w:val="pt-PT"/>
              </w:rPr>
            </w:pPr>
            <w:r w:rsidRPr="00C42C17">
              <w:rPr>
                <w:rFonts w:ascii="Arial" w:hAnsi="Arial" w:cs="Arial"/>
                <w:lang w:val="pt-PT"/>
              </w:rPr>
              <w:t>Vodafone</w:t>
            </w:r>
          </w:p>
        </w:tc>
      </w:tr>
      <w:tr w:rsidR="00FB7EDE" w:rsidRPr="004013B2" w14:paraId="7BF63A7A" w14:textId="77777777" w:rsidTr="003330BD">
        <w:tc>
          <w:tcPr>
            <w:tcW w:w="3539" w:type="dxa"/>
          </w:tcPr>
          <w:p w14:paraId="13172D9B" w14:textId="77777777" w:rsidR="00FB7EDE" w:rsidRPr="00C42C17" w:rsidRDefault="00FB7EDE" w:rsidP="000E4D95">
            <w:pPr>
              <w:rPr>
                <w:rFonts w:ascii="Arial" w:hAnsi="Arial" w:cs="Arial"/>
              </w:rPr>
            </w:pPr>
            <w:r w:rsidRPr="00C42C17">
              <w:rPr>
                <w:rFonts w:ascii="Arial" w:hAnsi="Arial" w:cs="Arial"/>
              </w:rPr>
              <w:t>Nandana Rajatheva</w:t>
            </w:r>
          </w:p>
        </w:tc>
        <w:tc>
          <w:tcPr>
            <w:tcW w:w="5959" w:type="dxa"/>
          </w:tcPr>
          <w:p w14:paraId="7B3D5BC3" w14:textId="77777777" w:rsidR="00FB7EDE" w:rsidRPr="00C42C17" w:rsidRDefault="00FB7EDE" w:rsidP="000E4D95">
            <w:pPr>
              <w:rPr>
                <w:rFonts w:ascii="Arial" w:hAnsi="Arial" w:cs="Arial"/>
              </w:rPr>
            </w:pPr>
            <w:r w:rsidRPr="00C42C17">
              <w:rPr>
                <w:rFonts w:ascii="Arial" w:hAnsi="Arial" w:cs="Arial"/>
              </w:rPr>
              <w:t>University of Oulu, Finland</w:t>
            </w:r>
          </w:p>
        </w:tc>
      </w:tr>
      <w:tr w:rsidR="00FB7EDE" w:rsidRPr="004013B2" w14:paraId="16F13AC5" w14:textId="77777777" w:rsidTr="003330BD">
        <w:tc>
          <w:tcPr>
            <w:tcW w:w="3539" w:type="dxa"/>
          </w:tcPr>
          <w:p w14:paraId="302E573A" w14:textId="77777777" w:rsidR="00FB7EDE" w:rsidRPr="00C42C17" w:rsidRDefault="00FB7EDE" w:rsidP="000E4D95">
            <w:pPr>
              <w:rPr>
                <w:rFonts w:ascii="Arial" w:hAnsi="Arial" w:cs="Arial"/>
              </w:rPr>
            </w:pPr>
            <w:r w:rsidRPr="00C42C17">
              <w:rPr>
                <w:rFonts w:ascii="Arial" w:hAnsi="Arial" w:cs="Arial"/>
              </w:rPr>
              <w:t>Aurora Ramos</w:t>
            </w:r>
          </w:p>
        </w:tc>
        <w:tc>
          <w:tcPr>
            <w:tcW w:w="5959" w:type="dxa"/>
          </w:tcPr>
          <w:p w14:paraId="7CD51E1D" w14:textId="77777777" w:rsidR="00FB7EDE" w:rsidRPr="00C42C17" w:rsidRDefault="00FB7EDE" w:rsidP="000E4D95">
            <w:pPr>
              <w:rPr>
                <w:rFonts w:ascii="Arial" w:hAnsi="Arial" w:cs="Arial"/>
              </w:rPr>
            </w:pPr>
            <w:r w:rsidRPr="00C42C17">
              <w:rPr>
                <w:rFonts w:ascii="Arial" w:hAnsi="Arial" w:cs="Arial"/>
              </w:rPr>
              <w:t>ATOS Spain</w:t>
            </w:r>
          </w:p>
        </w:tc>
      </w:tr>
      <w:tr w:rsidR="00FB7EDE" w:rsidRPr="004013B2" w14:paraId="016E5655" w14:textId="77777777" w:rsidTr="003330BD">
        <w:tc>
          <w:tcPr>
            <w:tcW w:w="3539" w:type="dxa"/>
          </w:tcPr>
          <w:p w14:paraId="3F685156" w14:textId="77777777" w:rsidR="00FB7EDE" w:rsidRPr="00C42C17" w:rsidRDefault="00FB7EDE" w:rsidP="000E4D95">
            <w:pPr>
              <w:rPr>
                <w:rFonts w:ascii="Arial" w:hAnsi="Arial" w:cs="Arial"/>
              </w:rPr>
            </w:pPr>
            <w:r w:rsidRPr="00C42C17">
              <w:rPr>
                <w:rFonts w:ascii="Arial" w:hAnsi="Arial" w:cs="Arial"/>
              </w:rPr>
              <w:t>Johannes Riedl</w:t>
            </w:r>
          </w:p>
        </w:tc>
        <w:tc>
          <w:tcPr>
            <w:tcW w:w="5959" w:type="dxa"/>
          </w:tcPr>
          <w:p w14:paraId="20052BCF" w14:textId="77777777" w:rsidR="00FB7EDE" w:rsidRPr="00C42C17" w:rsidRDefault="00FB7EDE" w:rsidP="000E4D95">
            <w:pPr>
              <w:rPr>
                <w:rFonts w:ascii="Arial" w:hAnsi="Arial" w:cs="Arial"/>
              </w:rPr>
            </w:pPr>
            <w:r w:rsidRPr="00C42C17">
              <w:rPr>
                <w:rFonts w:ascii="Arial" w:hAnsi="Arial" w:cs="Arial"/>
              </w:rPr>
              <w:t>Siemens</w:t>
            </w:r>
          </w:p>
        </w:tc>
      </w:tr>
      <w:tr w:rsidR="00FB7EDE" w:rsidRPr="004013B2" w14:paraId="360D81D4" w14:textId="77777777" w:rsidTr="003330BD">
        <w:tc>
          <w:tcPr>
            <w:tcW w:w="3539" w:type="dxa"/>
          </w:tcPr>
          <w:p w14:paraId="00F29BDA" w14:textId="77777777" w:rsidR="00FB7EDE" w:rsidRPr="00C42C17" w:rsidRDefault="00FB7EDE" w:rsidP="000E4D95">
            <w:pPr>
              <w:rPr>
                <w:rFonts w:ascii="Arial" w:hAnsi="Arial" w:cs="Arial"/>
                <w:lang w:val="pt-PT"/>
              </w:rPr>
            </w:pPr>
            <w:r w:rsidRPr="00C42C17">
              <w:rPr>
                <w:rFonts w:ascii="Arial" w:hAnsi="Arial" w:cs="Arial"/>
                <w:lang w:val="pt-PT"/>
              </w:rPr>
              <w:t>Elisa Rojas Sánchez</w:t>
            </w:r>
          </w:p>
        </w:tc>
        <w:tc>
          <w:tcPr>
            <w:tcW w:w="5959" w:type="dxa"/>
          </w:tcPr>
          <w:p w14:paraId="7651AAAC" w14:textId="77777777" w:rsidR="00FB7EDE" w:rsidRPr="00C42C17" w:rsidRDefault="00FB7EDE" w:rsidP="000E4D95">
            <w:pPr>
              <w:rPr>
                <w:rFonts w:ascii="Arial" w:hAnsi="Arial" w:cs="Arial"/>
                <w:lang w:val="pt-PT"/>
              </w:rPr>
            </w:pPr>
            <w:r w:rsidRPr="00C42C17">
              <w:rPr>
                <w:rFonts w:ascii="Arial" w:hAnsi="Arial" w:cs="Arial"/>
                <w:lang w:val="pt-PT"/>
              </w:rPr>
              <w:t>Universidad de Alcalá</w:t>
            </w:r>
          </w:p>
        </w:tc>
      </w:tr>
      <w:tr w:rsidR="00FB7EDE" w:rsidRPr="004013B2" w14:paraId="597C5EE3" w14:textId="77777777" w:rsidTr="003330BD">
        <w:tc>
          <w:tcPr>
            <w:tcW w:w="3539" w:type="dxa"/>
          </w:tcPr>
          <w:p w14:paraId="3F3A7E8D" w14:textId="77777777" w:rsidR="00FB7EDE" w:rsidRPr="00C42C17" w:rsidRDefault="00FB7EDE" w:rsidP="000E4D95">
            <w:pPr>
              <w:rPr>
                <w:rFonts w:ascii="Arial" w:hAnsi="Arial" w:cs="Arial"/>
              </w:rPr>
            </w:pPr>
            <w:r w:rsidRPr="00C42C17">
              <w:rPr>
                <w:rFonts w:ascii="Arial" w:hAnsi="Arial" w:cs="Arial"/>
              </w:rPr>
              <w:t>Marco Ruffini</w:t>
            </w:r>
          </w:p>
        </w:tc>
        <w:tc>
          <w:tcPr>
            <w:tcW w:w="5959" w:type="dxa"/>
          </w:tcPr>
          <w:p w14:paraId="4215CD93" w14:textId="77777777" w:rsidR="00FB7EDE" w:rsidRPr="00C42C17" w:rsidRDefault="00FB7EDE" w:rsidP="000E4D95">
            <w:pPr>
              <w:rPr>
                <w:rFonts w:ascii="Arial" w:hAnsi="Arial" w:cs="Arial"/>
              </w:rPr>
            </w:pPr>
            <w:r w:rsidRPr="00C42C17">
              <w:rPr>
                <w:rFonts w:ascii="Arial" w:hAnsi="Arial" w:cs="Arial"/>
              </w:rPr>
              <w:t>Trinity College Dublin</w:t>
            </w:r>
          </w:p>
        </w:tc>
      </w:tr>
      <w:tr w:rsidR="00FB7EDE" w:rsidRPr="004013B2" w14:paraId="51B0DB62" w14:textId="77777777" w:rsidTr="003330BD">
        <w:tc>
          <w:tcPr>
            <w:tcW w:w="3539" w:type="dxa"/>
          </w:tcPr>
          <w:p w14:paraId="1351062E" w14:textId="77777777" w:rsidR="00FB7EDE" w:rsidRPr="00C42C17" w:rsidRDefault="00FB7EDE" w:rsidP="000E4D95">
            <w:pPr>
              <w:rPr>
                <w:rFonts w:ascii="Arial" w:hAnsi="Arial" w:cs="Arial"/>
              </w:rPr>
            </w:pPr>
            <w:r w:rsidRPr="00C42C17">
              <w:rPr>
                <w:rFonts w:ascii="Arial" w:hAnsi="Arial" w:cs="Arial"/>
              </w:rPr>
              <w:lastRenderedPageBreak/>
              <w:t>Daniel Sáez-Domingo</w:t>
            </w:r>
          </w:p>
        </w:tc>
        <w:tc>
          <w:tcPr>
            <w:tcW w:w="5959" w:type="dxa"/>
          </w:tcPr>
          <w:p w14:paraId="2666D2C7" w14:textId="77777777" w:rsidR="00FB7EDE" w:rsidRPr="00C42C17" w:rsidRDefault="00FB7EDE" w:rsidP="000E4D95">
            <w:pPr>
              <w:rPr>
                <w:rFonts w:ascii="Arial" w:hAnsi="Arial" w:cs="Arial"/>
              </w:rPr>
            </w:pPr>
            <w:r w:rsidRPr="00C42C17">
              <w:rPr>
                <w:rFonts w:ascii="Arial" w:hAnsi="Arial" w:cs="Arial"/>
              </w:rPr>
              <w:t>ITI</w:t>
            </w:r>
          </w:p>
        </w:tc>
      </w:tr>
      <w:tr w:rsidR="00FB7EDE" w:rsidRPr="004013B2" w14:paraId="0B86C1E1" w14:textId="77777777" w:rsidTr="003330BD">
        <w:tc>
          <w:tcPr>
            <w:tcW w:w="3539" w:type="dxa"/>
          </w:tcPr>
          <w:p w14:paraId="08DD1632" w14:textId="77777777" w:rsidR="00FB7EDE" w:rsidRPr="00C42C17" w:rsidRDefault="00FB7EDE" w:rsidP="000E4D95">
            <w:pPr>
              <w:rPr>
                <w:rFonts w:ascii="Arial" w:hAnsi="Arial" w:cs="Arial"/>
              </w:rPr>
            </w:pPr>
            <w:r w:rsidRPr="00C42C17">
              <w:rPr>
                <w:rFonts w:ascii="Arial" w:hAnsi="Arial" w:cs="Arial"/>
              </w:rPr>
              <w:t>Natalie Samovich</w:t>
            </w:r>
          </w:p>
        </w:tc>
        <w:tc>
          <w:tcPr>
            <w:tcW w:w="5959" w:type="dxa"/>
          </w:tcPr>
          <w:p w14:paraId="24A93C9B" w14:textId="77777777" w:rsidR="00FB7EDE" w:rsidRPr="00C42C17" w:rsidRDefault="00FB7EDE" w:rsidP="000E4D95">
            <w:pPr>
              <w:rPr>
                <w:rFonts w:ascii="Arial" w:hAnsi="Arial" w:cs="Arial"/>
              </w:rPr>
            </w:pPr>
            <w:r w:rsidRPr="00C42C17">
              <w:rPr>
                <w:rFonts w:ascii="Arial" w:hAnsi="Arial" w:cs="Arial"/>
              </w:rPr>
              <w:t>Enercoutim</w:t>
            </w:r>
          </w:p>
        </w:tc>
      </w:tr>
      <w:tr w:rsidR="00FB7EDE" w:rsidRPr="004013B2" w14:paraId="41D0BA6D" w14:textId="77777777" w:rsidTr="003330BD">
        <w:tc>
          <w:tcPr>
            <w:tcW w:w="3539" w:type="dxa"/>
          </w:tcPr>
          <w:p w14:paraId="4BC897B9" w14:textId="77777777" w:rsidR="00FB7EDE" w:rsidRPr="00C42C17" w:rsidRDefault="00FB7EDE" w:rsidP="000E4D95">
            <w:pPr>
              <w:rPr>
                <w:rFonts w:ascii="Arial" w:hAnsi="Arial" w:cs="Arial"/>
              </w:rPr>
            </w:pPr>
            <w:r w:rsidRPr="00C42C17">
              <w:rPr>
                <w:rFonts w:ascii="Arial" w:hAnsi="Arial" w:cs="Arial"/>
              </w:rPr>
              <w:t>Jose Manuel Sanchez</w:t>
            </w:r>
          </w:p>
        </w:tc>
        <w:tc>
          <w:tcPr>
            <w:tcW w:w="5959" w:type="dxa"/>
          </w:tcPr>
          <w:p w14:paraId="69717CE1" w14:textId="77777777" w:rsidR="00FB7EDE" w:rsidRPr="00C42C17" w:rsidRDefault="00FB7EDE" w:rsidP="000E4D95">
            <w:pPr>
              <w:rPr>
                <w:rFonts w:ascii="Arial" w:hAnsi="Arial" w:cs="Arial"/>
              </w:rPr>
            </w:pPr>
            <w:r w:rsidRPr="00C42C17">
              <w:rPr>
                <w:rFonts w:ascii="Arial" w:hAnsi="Arial" w:cs="Arial"/>
              </w:rPr>
              <w:t>Integrasys</w:t>
            </w:r>
          </w:p>
        </w:tc>
      </w:tr>
      <w:tr w:rsidR="00FB7EDE" w:rsidRPr="004013B2" w14:paraId="611C8DB4" w14:textId="77777777" w:rsidTr="003330BD">
        <w:tc>
          <w:tcPr>
            <w:tcW w:w="3539" w:type="dxa"/>
          </w:tcPr>
          <w:p w14:paraId="7F8CB6A5" w14:textId="77777777" w:rsidR="00FB7EDE" w:rsidRPr="00C42C17" w:rsidRDefault="00FB7EDE" w:rsidP="000E4D95">
            <w:pPr>
              <w:rPr>
                <w:rFonts w:ascii="Arial" w:hAnsi="Arial" w:cs="Arial"/>
              </w:rPr>
            </w:pPr>
            <w:r w:rsidRPr="00C42C17">
              <w:rPr>
                <w:rFonts w:ascii="Arial" w:hAnsi="Arial" w:cs="Arial"/>
              </w:rPr>
              <w:t>Pouria Sayyad Khodashenas</w:t>
            </w:r>
          </w:p>
        </w:tc>
        <w:tc>
          <w:tcPr>
            <w:tcW w:w="5959" w:type="dxa"/>
          </w:tcPr>
          <w:p w14:paraId="5447C9FB" w14:textId="77777777" w:rsidR="00FB7EDE" w:rsidRPr="00C42C17" w:rsidRDefault="00FB7EDE" w:rsidP="000E4D95">
            <w:pPr>
              <w:rPr>
                <w:rFonts w:ascii="Arial" w:hAnsi="Arial" w:cs="Arial"/>
              </w:rPr>
            </w:pPr>
            <w:r w:rsidRPr="00C42C17">
              <w:rPr>
                <w:rFonts w:ascii="Arial" w:hAnsi="Arial" w:cs="Arial"/>
              </w:rPr>
              <w:t>i2CAT Foundation</w:t>
            </w:r>
          </w:p>
        </w:tc>
      </w:tr>
      <w:tr w:rsidR="00FB7EDE" w:rsidRPr="004013B2" w14:paraId="07EC4793" w14:textId="77777777" w:rsidTr="003330BD">
        <w:tc>
          <w:tcPr>
            <w:tcW w:w="3539" w:type="dxa"/>
          </w:tcPr>
          <w:p w14:paraId="1F752555" w14:textId="77777777" w:rsidR="00FB7EDE" w:rsidRPr="00C42C17" w:rsidRDefault="00FB7EDE" w:rsidP="000E4D95">
            <w:pPr>
              <w:rPr>
                <w:rFonts w:ascii="Arial" w:hAnsi="Arial" w:cs="Arial"/>
              </w:rPr>
            </w:pPr>
            <w:r w:rsidRPr="00C42C17">
              <w:rPr>
                <w:rFonts w:ascii="Arial" w:hAnsi="Arial" w:cs="Arial"/>
              </w:rPr>
              <w:t>Colja Schubert</w:t>
            </w:r>
          </w:p>
        </w:tc>
        <w:tc>
          <w:tcPr>
            <w:tcW w:w="5959" w:type="dxa"/>
          </w:tcPr>
          <w:p w14:paraId="6C25F9C7" w14:textId="77777777" w:rsidR="00FB7EDE" w:rsidRPr="00C42C17" w:rsidRDefault="00FB7EDE" w:rsidP="000E4D95">
            <w:pPr>
              <w:rPr>
                <w:rFonts w:ascii="Arial" w:hAnsi="Arial" w:cs="Arial"/>
              </w:rPr>
            </w:pPr>
            <w:r w:rsidRPr="00C42C17">
              <w:rPr>
                <w:rFonts w:ascii="Arial" w:hAnsi="Arial" w:cs="Arial"/>
              </w:rPr>
              <w:t>Fraunhofer HHI</w:t>
            </w:r>
          </w:p>
        </w:tc>
      </w:tr>
      <w:tr w:rsidR="00FB7EDE" w:rsidRPr="004013B2" w14:paraId="7A9F2948" w14:textId="77777777" w:rsidTr="003330BD">
        <w:tc>
          <w:tcPr>
            <w:tcW w:w="3539" w:type="dxa"/>
          </w:tcPr>
          <w:p w14:paraId="0E8284AF" w14:textId="77777777" w:rsidR="00FB7EDE" w:rsidRPr="00C42C17" w:rsidRDefault="00FB7EDE" w:rsidP="000E4D95">
            <w:pPr>
              <w:rPr>
                <w:rFonts w:ascii="Arial" w:hAnsi="Arial" w:cs="Arial"/>
              </w:rPr>
            </w:pPr>
            <w:r w:rsidRPr="00C42C17">
              <w:rPr>
                <w:rFonts w:ascii="Arial" w:hAnsi="Arial" w:cs="Arial"/>
              </w:rPr>
              <w:t>Egon Schulz</w:t>
            </w:r>
          </w:p>
        </w:tc>
        <w:tc>
          <w:tcPr>
            <w:tcW w:w="5959" w:type="dxa"/>
          </w:tcPr>
          <w:p w14:paraId="4028DC7B" w14:textId="77777777" w:rsidR="00FB7EDE" w:rsidRPr="00C42C17" w:rsidRDefault="00FB7EDE" w:rsidP="000E4D95">
            <w:pPr>
              <w:rPr>
                <w:rFonts w:ascii="Arial" w:hAnsi="Arial" w:cs="Arial"/>
              </w:rPr>
            </w:pPr>
            <w:r w:rsidRPr="00C42C17">
              <w:rPr>
                <w:rFonts w:ascii="Arial" w:hAnsi="Arial" w:cs="Arial"/>
              </w:rPr>
              <w:t>Huawei Germany</w:t>
            </w:r>
          </w:p>
        </w:tc>
      </w:tr>
      <w:tr w:rsidR="00FB7EDE" w:rsidRPr="004013B2" w14:paraId="400CF3CD" w14:textId="77777777" w:rsidTr="003330BD">
        <w:tc>
          <w:tcPr>
            <w:tcW w:w="3539" w:type="dxa"/>
          </w:tcPr>
          <w:p w14:paraId="46FF9DC0" w14:textId="77777777" w:rsidR="00FB7EDE" w:rsidRPr="00C42C17" w:rsidRDefault="00FB7EDE" w:rsidP="000E4D95">
            <w:pPr>
              <w:rPr>
                <w:rFonts w:ascii="Arial" w:hAnsi="Arial" w:cs="Arial"/>
              </w:rPr>
            </w:pPr>
            <w:r w:rsidRPr="00C42C17">
              <w:rPr>
                <w:rFonts w:ascii="Arial" w:hAnsi="Arial" w:cs="Arial"/>
              </w:rPr>
              <w:t>Kari Seppänen (editor)</w:t>
            </w:r>
          </w:p>
        </w:tc>
        <w:tc>
          <w:tcPr>
            <w:tcW w:w="5959" w:type="dxa"/>
          </w:tcPr>
          <w:p w14:paraId="5753AC7C" w14:textId="77777777" w:rsidR="00FB7EDE" w:rsidRPr="00C42C17" w:rsidRDefault="00FB7EDE" w:rsidP="000E4D95">
            <w:pPr>
              <w:rPr>
                <w:rFonts w:ascii="Arial" w:hAnsi="Arial" w:cs="Arial"/>
              </w:rPr>
            </w:pPr>
            <w:r w:rsidRPr="00C42C17">
              <w:rPr>
                <w:rFonts w:ascii="Arial" w:hAnsi="Arial" w:cs="Arial"/>
              </w:rPr>
              <w:t>VTT Techical Research Centre of Finland</w:t>
            </w:r>
          </w:p>
        </w:tc>
      </w:tr>
      <w:tr w:rsidR="00FB7EDE" w:rsidRPr="004013B2" w14:paraId="73817229" w14:textId="77777777" w:rsidTr="003330BD">
        <w:tc>
          <w:tcPr>
            <w:tcW w:w="3539" w:type="dxa"/>
          </w:tcPr>
          <w:p w14:paraId="4BF1E8BF" w14:textId="77777777" w:rsidR="00FB7EDE" w:rsidRPr="00C42C17" w:rsidRDefault="00FB7EDE" w:rsidP="000E4D95">
            <w:pPr>
              <w:rPr>
                <w:rFonts w:ascii="Arial" w:hAnsi="Arial" w:cs="Arial"/>
                <w:lang w:val="pt-PT"/>
              </w:rPr>
            </w:pPr>
            <w:r w:rsidRPr="00C42C17">
              <w:rPr>
                <w:rFonts w:ascii="Arial" w:hAnsi="Arial" w:cs="Arial"/>
                <w:lang w:val="pt-PT"/>
              </w:rPr>
              <w:t>Pablo Serrano</w:t>
            </w:r>
          </w:p>
        </w:tc>
        <w:tc>
          <w:tcPr>
            <w:tcW w:w="5959" w:type="dxa"/>
          </w:tcPr>
          <w:p w14:paraId="1A7AC919" w14:textId="77777777" w:rsidR="00FB7EDE" w:rsidRPr="00C42C17" w:rsidRDefault="00FB7EDE" w:rsidP="000E4D95">
            <w:pPr>
              <w:rPr>
                <w:rFonts w:ascii="Arial" w:hAnsi="Arial" w:cs="Arial"/>
                <w:lang w:val="pt-PT"/>
              </w:rPr>
            </w:pPr>
            <w:r w:rsidRPr="00C42C17">
              <w:rPr>
                <w:rFonts w:ascii="Arial" w:hAnsi="Arial" w:cs="Arial"/>
                <w:lang w:val="pt-PT"/>
              </w:rPr>
              <w:t>University Carlos III of Madrid</w:t>
            </w:r>
          </w:p>
        </w:tc>
      </w:tr>
      <w:tr w:rsidR="00FB7EDE" w:rsidRPr="004013B2" w14:paraId="0E887A8A" w14:textId="77777777" w:rsidTr="003330BD">
        <w:tc>
          <w:tcPr>
            <w:tcW w:w="3539" w:type="dxa"/>
          </w:tcPr>
          <w:p w14:paraId="480583EF" w14:textId="77777777" w:rsidR="00FB7EDE" w:rsidRPr="00C42C17" w:rsidRDefault="00FB7EDE" w:rsidP="000E4D95">
            <w:pPr>
              <w:rPr>
                <w:rFonts w:ascii="Arial" w:hAnsi="Arial" w:cs="Arial"/>
                <w:lang w:val="pt-PT"/>
              </w:rPr>
            </w:pPr>
            <w:r w:rsidRPr="00C42C17">
              <w:rPr>
                <w:rFonts w:ascii="Arial" w:hAnsi="Arial" w:cs="Arial"/>
                <w:lang w:val="pt-PT"/>
              </w:rPr>
              <w:t>Alena Siarheyeva</w:t>
            </w:r>
          </w:p>
        </w:tc>
        <w:tc>
          <w:tcPr>
            <w:tcW w:w="5959" w:type="dxa"/>
          </w:tcPr>
          <w:p w14:paraId="16A3372D" w14:textId="77777777" w:rsidR="00FB7EDE" w:rsidRPr="00C42C17" w:rsidRDefault="00FB7EDE" w:rsidP="000E4D95">
            <w:pPr>
              <w:rPr>
                <w:rFonts w:ascii="Arial" w:hAnsi="Arial" w:cs="Arial"/>
                <w:lang w:val="pt-PT"/>
              </w:rPr>
            </w:pPr>
            <w:r w:rsidRPr="00C42C17">
              <w:rPr>
                <w:rFonts w:ascii="Arial" w:hAnsi="Arial" w:cs="Arial"/>
                <w:lang w:val="pt-PT"/>
              </w:rPr>
              <w:t>Yncréa– Méditerranée</w:t>
            </w:r>
          </w:p>
        </w:tc>
      </w:tr>
      <w:tr w:rsidR="00FB7EDE" w:rsidRPr="004013B2" w14:paraId="255288D4" w14:textId="77777777" w:rsidTr="003330BD">
        <w:tc>
          <w:tcPr>
            <w:tcW w:w="3539" w:type="dxa"/>
          </w:tcPr>
          <w:p w14:paraId="24D1B4A9" w14:textId="77777777" w:rsidR="00FB7EDE" w:rsidRPr="00C42C17" w:rsidRDefault="00FB7EDE" w:rsidP="000E4D95">
            <w:pPr>
              <w:rPr>
                <w:rFonts w:ascii="Arial" w:hAnsi="Arial" w:cs="Arial"/>
                <w:lang w:val="pt-PT"/>
              </w:rPr>
            </w:pPr>
            <w:r w:rsidRPr="00C42C17">
              <w:rPr>
                <w:rFonts w:ascii="Arial" w:hAnsi="Arial" w:cs="Arial"/>
                <w:lang w:val="pt-PT"/>
              </w:rPr>
              <w:t>Dimitra Simeonidou</w:t>
            </w:r>
          </w:p>
        </w:tc>
        <w:tc>
          <w:tcPr>
            <w:tcW w:w="5959" w:type="dxa"/>
          </w:tcPr>
          <w:p w14:paraId="1C0C7789" w14:textId="77777777" w:rsidR="00FB7EDE" w:rsidRPr="00C42C17" w:rsidRDefault="00FB7EDE" w:rsidP="000E4D95">
            <w:pPr>
              <w:rPr>
                <w:rFonts w:ascii="Arial" w:hAnsi="Arial" w:cs="Arial"/>
                <w:lang w:val="pt-PT"/>
              </w:rPr>
            </w:pPr>
            <w:r w:rsidRPr="00C42C17">
              <w:rPr>
                <w:rFonts w:ascii="Arial" w:hAnsi="Arial" w:cs="Arial"/>
                <w:lang w:val="pt-PT"/>
              </w:rPr>
              <w:t>University of Bristol</w:t>
            </w:r>
          </w:p>
        </w:tc>
      </w:tr>
      <w:tr w:rsidR="0013508F" w:rsidRPr="004013B2" w14:paraId="323FA604" w14:textId="77777777" w:rsidTr="003330BD">
        <w:tc>
          <w:tcPr>
            <w:tcW w:w="3539" w:type="dxa"/>
          </w:tcPr>
          <w:p w14:paraId="0DD6DFDE" w14:textId="4106DB0A" w:rsidR="0013508F" w:rsidRPr="00C42C17" w:rsidRDefault="0013508F" w:rsidP="00C148C3">
            <w:pPr>
              <w:rPr>
                <w:rFonts w:ascii="Arial" w:hAnsi="Arial" w:cs="Arial"/>
              </w:rPr>
            </w:pPr>
            <w:r>
              <w:rPr>
                <w:rFonts w:ascii="Arial" w:hAnsi="Arial" w:cs="Arial"/>
              </w:rPr>
              <w:t>Rute Sofia</w:t>
            </w:r>
          </w:p>
        </w:tc>
        <w:tc>
          <w:tcPr>
            <w:tcW w:w="5959" w:type="dxa"/>
          </w:tcPr>
          <w:p w14:paraId="0757114F" w14:textId="18CBE6F8" w:rsidR="0013508F" w:rsidRPr="00C42C17" w:rsidRDefault="0013508F" w:rsidP="00C148C3">
            <w:pPr>
              <w:rPr>
                <w:rFonts w:ascii="Arial" w:hAnsi="Arial" w:cs="Arial"/>
              </w:rPr>
            </w:pPr>
            <w:r w:rsidRPr="00C42C17">
              <w:rPr>
                <w:rFonts w:ascii="Arial" w:hAnsi="Arial" w:cs="Arial"/>
              </w:rPr>
              <w:t>Fortiss</w:t>
            </w:r>
          </w:p>
        </w:tc>
      </w:tr>
      <w:tr w:rsidR="00FB7EDE" w:rsidRPr="004013B2" w14:paraId="2FC8EAB5" w14:textId="77777777" w:rsidTr="003330BD">
        <w:tc>
          <w:tcPr>
            <w:tcW w:w="3539" w:type="dxa"/>
          </w:tcPr>
          <w:p w14:paraId="016AD4A5" w14:textId="77777777" w:rsidR="00FB7EDE" w:rsidRPr="00C42C17" w:rsidRDefault="00FB7EDE" w:rsidP="000E4D95">
            <w:pPr>
              <w:rPr>
                <w:rFonts w:ascii="Arial" w:hAnsi="Arial" w:cs="Arial"/>
              </w:rPr>
            </w:pPr>
            <w:r w:rsidRPr="00C42C17">
              <w:rPr>
                <w:rFonts w:ascii="Arial" w:hAnsi="Arial" w:cs="Arial"/>
              </w:rPr>
              <w:t>Hui Song</w:t>
            </w:r>
          </w:p>
        </w:tc>
        <w:tc>
          <w:tcPr>
            <w:tcW w:w="5959" w:type="dxa"/>
          </w:tcPr>
          <w:p w14:paraId="7A6C821F" w14:textId="77777777" w:rsidR="00FB7EDE" w:rsidRPr="00C42C17" w:rsidRDefault="00FB7EDE" w:rsidP="000E4D95">
            <w:pPr>
              <w:rPr>
                <w:rFonts w:ascii="Arial" w:hAnsi="Arial" w:cs="Arial"/>
              </w:rPr>
            </w:pPr>
            <w:r w:rsidRPr="00C42C17">
              <w:rPr>
                <w:rFonts w:ascii="Arial" w:hAnsi="Arial" w:cs="Arial"/>
              </w:rPr>
              <w:t>SINTEF, Norway</w:t>
            </w:r>
          </w:p>
        </w:tc>
      </w:tr>
      <w:tr w:rsidR="00FB7EDE" w:rsidRPr="004013B2" w14:paraId="2A1CAC65" w14:textId="77777777" w:rsidTr="003330BD">
        <w:tc>
          <w:tcPr>
            <w:tcW w:w="3539" w:type="dxa"/>
          </w:tcPr>
          <w:p w14:paraId="49E0E21E" w14:textId="77777777" w:rsidR="00FB7EDE" w:rsidRPr="00C42C17" w:rsidRDefault="00FB7EDE" w:rsidP="000E4D95">
            <w:pPr>
              <w:rPr>
                <w:rFonts w:ascii="Arial" w:hAnsi="Arial" w:cs="Arial"/>
              </w:rPr>
            </w:pPr>
            <w:r w:rsidRPr="00C42C17">
              <w:rPr>
                <w:rFonts w:ascii="Arial" w:hAnsi="Arial" w:cs="Arial"/>
              </w:rPr>
              <w:t>Alexandros Stavdas</w:t>
            </w:r>
          </w:p>
        </w:tc>
        <w:tc>
          <w:tcPr>
            <w:tcW w:w="5959" w:type="dxa"/>
          </w:tcPr>
          <w:p w14:paraId="534F73DC" w14:textId="77777777" w:rsidR="00FB7EDE" w:rsidRPr="00C42C17" w:rsidRDefault="00FB7EDE" w:rsidP="000E4D95">
            <w:pPr>
              <w:rPr>
                <w:rFonts w:ascii="Arial" w:hAnsi="Arial" w:cs="Arial"/>
              </w:rPr>
            </w:pPr>
            <w:r w:rsidRPr="00C42C17">
              <w:rPr>
                <w:rFonts w:ascii="Arial" w:hAnsi="Arial" w:cs="Arial"/>
              </w:rPr>
              <w:t>University of Peloponnese</w:t>
            </w:r>
          </w:p>
        </w:tc>
      </w:tr>
      <w:tr w:rsidR="00FB7EDE" w:rsidRPr="004013B2" w14:paraId="6CE7A488" w14:textId="77777777" w:rsidTr="003330BD">
        <w:tc>
          <w:tcPr>
            <w:tcW w:w="3539" w:type="dxa"/>
          </w:tcPr>
          <w:p w14:paraId="290E60A1" w14:textId="77777777" w:rsidR="00FB7EDE" w:rsidRPr="00C42C17" w:rsidRDefault="00FB7EDE" w:rsidP="000E4D95">
            <w:pPr>
              <w:rPr>
                <w:rFonts w:ascii="Arial" w:hAnsi="Arial" w:cs="Arial"/>
              </w:rPr>
            </w:pPr>
            <w:r w:rsidRPr="00C42C17">
              <w:rPr>
                <w:rFonts w:ascii="Arial" w:hAnsi="Arial" w:cs="Arial"/>
              </w:rPr>
              <w:t>Juergen Sturm</w:t>
            </w:r>
          </w:p>
        </w:tc>
        <w:tc>
          <w:tcPr>
            <w:tcW w:w="5959" w:type="dxa"/>
          </w:tcPr>
          <w:p w14:paraId="279DD456" w14:textId="77777777" w:rsidR="00FB7EDE" w:rsidRPr="00C42C17" w:rsidRDefault="00FB7EDE" w:rsidP="000E4D95">
            <w:pPr>
              <w:rPr>
                <w:rFonts w:ascii="Arial" w:hAnsi="Arial" w:cs="Arial"/>
              </w:rPr>
            </w:pPr>
            <w:r w:rsidRPr="00C42C17">
              <w:rPr>
                <w:rFonts w:ascii="Arial" w:hAnsi="Arial" w:cs="Arial"/>
              </w:rPr>
              <w:t>Texas Instruments</w:t>
            </w:r>
          </w:p>
        </w:tc>
      </w:tr>
      <w:tr w:rsidR="00FB7EDE" w:rsidRPr="004013B2" w14:paraId="3D4AEBA1" w14:textId="77777777" w:rsidTr="003330BD">
        <w:tc>
          <w:tcPr>
            <w:tcW w:w="3539" w:type="dxa"/>
          </w:tcPr>
          <w:p w14:paraId="0D9FE594" w14:textId="77777777" w:rsidR="00FB7EDE" w:rsidRPr="00C42C17" w:rsidRDefault="00FB7EDE" w:rsidP="000E4D95">
            <w:pPr>
              <w:rPr>
                <w:rFonts w:ascii="Arial" w:hAnsi="Arial" w:cs="Arial"/>
              </w:rPr>
            </w:pPr>
            <w:r w:rsidRPr="00C42C17">
              <w:rPr>
                <w:rFonts w:ascii="Arial" w:hAnsi="Arial" w:cs="Arial"/>
              </w:rPr>
              <w:t>Panagiotis Trakadas</w:t>
            </w:r>
          </w:p>
        </w:tc>
        <w:tc>
          <w:tcPr>
            <w:tcW w:w="5959" w:type="dxa"/>
          </w:tcPr>
          <w:p w14:paraId="4A370F18" w14:textId="77777777" w:rsidR="00FB7EDE" w:rsidRPr="00C42C17" w:rsidRDefault="00FB7EDE" w:rsidP="000E4D95">
            <w:pPr>
              <w:rPr>
                <w:rFonts w:ascii="Arial" w:hAnsi="Arial" w:cs="Arial"/>
              </w:rPr>
            </w:pPr>
            <w:r w:rsidRPr="00C42C17">
              <w:rPr>
                <w:rFonts w:ascii="Arial" w:hAnsi="Arial" w:cs="Arial"/>
              </w:rPr>
              <w:t xml:space="preserve">National and Kapodistrian University of Athens  </w:t>
            </w:r>
          </w:p>
        </w:tc>
      </w:tr>
      <w:tr w:rsidR="00FB7EDE" w:rsidRPr="004013B2" w14:paraId="7FFDCFF7" w14:textId="77777777" w:rsidTr="003330BD">
        <w:tc>
          <w:tcPr>
            <w:tcW w:w="3539" w:type="dxa"/>
          </w:tcPr>
          <w:p w14:paraId="7E3E4624" w14:textId="77777777" w:rsidR="00FB7EDE" w:rsidRPr="00C42C17" w:rsidRDefault="00FB7EDE" w:rsidP="000E4D95">
            <w:pPr>
              <w:rPr>
                <w:rFonts w:ascii="Arial" w:hAnsi="Arial" w:cs="Arial"/>
                <w:lang w:val="pt-PT"/>
              </w:rPr>
            </w:pPr>
            <w:r w:rsidRPr="00C42C17">
              <w:rPr>
                <w:rFonts w:ascii="Arial" w:hAnsi="Arial" w:cs="Arial"/>
                <w:lang w:val="pt-PT"/>
              </w:rPr>
              <w:t>Dirk Trossen</w:t>
            </w:r>
          </w:p>
        </w:tc>
        <w:tc>
          <w:tcPr>
            <w:tcW w:w="5959" w:type="dxa"/>
          </w:tcPr>
          <w:p w14:paraId="3615DE4C" w14:textId="77777777" w:rsidR="00FB7EDE" w:rsidRPr="00C42C17" w:rsidRDefault="00FB7EDE" w:rsidP="000E4D95">
            <w:pPr>
              <w:rPr>
                <w:rFonts w:ascii="Arial" w:hAnsi="Arial" w:cs="Arial"/>
                <w:lang w:val="pt-PT"/>
              </w:rPr>
            </w:pPr>
            <w:r w:rsidRPr="00C42C17">
              <w:rPr>
                <w:rFonts w:ascii="Arial" w:hAnsi="Arial" w:cs="Arial"/>
                <w:lang w:val="pt-PT"/>
              </w:rPr>
              <w:t>Huawei ERI</w:t>
            </w:r>
          </w:p>
        </w:tc>
      </w:tr>
      <w:tr w:rsidR="00FB7EDE" w:rsidRPr="004013B2" w14:paraId="3221CFDF" w14:textId="77777777" w:rsidTr="003330BD">
        <w:tc>
          <w:tcPr>
            <w:tcW w:w="3539" w:type="dxa"/>
          </w:tcPr>
          <w:p w14:paraId="47202613" w14:textId="77777777" w:rsidR="00FB7EDE" w:rsidRPr="00C42C17" w:rsidRDefault="00FB7EDE" w:rsidP="000E4D95">
            <w:pPr>
              <w:rPr>
                <w:rFonts w:ascii="Arial" w:hAnsi="Arial" w:cs="Arial"/>
                <w:lang w:val="pt-PT"/>
              </w:rPr>
            </w:pPr>
            <w:r w:rsidRPr="00C42C17">
              <w:rPr>
                <w:rFonts w:ascii="Arial" w:hAnsi="Arial" w:cs="Arial"/>
                <w:lang w:val="pt-PT"/>
              </w:rPr>
              <w:t>Attilio Vaccaro</w:t>
            </w:r>
          </w:p>
        </w:tc>
        <w:tc>
          <w:tcPr>
            <w:tcW w:w="5959" w:type="dxa"/>
          </w:tcPr>
          <w:p w14:paraId="37617DBF" w14:textId="77777777" w:rsidR="00FB7EDE" w:rsidRPr="00C42C17" w:rsidRDefault="00FB7EDE" w:rsidP="000E4D95">
            <w:pPr>
              <w:rPr>
                <w:rFonts w:ascii="Arial" w:hAnsi="Arial" w:cs="Arial"/>
                <w:lang w:val="pt-PT"/>
              </w:rPr>
            </w:pPr>
            <w:r w:rsidRPr="00C42C17">
              <w:rPr>
                <w:rFonts w:ascii="Arial" w:hAnsi="Arial" w:cs="Arial"/>
                <w:lang w:val="pt-PT"/>
              </w:rPr>
              <w:t>MBI</w:t>
            </w:r>
          </w:p>
        </w:tc>
      </w:tr>
      <w:tr w:rsidR="00FB7EDE" w:rsidRPr="004013B2" w14:paraId="4F59350E" w14:textId="77777777" w:rsidTr="003330BD">
        <w:tc>
          <w:tcPr>
            <w:tcW w:w="3539" w:type="dxa"/>
          </w:tcPr>
          <w:p w14:paraId="56305C6D" w14:textId="77777777" w:rsidR="00FB7EDE" w:rsidRPr="00C42C17" w:rsidRDefault="00FB7EDE" w:rsidP="000E4D95">
            <w:pPr>
              <w:rPr>
                <w:rFonts w:ascii="Arial" w:hAnsi="Arial" w:cs="Arial"/>
                <w:lang w:val="pt-PT"/>
              </w:rPr>
            </w:pPr>
            <w:r w:rsidRPr="00C42C17">
              <w:rPr>
                <w:rFonts w:ascii="Arial" w:hAnsi="Arial" w:cs="Arial"/>
                <w:lang w:val="pt-PT"/>
              </w:rPr>
              <w:t>Alexandre Valentian</w:t>
            </w:r>
          </w:p>
        </w:tc>
        <w:tc>
          <w:tcPr>
            <w:tcW w:w="5959" w:type="dxa"/>
          </w:tcPr>
          <w:p w14:paraId="1856A734" w14:textId="25938C01" w:rsidR="00FB7EDE" w:rsidRPr="00C42C17" w:rsidRDefault="00832584" w:rsidP="000E4D95">
            <w:pPr>
              <w:rPr>
                <w:rFonts w:ascii="Arial" w:hAnsi="Arial" w:cs="Arial"/>
                <w:lang w:val="pt-PT"/>
              </w:rPr>
            </w:pPr>
            <w:r>
              <w:rPr>
                <w:rFonts w:ascii="Arial" w:hAnsi="Arial" w:cs="Arial"/>
                <w:lang w:val="pt-PT"/>
              </w:rPr>
              <w:t>CEA-LETI</w:t>
            </w:r>
          </w:p>
        </w:tc>
      </w:tr>
      <w:tr w:rsidR="00FB7EDE" w:rsidRPr="004013B2" w14:paraId="0E375A12" w14:textId="77777777" w:rsidTr="003330BD">
        <w:tc>
          <w:tcPr>
            <w:tcW w:w="3539" w:type="dxa"/>
          </w:tcPr>
          <w:p w14:paraId="2C5538A6" w14:textId="2A8211C6" w:rsidR="00FB7EDE" w:rsidRPr="00832584" w:rsidRDefault="00FB7EDE" w:rsidP="000E4D95">
            <w:pPr>
              <w:rPr>
                <w:rFonts w:ascii="Arial" w:hAnsi="Arial" w:cs="Arial"/>
                <w:lang w:val="pt-PT"/>
              </w:rPr>
            </w:pPr>
            <w:r w:rsidRPr="00832584">
              <w:rPr>
                <w:rFonts w:ascii="Arial" w:hAnsi="Arial" w:cs="Arial"/>
                <w:lang w:val="pt-PT"/>
              </w:rPr>
              <w:t>Alessandro Vanelli-Coralli</w:t>
            </w:r>
            <w:r w:rsidR="00B36249" w:rsidRPr="00832584">
              <w:rPr>
                <w:rFonts w:ascii="Arial" w:hAnsi="Arial" w:cs="Arial"/>
                <w:lang w:val="pt-PT"/>
              </w:rPr>
              <w:t xml:space="preserve"> (editor)</w:t>
            </w:r>
          </w:p>
        </w:tc>
        <w:tc>
          <w:tcPr>
            <w:tcW w:w="5959" w:type="dxa"/>
          </w:tcPr>
          <w:p w14:paraId="5C6AF49F" w14:textId="77777777" w:rsidR="00FB7EDE" w:rsidRPr="00C42C17" w:rsidRDefault="00FB7EDE" w:rsidP="000E4D95">
            <w:pPr>
              <w:rPr>
                <w:rFonts w:ascii="Arial" w:hAnsi="Arial" w:cs="Arial"/>
                <w:lang w:val="pt-PT"/>
              </w:rPr>
            </w:pPr>
            <w:r w:rsidRPr="00C42C17">
              <w:rPr>
                <w:rFonts w:ascii="Arial" w:hAnsi="Arial" w:cs="Arial"/>
                <w:lang w:val="pt-PT"/>
              </w:rPr>
              <w:t>University of Bologna</w:t>
            </w:r>
          </w:p>
        </w:tc>
      </w:tr>
      <w:tr w:rsidR="00FB7EDE" w:rsidRPr="004013B2" w14:paraId="439F8AAC" w14:textId="77777777" w:rsidTr="003330BD">
        <w:tc>
          <w:tcPr>
            <w:tcW w:w="3539" w:type="dxa"/>
          </w:tcPr>
          <w:p w14:paraId="7C872400" w14:textId="77777777" w:rsidR="00FB7EDE" w:rsidRPr="00C42C17" w:rsidRDefault="00FB7EDE" w:rsidP="000E4D95">
            <w:pPr>
              <w:rPr>
                <w:rFonts w:ascii="Arial" w:hAnsi="Arial" w:cs="Arial"/>
                <w:lang w:val="pt-PT"/>
              </w:rPr>
            </w:pPr>
            <w:r w:rsidRPr="00C42C17">
              <w:rPr>
                <w:rFonts w:ascii="Arial" w:hAnsi="Arial" w:cs="Arial"/>
                <w:lang w:val="pt-PT"/>
              </w:rPr>
              <w:t>Angeles Vazquez-Castro</w:t>
            </w:r>
          </w:p>
        </w:tc>
        <w:tc>
          <w:tcPr>
            <w:tcW w:w="5959" w:type="dxa"/>
          </w:tcPr>
          <w:p w14:paraId="677D0E6E" w14:textId="77777777" w:rsidR="00FB7EDE" w:rsidRPr="00C42C17" w:rsidRDefault="00FB7EDE" w:rsidP="000E4D95">
            <w:pPr>
              <w:rPr>
                <w:rFonts w:ascii="Arial" w:hAnsi="Arial" w:cs="Arial"/>
                <w:lang w:val="pt-PT"/>
              </w:rPr>
            </w:pPr>
            <w:r w:rsidRPr="00C42C17">
              <w:rPr>
                <w:rFonts w:ascii="Arial" w:hAnsi="Arial" w:cs="Arial"/>
                <w:lang w:val="pt-PT"/>
              </w:rPr>
              <w:t>University Autonoma Barcelona</w:t>
            </w:r>
          </w:p>
        </w:tc>
      </w:tr>
      <w:tr w:rsidR="00FB7EDE" w:rsidRPr="004013B2" w14:paraId="794A9224" w14:textId="77777777" w:rsidTr="003330BD">
        <w:tc>
          <w:tcPr>
            <w:tcW w:w="3539" w:type="dxa"/>
          </w:tcPr>
          <w:p w14:paraId="5A97B3DC" w14:textId="77777777" w:rsidR="00FB7EDE" w:rsidRPr="00C42C17" w:rsidRDefault="00FB7EDE" w:rsidP="000E4D95">
            <w:pPr>
              <w:rPr>
                <w:rFonts w:ascii="Arial" w:hAnsi="Arial" w:cs="Arial"/>
                <w:lang w:val="pt-PT"/>
              </w:rPr>
            </w:pPr>
            <w:r w:rsidRPr="00C42C17">
              <w:rPr>
                <w:rFonts w:ascii="Arial" w:hAnsi="Arial" w:cs="Arial"/>
                <w:lang w:val="pt-PT"/>
              </w:rPr>
              <w:t>Luís Velasco</w:t>
            </w:r>
          </w:p>
        </w:tc>
        <w:tc>
          <w:tcPr>
            <w:tcW w:w="5959" w:type="dxa"/>
          </w:tcPr>
          <w:p w14:paraId="08DBF4CA" w14:textId="77777777" w:rsidR="00FB7EDE" w:rsidRPr="00C42C17" w:rsidRDefault="00FB7EDE" w:rsidP="000E4D95">
            <w:pPr>
              <w:rPr>
                <w:rFonts w:ascii="Arial" w:hAnsi="Arial" w:cs="Arial"/>
                <w:lang w:val="pt-PT"/>
              </w:rPr>
            </w:pPr>
            <w:r w:rsidRPr="00C42C17">
              <w:rPr>
                <w:rFonts w:ascii="Arial" w:hAnsi="Arial" w:cs="Arial"/>
                <w:lang w:val="pt-PT"/>
              </w:rPr>
              <w:t>UPC</w:t>
            </w:r>
          </w:p>
        </w:tc>
      </w:tr>
      <w:tr w:rsidR="00FB7EDE" w:rsidRPr="004013B2" w14:paraId="40E43EC6" w14:textId="77777777" w:rsidTr="003330BD">
        <w:tc>
          <w:tcPr>
            <w:tcW w:w="3539" w:type="dxa"/>
          </w:tcPr>
          <w:p w14:paraId="3CD56816" w14:textId="77777777" w:rsidR="00FB7EDE" w:rsidRPr="00C42C17" w:rsidRDefault="00FB7EDE" w:rsidP="000E4D95">
            <w:pPr>
              <w:rPr>
                <w:rFonts w:ascii="Arial" w:hAnsi="Arial" w:cs="Arial"/>
              </w:rPr>
            </w:pPr>
            <w:r w:rsidRPr="00C42C17">
              <w:rPr>
                <w:rFonts w:ascii="Arial" w:hAnsi="Arial" w:cs="Arial"/>
              </w:rPr>
              <w:t>Ovidiu Vermesan</w:t>
            </w:r>
          </w:p>
        </w:tc>
        <w:tc>
          <w:tcPr>
            <w:tcW w:w="5959" w:type="dxa"/>
          </w:tcPr>
          <w:p w14:paraId="6206FB51" w14:textId="77777777" w:rsidR="00FB7EDE" w:rsidRPr="00C42C17" w:rsidRDefault="00FB7EDE" w:rsidP="000E4D95">
            <w:pPr>
              <w:rPr>
                <w:rFonts w:ascii="Arial" w:hAnsi="Arial" w:cs="Arial"/>
              </w:rPr>
            </w:pPr>
            <w:r w:rsidRPr="00C42C17">
              <w:rPr>
                <w:rFonts w:ascii="Arial" w:hAnsi="Arial" w:cs="Arial"/>
              </w:rPr>
              <w:t>Sintef Digital</w:t>
            </w:r>
          </w:p>
        </w:tc>
      </w:tr>
      <w:tr w:rsidR="00FB7EDE" w:rsidRPr="004013B2" w14:paraId="37E49B03" w14:textId="77777777" w:rsidTr="003330BD">
        <w:tc>
          <w:tcPr>
            <w:tcW w:w="3539" w:type="dxa"/>
          </w:tcPr>
          <w:p w14:paraId="0F48FE6F" w14:textId="77777777" w:rsidR="00FB7EDE" w:rsidRPr="00C42C17" w:rsidRDefault="00FB7EDE" w:rsidP="000E4D95">
            <w:pPr>
              <w:rPr>
                <w:rFonts w:ascii="Arial" w:hAnsi="Arial" w:cs="Arial"/>
              </w:rPr>
            </w:pPr>
            <w:r w:rsidRPr="00C42C17">
              <w:rPr>
                <w:rFonts w:ascii="Arial" w:hAnsi="Arial" w:cs="Arial"/>
              </w:rPr>
              <w:t>Piet Wambacq</w:t>
            </w:r>
          </w:p>
        </w:tc>
        <w:tc>
          <w:tcPr>
            <w:tcW w:w="5959" w:type="dxa"/>
          </w:tcPr>
          <w:p w14:paraId="7E55AD41" w14:textId="0D0E9ADE" w:rsidR="00FB7EDE" w:rsidRPr="00C42C17" w:rsidRDefault="00832584" w:rsidP="000E4D95">
            <w:pPr>
              <w:rPr>
                <w:rFonts w:ascii="Arial" w:hAnsi="Arial" w:cs="Arial"/>
              </w:rPr>
            </w:pPr>
            <w:r>
              <w:rPr>
                <w:rFonts w:ascii="Arial" w:hAnsi="Arial" w:cs="Arial"/>
              </w:rPr>
              <w:t>IMEC</w:t>
            </w:r>
          </w:p>
        </w:tc>
      </w:tr>
      <w:tr w:rsidR="00FB7EDE" w:rsidRPr="004013B2" w14:paraId="44B26AEE" w14:textId="77777777" w:rsidTr="003330BD">
        <w:tc>
          <w:tcPr>
            <w:tcW w:w="3539" w:type="dxa"/>
          </w:tcPr>
          <w:p w14:paraId="581B9A6E" w14:textId="77777777" w:rsidR="00FB7EDE" w:rsidRPr="00C42C17" w:rsidRDefault="00FB7EDE" w:rsidP="000E4D95">
            <w:pPr>
              <w:rPr>
                <w:rFonts w:ascii="Arial" w:hAnsi="Arial" w:cs="Arial"/>
              </w:rPr>
            </w:pPr>
            <w:r w:rsidRPr="00C42C17">
              <w:rPr>
                <w:rFonts w:ascii="Arial" w:hAnsi="Arial" w:cs="Arial"/>
              </w:rPr>
              <w:t>Rainer Wansch</w:t>
            </w:r>
          </w:p>
        </w:tc>
        <w:tc>
          <w:tcPr>
            <w:tcW w:w="5959" w:type="dxa"/>
          </w:tcPr>
          <w:p w14:paraId="36004DB8" w14:textId="77777777" w:rsidR="00FB7EDE" w:rsidRPr="00C42C17" w:rsidRDefault="00FB7EDE" w:rsidP="000E4D95">
            <w:pPr>
              <w:rPr>
                <w:rFonts w:ascii="Arial" w:hAnsi="Arial" w:cs="Arial"/>
              </w:rPr>
            </w:pPr>
            <w:r w:rsidRPr="00C42C17">
              <w:rPr>
                <w:rFonts w:ascii="Arial" w:hAnsi="Arial" w:cs="Arial"/>
              </w:rPr>
              <w:t>Fraunhofer Institute</w:t>
            </w:r>
          </w:p>
        </w:tc>
      </w:tr>
      <w:tr w:rsidR="00FB7EDE" w:rsidRPr="004013B2" w14:paraId="7734DE35" w14:textId="77777777" w:rsidTr="003330BD">
        <w:tc>
          <w:tcPr>
            <w:tcW w:w="3539" w:type="dxa"/>
          </w:tcPr>
          <w:p w14:paraId="0BBCF332" w14:textId="77777777" w:rsidR="00FB7EDE" w:rsidRPr="00C42C17" w:rsidRDefault="00FB7EDE" w:rsidP="000E4D95">
            <w:pPr>
              <w:rPr>
                <w:rFonts w:ascii="Arial" w:hAnsi="Arial" w:cs="Arial"/>
              </w:rPr>
            </w:pPr>
            <w:r w:rsidRPr="00C42C17">
              <w:rPr>
                <w:rFonts w:ascii="Arial" w:hAnsi="Arial" w:cs="Arial"/>
              </w:rPr>
              <w:t>Michael Welzl</w:t>
            </w:r>
          </w:p>
        </w:tc>
        <w:tc>
          <w:tcPr>
            <w:tcW w:w="5959" w:type="dxa"/>
          </w:tcPr>
          <w:p w14:paraId="6ACA8A9F" w14:textId="77777777" w:rsidR="00FB7EDE" w:rsidRPr="00C42C17" w:rsidRDefault="00FB7EDE" w:rsidP="000E4D95">
            <w:pPr>
              <w:rPr>
                <w:rFonts w:ascii="Arial" w:hAnsi="Arial" w:cs="Arial"/>
              </w:rPr>
            </w:pPr>
            <w:r w:rsidRPr="00C42C17">
              <w:rPr>
                <w:rFonts w:ascii="Arial" w:hAnsi="Arial" w:cs="Arial"/>
              </w:rPr>
              <w:t>University of Oslo Norway</w:t>
            </w:r>
          </w:p>
        </w:tc>
      </w:tr>
      <w:tr w:rsidR="00FB7EDE" w:rsidRPr="004013B2" w14:paraId="200464CD" w14:textId="77777777" w:rsidTr="003330BD">
        <w:tc>
          <w:tcPr>
            <w:tcW w:w="3539" w:type="dxa"/>
          </w:tcPr>
          <w:p w14:paraId="423D9F8C" w14:textId="77777777" w:rsidR="00FB7EDE" w:rsidRPr="00C42C17" w:rsidRDefault="00FB7EDE" w:rsidP="000E4D95">
            <w:pPr>
              <w:rPr>
                <w:rFonts w:ascii="Arial" w:hAnsi="Arial" w:cs="Arial"/>
              </w:rPr>
            </w:pPr>
            <w:r w:rsidRPr="00C42C17">
              <w:rPr>
                <w:rFonts w:ascii="Arial" w:hAnsi="Arial" w:cs="Arial"/>
              </w:rPr>
              <w:t>Joerg Widmer</w:t>
            </w:r>
          </w:p>
        </w:tc>
        <w:tc>
          <w:tcPr>
            <w:tcW w:w="5959" w:type="dxa"/>
          </w:tcPr>
          <w:p w14:paraId="511EA748" w14:textId="77777777" w:rsidR="00FB7EDE" w:rsidRPr="00C42C17" w:rsidRDefault="00FB7EDE" w:rsidP="000E4D95">
            <w:pPr>
              <w:rPr>
                <w:rFonts w:ascii="Arial" w:hAnsi="Arial" w:cs="Arial"/>
              </w:rPr>
            </w:pPr>
            <w:r w:rsidRPr="00C42C17">
              <w:rPr>
                <w:rFonts w:ascii="Arial" w:hAnsi="Arial" w:cs="Arial"/>
              </w:rPr>
              <w:t> IMDEA Networks, Spain</w:t>
            </w:r>
          </w:p>
        </w:tc>
      </w:tr>
      <w:tr w:rsidR="00FB7EDE" w:rsidRPr="004013B2" w14:paraId="23E62996" w14:textId="77777777" w:rsidTr="003330BD">
        <w:tc>
          <w:tcPr>
            <w:tcW w:w="3539" w:type="dxa"/>
          </w:tcPr>
          <w:p w14:paraId="639BD8AC" w14:textId="77777777" w:rsidR="00FB7EDE" w:rsidRPr="00C42C17" w:rsidRDefault="00FB7EDE" w:rsidP="000E4D95">
            <w:pPr>
              <w:rPr>
                <w:rFonts w:ascii="Arial" w:hAnsi="Arial" w:cs="Arial"/>
              </w:rPr>
            </w:pPr>
            <w:r w:rsidRPr="00C42C17">
              <w:rPr>
                <w:rFonts w:ascii="Arial" w:hAnsi="Arial" w:cs="Arial"/>
              </w:rPr>
              <w:t>Henk Wymeersch</w:t>
            </w:r>
          </w:p>
        </w:tc>
        <w:tc>
          <w:tcPr>
            <w:tcW w:w="5959" w:type="dxa"/>
          </w:tcPr>
          <w:p w14:paraId="6CD43445" w14:textId="77777777" w:rsidR="00FB7EDE" w:rsidRPr="00C42C17" w:rsidRDefault="00FB7EDE" w:rsidP="000E4D95">
            <w:pPr>
              <w:rPr>
                <w:rFonts w:ascii="Arial" w:hAnsi="Arial" w:cs="Arial"/>
              </w:rPr>
            </w:pPr>
            <w:r w:rsidRPr="00C42C17">
              <w:rPr>
                <w:rFonts w:ascii="Arial" w:hAnsi="Arial" w:cs="Arial"/>
              </w:rPr>
              <w:t>Chalmers University of Technology, Sweden</w:t>
            </w:r>
          </w:p>
        </w:tc>
      </w:tr>
      <w:tr w:rsidR="00FB7EDE" w:rsidRPr="004013B2" w14:paraId="61C5C5FC" w14:textId="77777777" w:rsidTr="003330BD">
        <w:tc>
          <w:tcPr>
            <w:tcW w:w="3539" w:type="dxa"/>
          </w:tcPr>
          <w:p w14:paraId="4FD63655" w14:textId="77777777" w:rsidR="00FB7EDE" w:rsidRPr="00C42C17" w:rsidRDefault="00FB7EDE" w:rsidP="000E4D95">
            <w:pPr>
              <w:rPr>
                <w:rFonts w:ascii="Arial" w:hAnsi="Arial" w:cs="Arial"/>
              </w:rPr>
            </w:pPr>
            <w:r w:rsidRPr="00C42C17">
              <w:rPr>
                <w:rFonts w:ascii="Arial" w:hAnsi="Arial" w:cs="Arial"/>
              </w:rPr>
              <w:t>George Xilouris</w:t>
            </w:r>
          </w:p>
        </w:tc>
        <w:tc>
          <w:tcPr>
            <w:tcW w:w="5959" w:type="dxa"/>
          </w:tcPr>
          <w:p w14:paraId="67EF48B9" w14:textId="77777777" w:rsidR="00FB7EDE" w:rsidRPr="00C42C17" w:rsidRDefault="00FB7EDE" w:rsidP="000E4D95">
            <w:pPr>
              <w:rPr>
                <w:rFonts w:ascii="Arial" w:hAnsi="Arial" w:cs="Arial"/>
              </w:rPr>
            </w:pPr>
            <w:r w:rsidRPr="00C42C17">
              <w:rPr>
                <w:rFonts w:ascii="Arial" w:hAnsi="Arial" w:cs="Arial"/>
              </w:rPr>
              <w:t>NCSR Demokritos</w:t>
            </w:r>
          </w:p>
        </w:tc>
      </w:tr>
      <w:tr w:rsidR="00FB7EDE" w:rsidRPr="004013B2" w14:paraId="55950083" w14:textId="77777777" w:rsidTr="003330BD">
        <w:tc>
          <w:tcPr>
            <w:tcW w:w="3539" w:type="dxa"/>
          </w:tcPr>
          <w:p w14:paraId="7B493A25" w14:textId="77777777" w:rsidR="00FB7EDE" w:rsidRPr="00C42C17" w:rsidRDefault="00FB7EDE" w:rsidP="000E4D95">
            <w:pPr>
              <w:rPr>
                <w:rFonts w:ascii="Arial" w:hAnsi="Arial" w:cs="Arial"/>
              </w:rPr>
            </w:pPr>
            <w:r w:rsidRPr="00C42C17">
              <w:rPr>
                <w:rFonts w:ascii="Arial" w:hAnsi="Arial" w:cs="Arial"/>
              </w:rPr>
              <w:t>Wen Xu (Editor)</w:t>
            </w:r>
          </w:p>
        </w:tc>
        <w:tc>
          <w:tcPr>
            <w:tcW w:w="5959" w:type="dxa"/>
          </w:tcPr>
          <w:p w14:paraId="4348A955" w14:textId="77777777" w:rsidR="00FB7EDE" w:rsidRPr="00C42C17" w:rsidRDefault="00FB7EDE" w:rsidP="000E4D95">
            <w:pPr>
              <w:rPr>
                <w:rFonts w:ascii="Arial" w:hAnsi="Arial" w:cs="Arial"/>
              </w:rPr>
            </w:pPr>
            <w:r w:rsidRPr="00C42C17">
              <w:rPr>
                <w:rFonts w:ascii="Arial" w:hAnsi="Arial" w:cs="Arial"/>
              </w:rPr>
              <w:t>Huawei Germany</w:t>
            </w:r>
          </w:p>
        </w:tc>
      </w:tr>
      <w:tr w:rsidR="00FB7EDE" w:rsidRPr="004013B2" w14:paraId="5279F32C" w14:textId="77777777" w:rsidTr="003330BD">
        <w:tc>
          <w:tcPr>
            <w:tcW w:w="3539" w:type="dxa"/>
          </w:tcPr>
          <w:p w14:paraId="50418B3D" w14:textId="77777777" w:rsidR="00FB7EDE" w:rsidRPr="00C42C17" w:rsidRDefault="00FB7EDE" w:rsidP="000E4D95">
            <w:pPr>
              <w:rPr>
                <w:rFonts w:ascii="Arial" w:hAnsi="Arial" w:cs="Arial"/>
              </w:rPr>
            </w:pPr>
            <w:r w:rsidRPr="00C42C17">
              <w:rPr>
                <w:rFonts w:ascii="Arial" w:hAnsi="Arial" w:cs="Arial"/>
              </w:rPr>
              <w:t>Seppo Yrjölä</w:t>
            </w:r>
          </w:p>
        </w:tc>
        <w:tc>
          <w:tcPr>
            <w:tcW w:w="5959" w:type="dxa"/>
          </w:tcPr>
          <w:p w14:paraId="7D878157" w14:textId="77777777" w:rsidR="00FB7EDE" w:rsidRPr="00C42C17" w:rsidRDefault="00FB7EDE" w:rsidP="000E4D95">
            <w:pPr>
              <w:rPr>
                <w:rFonts w:ascii="Arial" w:hAnsi="Arial" w:cs="Arial"/>
              </w:rPr>
            </w:pPr>
            <w:r w:rsidRPr="00C42C17">
              <w:rPr>
                <w:rFonts w:ascii="Arial" w:hAnsi="Arial" w:cs="Arial"/>
              </w:rPr>
              <w:t>Nokia</w:t>
            </w:r>
          </w:p>
        </w:tc>
      </w:tr>
      <w:tr w:rsidR="00FB7EDE" w:rsidRPr="004013B2" w14:paraId="3FAD271A" w14:textId="77777777" w:rsidTr="003330BD">
        <w:tc>
          <w:tcPr>
            <w:tcW w:w="3539" w:type="dxa"/>
          </w:tcPr>
          <w:p w14:paraId="2B72AF89" w14:textId="77777777" w:rsidR="00FB7EDE" w:rsidRPr="00C42C17" w:rsidRDefault="00FB7EDE" w:rsidP="000E4D95">
            <w:pPr>
              <w:rPr>
                <w:rFonts w:ascii="Arial" w:hAnsi="Arial" w:cs="Arial"/>
              </w:rPr>
            </w:pPr>
            <w:r w:rsidRPr="00C42C17">
              <w:rPr>
                <w:rFonts w:ascii="Arial" w:hAnsi="Arial" w:cs="Arial"/>
              </w:rPr>
              <w:t>Florian Zeiger</w:t>
            </w:r>
          </w:p>
        </w:tc>
        <w:tc>
          <w:tcPr>
            <w:tcW w:w="5959" w:type="dxa"/>
          </w:tcPr>
          <w:p w14:paraId="69C4D85C" w14:textId="77777777" w:rsidR="00FB7EDE" w:rsidRPr="00C42C17" w:rsidRDefault="00FB7EDE" w:rsidP="000E4D95">
            <w:pPr>
              <w:rPr>
                <w:rFonts w:ascii="Arial" w:hAnsi="Arial" w:cs="Arial"/>
              </w:rPr>
            </w:pPr>
            <w:r w:rsidRPr="00C42C17">
              <w:rPr>
                <w:rFonts w:ascii="Arial" w:hAnsi="Arial" w:cs="Arial"/>
              </w:rPr>
              <w:t>Siemens</w:t>
            </w:r>
          </w:p>
        </w:tc>
      </w:tr>
      <w:tr w:rsidR="00FB7EDE" w14:paraId="772D9C05" w14:textId="77777777" w:rsidTr="003330BD">
        <w:tc>
          <w:tcPr>
            <w:tcW w:w="3539" w:type="dxa"/>
          </w:tcPr>
          <w:p w14:paraId="70C1D693" w14:textId="77777777" w:rsidR="00FB7EDE" w:rsidRPr="00C42C17" w:rsidRDefault="00FB7EDE" w:rsidP="000E4D95">
            <w:pPr>
              <w:rPr>
                <w:rFonts w:ascii="Arial" w:hAnsi="Arial" w:cs="Arial"/>
              </w:rPr>
            </w:pPr>
            <w:r w:rsidRPr="00C42C17">
              <w:rPr>
                <w:rFonts w:ascii="Arial" w:hAnsi="Arial" w:cs="Arial"/>
              </w:rPr>
              <w:t>Martina Zitterbart</w:t>
            </w:r>
          </w:p>
        </w:tc>
        <w:tc>
          <w:tcPr>
            <w:tcW w:w="5959" w:type="dxa"/>
          </w:tcPr>
          <w:p w14:paraId="5751C634" w14:textId="77777777" w:rsidR="00FB7EDE" w:rsidRPr="00C42C17" w:rsidRDefault="00FB7EDE" w:rsidP="000E4D95">
            <w:pPr>
              <w:rPr>
                <w:rFonts w:ascii="Arial" w:hAnsi="Arial" w:cs="Arial"/>
              </w:rPr>
            </w:pPr>
            <w:r w:rsidRPr="00C42C17">
              <w:rPr>
                <w:rFonts w:ascii="Arial" w:hAnsi="Arial" w:cs="Arial"/>
              </w:rPr>
              <w:t>KIT</w:t>
            </w:r>
          </w:p>
        </w:tc>
      </w:tr>
    </w:tbl>
    <w:p w14:paraId="35D3DB77" w14:textId="52E501AA" w:rsidR="00F20A73" w:rsidRDefault="008817FA" w:rsidP="00C42C17">
      <w:pPr>
        <w:pStyle w:val="EndnoteText"/>
        <w:spacing w:before="0" w:line="240" w:lineRule="auto"/>
        <w:ind w:left="0" w:firstLine="0"/>
        <w:rPr>
          <w:rFonts w:ascii="Arial" w:hAnsi="Arial" w:cs="Arial"/>
          <w:color w:val="000000" w:themeColor="text1"/>
          <w:sz w:val="22"/>
          <w:szCs w:val="22"/>
        </w:rPr>
      </w:pPr>
      <w:r>
        <w:rPr>
          <w:rFonts w:ascii="Arial" w:hAnsi="Arial" w:cs="Arial"/>
          <w:color w:val="000000" w:themeColor="text1"/>
          <w:sz w:val="22"/>
          <w:szCs w:val="22"/>
        </w:rPr>
        <w:br/>
      </w:r>
    </w:p>
    <w:p w14:paraId="0ACF8C77" w14:textId="77777777" w:rsidR="006C4FDF" w:rsidRDefault="006C4FDF" w:rsidP="003B3AA3">
      <w:pPr>
        <w:pStyle w:val="EndnoteText"/>
        <w:spacing w:before="0" w:line="240" w:lineRule="auto"/>
        <w:ind w:left="567" w:hanging="567"/>
        <w:rPr>
          <w:rFonts w:ascii="Arial" w:hAnsi="Arial" w:cs="Arial"/>
          <w:color w:val="000000" w:themeColor="text1"/>
          <w:sz w:val="22"/>
          <w:szCs w:val="22"/>
        </w:rPr>
      </w:pPr>
    </w:p>
    <w:p w14:paraId="69A726E5" w14:textId="77777777" w:rsidR="006C4FDF" w:rsidRPr="0063079E" w:rsidRDefault="006C4FDF" w:rsidP="003B3AA3">
      <w:pPr>
        <w:pStyle w:val="EndnoteText"/>
        <w:spacing w:before="0" w:line="240" w:lineRule="auto"/>
        <w:ind w:left="567" w:hanging="567"/>
        <w:rPr>
          <w:rFonts w:ascii="Arial" w:hAnsi="Arial" w:cs="Arial"/>
          <w:color w:val="000000" w:themeColor="text1"/>
          <w:sz w:val="22"/>
          <w:szCs w:val="22"/>
        </w:rPr>
      </w:pPr>
    </w:p>
    <w:p w14:paraId="3B2F5409" w14:textId="77777777" w:rsidR="000261DC" w:rsidRPr="0063079E" w:rsidRDefault="000261DC" w:rsidP="001C336A">
      <w:pPr>
        <w:pageBreakBefore/>
        <w:spacing w:after="120" w:line="240" w:lineRule="auto"/>
        <w:ind w:left="567" w:hanging="567"/>
        <w:jc w:val="both"/>
        <w:rPr>
          <w:rFonts w:ascii="Arial" w:hAnsi="Arial" w:cs="Arial"/>
          <w:b/>
          <w:sz w:val="24"/>
          <w:szCs w:val="24"/>
        </w:rPr>
      </w:pPr>
      <w:r w:rsidRPr="0063079E">
        <w:rPr>
          <w:rFonts w:ascii="Arial" w:hAnsi="Arial" w:cs="Arial"/>
          <w:b/>
          <w:sz w:val="24"/>
          <w:szCs w:val="24"/>
        </w:rPr>
        <w:lastRenderedPageBreak/>
        <w:t>About NetWorld2020</w:t>
      </w:r>
    </w:p>
    <w:p w14:paraId="21B7A5E1" w14:textId="77777777" w:rsidR="000261DC" w:rsidRPr="0063079E" w:rsidRDefault="000261DC" w:rsidP="000261DC">
      <w:pPr>
        <w:spacing w:after="0" w:line="240" w:lineRule="auto"/>
        <w:jc w:val="both"/>
        <w:rPr>
          <w:rFonts w:ascii="Arial" w:hAnsi="Arial" w:cs="Arial"/>
          <w:lang w:eastAsia="de-DE"/>
        </w:rPr>
      </w:pPr>
      <w:r w:rsidRPr="0063079E">
        <w:rPr>
          <w:rFonts w:ascii="Arial" w:hAnsi="Arial" w:cs="Arial"/>
          <w:lang w:eastAsia="de-DE"/>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63079E" w:rsidRDefault="000261DC" w:rsidP="000261DC">
      <w:pPr>
        <w:spacing w:after="0" w:line="240" w:lineRule="auto"/>
        <w:ind w:left="567" w:hanging="567"/>
        <w:jc w:val="both"/>
        <w:rPr>
          <w:rFonts w:ascii="Arial" w:hAnsi="Arial" w:cs="Arial"/>
        </w:rPr>
      </w:pPr>
    </w:p>
    <w:p w14:paraId="099BA739" w14:textId="2A509CEB" w:rsidR="000261DC" w:rsidRPr="0063079E" w:rsidRDefault="00237CB4" w:rsidP="000261DC">
      <w:pPr>
        <w:spacing w:after="120" w:line="240" w:lineRule="auto"/>
        <w:ind w:left="567" w:hanging="567"/>
        <w:jc w:val="both"/>
        <w:rPr>
          <w:rFonts w:ascii="Arial" w:hAnsi="Arial" w:cs="Arial"/>
          <w:b/>
          <w:sz w:val="24"/>
          <w:szCs w:val="24"/>
        </w:rPr>
      </w:pPr>
      <w:r>
        <w:rPr>
          <w:rFonts w:ascii="Arial" w:hAnsi="Arial" w:cs="Arial"/>
          <w:b/>
          <w:sz w:val="24"/>
          <w:szCs w:val="24"/>
        </w:rPr>
        <w:t>About the SRIA</w:t>
      </w:r>
    </w:p>
    <w:p w14:paraId="37D7C3D7" w14:textId="655A432F" w:rsidR="00237CB4" w:rsidRDefault="00237CB4" w:rsidP="000261DC">
      <w:pPr>
        <w:spacing w:after="120" w:line="240" w:lineRule="auto"/>
        <w:jc w:val="both"/>
        <w:rPr>
          <w:rFonts w:ascii="Arial" w:hAnsi="Arial" w:cs="Arial"/>
          <w:lang w:eastAsia="de-DE"/>
        </w:rPr>
      </w:pPr>
      <w:r>
        <w:rPr>
          <w:rFonts w:ascii="Arial" w:hAnsi="Arial" w:cs="Arial"/>
          <w:lang w:eastAsia="de-DE"/>
        </w:rPr>
        <w:t>The Strategic Research and Innovation Agenda is organized by the Networld2020 European Technology Platform to provide a long</w:t>
      </w:r>
      <w:r w:rsidR="00C12A3D">
        <w:rPr>
          <w:rFonts w:ascii="Arial" w:hAnsi="Arial" w:cs="Arial"/>
          <w:lang w:eastAsia="de-DE"/>
        </w:rPr>
        <w:t>-term</w:t>
      </w:r>
      <w:r>
        <w:rPr>
          <w:rFonts w:ascii="Arial" w:hAnsi="Arial" w:cs="Arial"/>
          <w:lang w:eastAsia="de-DE"/>
        </w:rPr>
        <w:t xml:space="preserve"> view about the future of telecommunications in Europe in cooperation with the 5G-Infrastructure Association</w:t>
      </w:r>
      <w:r w:rsidR="000113B1">
        <w:rPr>
          <w:rFonts w:ascii="Arial" w:hAnsi="Arial" w:cs="Arial"/>
          <w:lang w:eastAsia="de-DE"/>
        </w:rPr>
        <w:t xml:space="preserve"> (5G-IA)</w:t>
      </w:r>
      <w:r>
        <w:rPr>
          <w:rFonts w:ascii="Arial" w:hAnsi="Arial" w:cs="Arial"/>
          <w:lang w:eastAsia="de-DE"/>
        </w:rPr>
        <w:t>. It collects the views from industry and academ</w:t>
      </w:r>
      <w:r w:rsidR="000113B1">
        <w:rPr>
          <w:rFonts w:ascii="Arial" w:hAnsi="Arial" w:cs="Arial"/>
          <w:lang w:eastAsia="de-DE"/>
        </w:rPr>
        <w:t xml:space="preserve">ia, and received inputs from Alliance for Internet of Things Innovation (AIoTI) and from the </w:t>
      </w:r>
      <w:r w:rsidR="000113B1" w:rsidRPr="000113B1">
        <w:rPr>
          <w:rFonts w:ascii="Arial" w:hAnsi="Arial" w:cs="Arial"/>
          <w:lang w:eastAsia="de-DE"/>
        </w:rPr>
        <w:t>Networked European Software and Services Initiative</w:t>
      </w:r>
      <w:r w:rsidR="000113B1">
        <w:rPr>
          <w:rFonts w:ascii="Arial" w:hAnsi="Arial" w:cs="Arial"/>
          <w:lang w:eastAsia="de-DE"/>
        </w:rPr>
        <w:t xml:space="preserve"> (NESSI).</w:t>
      </w:r>
    </w:p>
    <w:p w14:paraId="7A31A4E6" w14:textId="77777777" w:rsidR="002571D4" w:rsidRPr="0063079E" w:rsidRDefault="002571D4" w:rsidP="000261DC">
      <w:pPr>
        <w:pStyle w:val="EndnoteText"/>
        <w:spacing w:before="0" w:line="240" w:lineRule="auto"/>
        <w:ind w:left="567" w:hanging="567"/>
        <w:rPr>
          <w:rFonts w:ascii="Arial" w:hAnsi="Arial" w:cs="Arial"/>
          <w:color w:val="000000" w:themeColor="text1"/>
          <w:sz w:val="22"/>
          <w:szCs w:val="22"/>
        </w:rPr>
      </w:pPr>
    </w:p>
    <w:sectPr w:rsidR="002571D4" w:rsidRPr="0063079E">
      <w:footerReference w:type="default" r:id="rId77"/>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65DD39" w16cid:durableId="226E3297"/>
  <w16cid:commentId w16cid:paraId="017000C1" w16cid:durableId="226E3298"/>
  <w16cid:commentId w16cid:paraId="5F75C5A9" w16cid:durableId="226E3299"/>
  <w16cid:commentId w16cid:paraId="0217D618" w16cid:durableId="226E329A"/>
  <w16cid:commentId w16cid:paraId="677D1030" w16cid:durableId="226E329B"/>
  <w16cid:commentId w16cid:paraId="4883D964" w16cid:durableId="226E329C"/>
  <w16cid:commentId w16cid:paraId="0537A613" w16cid:durableId="226E329D"/>
  <w16cid:commentId w16cid:paraId="1AA93A2E" w16cid:durableId="226E329E"/>
  <w16cid:commentId w16cid:paraId="6929A4F1" w16cid:durableId="226E329F"/>
  <w16cid:commentId w16cid:paraId="7DA98E29" w16cid:durableId="226E32A0"/>
  <w16cid:commentId w16cid:paraId="4CD98C00" w16cid:durableId="226E32A1"/>
  <w16cid:commentId w16cid:paraId="47BF3015" w16cid:durableId="2276799A"/>
  <w16cid:commentId w16cid:paraId="4001D637" w16cid:durableId="226E32A2"/>
  <w16cid:commentId w16cid:paraId="20B94F1E" w16cid:durableId="226E32A3"/>
  <w16cid:commentId w16cid:paraId="001CF005" w16cid:durableId="226E32A4"/>
  <w16cid:commentId w16cid:paraId="7130932E" w16cid:durableId="226E32A5"/>
  <w16cid:commentId w16cid:paraId="137973DA" w16cid:durableId="226E32BE"/>
  <w16cid:commentId w16cid:paraId="773CD023" w16cid:durableId="226E32BF"/>
  <w16cid:commentId w16cid:paraId="7309C6D2" w16cid:durableId="226E32C0"/>
  <w16cid:commentId w16cid:paraId="591D6D15" w16cid:durableId="226E32C1"/>
  <w16cid:commentId w16cid:paraId="58EEB623" w16cid:durableId="226E32C2"/>
  <w16cid:commentId w16cid:paraId="58CE520D" w16cid:durableId="226E32C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0C0ADA" w14:textId="77777777" w:rsidR="000C66C8" w:rsidRDefault="000C66C8" w:rsidP="000A2383">
      <w:pPr>
        <w:spacing w:after="0" w:line="240" w:lineRule="auto"/>
      </w:pPr>
      <w:r>
        <w:separator/>
      </w:r>
    </w:p>
  </w:endnote>
  <w:endnote w:type="continuationSeparator" w:id="0">
    <w:p w14:paraId="7F7052D6" w14:textId="77777777" w:rsidR="000C66C8" w:rsidRDefault="000C66C8" w:rsidP="000A2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panose1 w:val="00000000000000000000"/>
    <w:charset w:val="00"/>
    <w:family w:val="swiss"/>
    <w:notTrueType/>
    <w:pitch w:val="default"/>
    <w:sig w:usb0="00000003" w:usb1="00000000" w:usb2="00000000" w:usb3="00000000" w:csb0="00000001" w:csb1="00000000"/>
  </w:font>
  <w:font w:name="EC Square Sans Pro">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useo Sans 900">
    <w:altName w:val="Calibri"/>
    <w:panose1 w:val="00000000000000000000"/>
    <w:charset w:val="00"/>
    <w:family w:val="swiss"/>
    <w:notTrueType/>
    <w:pitch w:val="default"/>
    <w:sig w:usb0="00000003" w:usb1="00000000" w:usb2="00000000" w:usb3="00000000" w:csb0="00000001" w:csb1="00000000"/>
  </w:font>
  <w:font w:name="MiloSerifPro">
    <w:altName w:val="Calibri"/>
    <w:charset w:val="00"/>
    <w:family w:val="auto"/>
    <w:pitch w:val="default"/>
  </w:font>
  <w:font w:name="Museo Sans 300">
    <w:altName w:val="Calibri"/>
    <w:panose1 w:val="00000000000000000000"/>
    <w:charset w:val="00"/>
    <w:family w:val="swiss"/>
    <w:notTrueType/>
    <w:pitch w:val="default"/>
    <w:sig w:usb0="00000003" w:usb1="00000000" w:usb2="00000000" w:usb3="00000000" w:csb0="00000001" w:csb1="00000000"/>
  </w:font>
  <w:font w:name="Nokia Pure Text Light">
    <w:altName w:val="Times New Roman"/>
    <w:charset w:val="00"/>
    <w:family w:val="swiss"/>
    <w:pitch w:val="variable"/>
    <w:sig w:usb0="00000001" w:usb1="700078FB" w:usb2="0001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813942757"/>
      <w:docPartObj>
        <w:docPartGallery w:val="Page Numbers (Bottom of Page)"/>
        <w:docPartUnique/>
      </w:docPartObj>
    </w:sdtPr>
    <w:sdtEndPr>
      <w:rPr>
        <w:noProof/>
      </w:rPr>
    </w:sdtEndPr>
    <w:sdtContent>
      <w:p w14:paraId="2FFBB1D9" w14:textId="0A292E2B" w:rsidR="00656164" w:rsidRPr="00C95368" w:rsidRDefault="00656164">
        <w:pPr>
          <w:pStyle w:val="Footer"/>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14051E">
          <w:rPr>
            <w:rFonts w:ascii="Arial" w:hAnsi="Arial" w:cs="Arial"/>
            <w:noProof/>
          </w:rPr>
          <w:t>233</w:t>
        </w:r>
        <w:r w:rsidRPr="00C95368">
          <w:rPr>
            <w:rFonts w:ascii="Arial" w:hAnsi="Arial" w:cs="Arial"/>
            <w:noProof/>
          </w:rPr>
          <w:fldChar w:fldCharType="end"/>
        </w:r>
      </w:p>
    </w:sdtContent>
  </w:sdt>
  <w:p w14:paraId="7198498D" w14:textId="74017816" w:rsidR="00656164" w:rsidRDefault="00656164" w:rsidP="00A06FBC">
    <w:pPr>
      <w:pStyle w:val="Footer"/>
      <w:jc w:val="right"/>
      <w:rPr>
        <w:rFonts w:ascii="Arial" w:hAnsi="Arial" w:cs="Arial"/>
      </w:rPr>
    </w:pPr>
    <w:r>
      <w:rPr>
        <w:rFonts w:ascii="Arial" w:hAnsi="Arial" w:cs="Arial"/>
      </w:rPr>
      <w:t>Draft Version for Public Consultation 1.1</w:t>
    </w:r>
  </w:p>
  <w:p w14:paraId="39203A9E" w14:textId="77777777" w:rsidR="00656164" w:rsidRPr="00C95368" w:rsidRDefault="00656164" w:rsidP="003E4A6E">
    <w:pPr>
      <w:pStyle w:val="Footer"/>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2351B" w14:textId="77777777" w:rsidR="000C66C8" w:rsidRDefault="000C66C8" w:rsidP="000A2383">
      <w:pPr>
        <w:spacing w:after="0" w:line="240" w:lineRule="auto"/>
      </w:pPr>
      <w:r>
        <w:separator/>
      </w:r>
    </w:p>
  </w:footnote>
  <w:footnote w:type="continuationSeparator" w:id="0">
    <w:p w14:paraId="2B5CECD6" w14:textId="77777777" w:rsidR="000C66C8" w:rsidRDefault="000C66C8" w:rsidP="000A2383">
      <w:pPr>
        <w:spacing w:after="0" w:line="240" w:lineRule="auto"/>
      </w:pPr>
      <w:r>
        <w:continuationSeparator/>
      </w:r>
    </w:p>
  </w:footnote>
  <w:footnote w:id="1">
    <w:p w14:paraId="221C98C8" w14:textId="77777777" w:rsidR="00656164" w:rsidRPr="00BC1642" w:rsidRDefault="00656164" w:rsidP="00AD3A42">
      <w:pPr>
        <w:pStyle w:val="FootnoteText"/>
        <w:ind w:left="284" w:hanging="284"/>
        <w:rPr>
          <w:rFonts w:ascii="Arial" w:hAnsi="Arial" w:cs="Arial"/>
          <w:color w:val="000000" w:themeColor="text1"/>
          <w:sz w:val="16"/>
          <w:szCs w:val="16"/>
        </w:rPr>
      </w:pPr>
      <w:r w:rsidRPr="00784706">
        <w:rPr>
          <w:rStyle w:val="FootnoteReferenc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2">
    <w:p w14:paraId="777C1102" w14:textId="77777777" w:rsidR="00656164" w:rsidRPr="00726918" w:rsidRDefault="00656164" w:rsidP="00E00CB0">
      <w:pPr>
        <w:pStyle w:val="FootnoteText"/>
      </w:pPr>
      <w:r w:rsidRPr="2C2793A2">
        <w:rPr>
          <w:rStyle w:val="FootnoteReference"/>
        </w:rPr>
        <w:footnoteRef/>
      </w:r>
      <w:r w:rsidRPr="00726918">
        <w:t xml:space="preserve"> https://www.statista.com/statistics/471264/iot-number-of-connected-devices-worldwide/</w:t>
      </w:r>
    </w:p>
  </w:footnote>
  <w:footnote w:id="3">
    <w:p w14:paraId="6DA57BCD" w14:textId="77777777" w:rsidR="00656164" w:rsidRDefault="00656164" w:rsidP="00E00CB0">
      <w:pPr>
        <w:pStyle w:val="FootnoteText"/>
        <w:rPr>
          <w:rFonts w:ascii="Times New Roman" w:eastAsia="Times New Roman" w:hAnsi="Times New Roman" w:cs="Times New Roman"/>
          <w:color w:val="000000" w:themeColor="text1"/>
          <w:sz w:val="16"/>
          <w:szCs w:val="16"/>
        </w:rPr>
      </w:pPr>
      <w:r w:rsidRPr="1FA8816C">
        <w:rPr>
          <w:rStyle w:val="FootnoteReference"/>
        </w:rPr>
        <w:footnoteRef/>
      </w:r>
      <w:r w:rsidDel="78A60A0B">
        <w:t xml:space="preserve"> </w:t>
      </w:r>
      <w:r w:rsidRPr="78A60A0B">
        <w:rPr>
          <w:rFonts w:ascii="Times New Roman" w:eastAsia="Times New Roman" w:hAnsi="Times New Roman" w:cs="Times New Roman"/>
          <w:color w:val="000000" w:themeColor="text1"/>
          <w:sz w:val="16"/>
          <w:szCs w:val="16"/>
        </w:rPr>
        <w:t>https://www.gartner.com/en/newsroom/press-releases/2018-12-03-gartner-says-the-future-of-it-infrastructure-is-always-on-always- available-everywher</w:t>
      </w:r>
    </w:p>
  </w:footnote>
  <w:footnote w:id="4">
    <w:p w14:paraId="008B4DE7" w14:textId="77777777" w:rsidR="00656164" w:rsidRDefault="00656164" w:rsidP="00E00CB0">
      <w:pPr>
        <w:pStyle w:val="FootnoteText"/>
      </w:pPr>
      <w:r>
        <w:rPr>
          <w:rStyle w:val="FootnoteReference"/>
        </w:rPr>
        <w:footnoteRef/>
      </w:r>
      <w:r>
        <w:t xml:space="preserve"> </w:t>
      </w:r>
      <w:r w:rsidRPr="00074637">
        <w:t>https://www.docker.com/resources/what-container</w:t>
      </w:r>
      <w:r>
        <w:t>.</w:t>
      </w:r>
    </w:p>
  </w:footnote>
  <w:footnote w:id="5">
    <w:p w14:paraId="7B385614" w14:textId="77777777" w:rsidR="00656164" w:rsidRDefault="00656164" w:rsidP="00E00CB0">
      <w:pPr>
        <w:pStyle w:val="FootnoteText"/>
      </w:pPr>
      <w:r>
        <w:rPr>
          <w:rStyle w:val="FootnoteReference"/>
        </w:rPr>
        <w:footnoteRef/>
      </w:r>
      <w:r>
        <w:t xml:space="preserve"> </w:t>
      </w:r>
      <w:r w:rsidRPr="00B6483E">
        <w:t>https://kubernetes.io/</w:t>
      </w:r>
    </w:p>
  </w:footnote>
  <w:footnote w:id="6">
    <w:p w14:paraId="3B4B4231" w14:textId="77777777" w:rsidR="00656164" w:rsidRPr="00726918" w:rsidRDefault="00656164" w:rsidP="00E00CB0">
      <w:pPr>
        <w:pStyle w:val="FootnoteText"/>
      </w:pPr>
      <w:r>
        <w:rPr>
          <w:rStyle w:val="FootnoteReference"/>
        </w:rPr>
        <w:footnoteRef/>
      </w:r>
      <w:r>
        <w:t xml:space="preserve"> </w:t>
      </w:r>
      <w:r w:rsidRPr="00B14E49">
        <w:t>https://github.com/cncf/cnf-testbed</w:t>
      </w:r>
    </w:p>
  </w:footnote>
  <w:footnote w:id="7">
    <w:p w14:paraId="513719A8" w14:textId="77777777" w:rsidR="00656164" w:rsidRPr="00726918" w:rsidRDefault="00656164" w:rsidP="00E00CB0">
      <w:pPr>
        <w:pStyle w:val="FootnoteText"/>
      </w:pPr>
      <w:r w:rsidRPr="7507C17E">
        <w:rPr>
          <w:rStyle w:val="FootnoteReference"/>
        </w:rPr>
        <w:footnoteRef/>
      </w:r>
      <w:r w:rsidRPr="00726918">
        <w:t xml:space="preserve"> https://github.com/cncf/telecom-user-group/blob/master/whitepaper/cloud_native_thinking_for_telecommunications.md#1.5.4</w:t>
      </w:r>
    </w:p>
  </w:footnote>
  <w:footnote w:id="8">
    <w:p w14:paraId="3F1ADF2A" w14:textId="77777777" w:rsidR="00656164" w:rsidRPr="00726918" w:rsidRDefault="00656164" w:rsidP="0035517D">
      <w:pPr>
        <w:pStyle w:val="FootnoteText"/>
      </w:pPr>
      <w:r>
        <w:rPr>
          <w:rStyle w:val="FootnoteReference"/>
        </w:rPr>
        <w:footnoteRef/>
      </w:r>
      <w:r w:rsidRPr="00726918">
        <w:t xml:space="preserve"> https://aws.amazon.com/ground-station/?nc1=h_ls</w:t>
      </w:r>
    </w:p>
  </w:footnote>
  <w:footnote w:id="9">
    <w:p w14:paraId="7E2EA7CB" w14:textId="77777777" w:rsidR="00656164" w:rsidRPr="00893F62" w:rsidRDefault="00656164" w:rsidP="000E7551">
      <w:pPr>
        <w:pStyle w:val="FootnoteText"/>
        <w:ind w:left="284" w:hanging="284"/>
        <w:jc w:val="both"/>
        <w:rPr>
          <w:rFonts w:ascii="Arial" w:hAnsi="Arial" w:cs="Arial"/>
          <w:lang w:val="en-US"/>
        </w:rPr>
      </w:pPr>
      <w:r w:rsidRPr="00893F62">
        <w:rPr>
          <w:rStyle w:val="FootnoteReferenc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10">
    <w:p w14:paraId="5EE8063D" w14:textId="77777777" w:rsidR="00656164" w:rsidRPr="00BC1642" w:rsidRDefault="00656164" w:rsidP="000E7551">
      <w:pPr>
        <w:pStyle w:val="FootnoteText"/>
        <w:spacing w:after="80"/>
        <w:ind w:left="284" w:hanging="284"/>
        <w:rPr>
          <w:rFonts w:ascii="Arial" w:hAnsi="Arial" w:cs="Arial"/>
          <w:color w:val="000000" w:themeColor="text1"/>
          <w:lang w:val="en-US"/>
        </w:rPr>
      </w:pPr>
      <w:r w:rsidRPr="00B71785">
        <w:rPr>
          <w:rStyle w:val="FootnoteReferenc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C7CFD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C403D9"/>
    <w:multiLevelType w:val="hybridMultilevel"/>
    <w:tmpl w:val="780CED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0DA6003"/>
    <w:multiLevelType w:val="hybridMultilevel"/>
    <w:tmpl w:val="54C0CB9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01EF5F33"/>
    <w:multiLevelType w:val="hybridMultilevel"/>
    <w:tmpl w:val="1A62A6DC"/>
    <w:lvl w:ilvl="0" w:tplc="C174F008">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050965A0"/>
    <w:multiLevelType w:val="hybridMultilevel"/>
    <w:tmpl w:val="FDCAC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4D0970"/>
    <w:multiLevelType w:val="hybridMultilevel"/>
    <w:tmpl w:val="065693B6"/>
    <w:lvl w:ilvl="0" w:tplc="040A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9070700"/>
    <w:multiLevelType w:val="hybridMultilevel"/>
    <w:tmpl w:val="8006D3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231A72"/>
    <w:multiLevelType w:val="hybridMultilevel"/>
    <w:tmpl w:val="815E658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0A8C3E19"/>
    <w:multiLevelType w:val="hybridMultilevel"/>
    <w:tmpl w:val="FAB47078"/>
    <w:lvl w:ilvl="0" w:tplc="E1D8C91E">
      <w:start w:val="1"/>
      <w:numFmt w:val="bullet"/>
      <w:lvlText w:val=""/>
      <w:lvlJc w:val="left"/>
      <w:pPr>
        <w:ind w:left="420" w:hanging="420"/>
      </w:pPr>
      <w:rPr>
        <w:rFonts w:ascii="Symbol" w:hAnsi="Symbol" w:hint="default"/>
        <w:lang w:val="en-GB"/>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AB27D2"/>
    <w:multiLevelType w:val="multilevel"/>
    <w:tmpl w:val="D1AA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C6327B"/>
    <w:multiLevelType w:val="multilevel"/>
    <w:tmpl w:val="D25CA5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1714AD9"/>
    <w:multiLevelType w:val="hybridMultilevel"/>
    <w:tmpl w:val="5DC4929E"/>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1CF5E85"/>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1362527D"/>
    <w:multiLevelType w:val="hybridMultilevel"/>
    <w:tmpl w:val="8FE6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90D4D"/>
    <w:multiLevelType w:val="hybridMultilevel"/>
    <w:tmpl w:val="CA42F5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4D90267"/>
    <w:multiLevelType w:val="hybridMultilevel"/>
    <w:tmpl w:val="9BD81F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72062FD"/>
    <w:multiLevelType w:val="hybridMultilevel"/>
    <w:tmpl w:val="87B49D7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1A1661B"/>
    <w:multiLevelType w:val="hybridMultilevel"/>
    <w:tmpl w:val="CD68C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24909FC"/>
    <w:multiLevelType w:val="hybridMultilevel"/>
    <w:tmpl w:val="4E6C19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22D32675"/>
    <w:multiLevelType w:val="multilevel"/>
    <w:tmpl w:val="0D945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053F0B"/>
    <w:multiLevelType w:val="hybridMultilevel"/>
    <w:tmpl w:val="938E3D40"/>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6105EAD"/>
    <w:multiLevelType w:val="hybridMultilevel"/>
    <w:tmpl w:val="9856B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271D491B"/>
    <w:multiLevelType w:val="multilevel"/>
    <w:tmpl w:val="934A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BF3A6E"/>
    <w:multiLevelType w:val="multilevel"/>
    <w:tmpl w:val="940046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9CF1271"/>
    <w:multiLevelType w:val="multilevel"/>
    <w:tmpl w:val="61EAE4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9FC65AE"/>
    <w:multiLevelType w:val="hybridMultilevel"/>
    <w:tmpl w:val="41F47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2A9D7BAD"/>
    <w:multiLevelType w:val="hybridMultilevel"/>
    <w:tmpl w:val="FFF0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A37341"/>
    <w:multiLevelType w:val="multilevel"/>
    <w:tmpl w:val="CA3C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F55514"/>
    <w:multiLevelType w:val="hybridMultilevel"/>
    <w:tmpl w:val="60BCA974"/>
    <w:lvl w:ilvl="0" w:tplc="04090011">
      <w:start w:val="1"/>
      <w:numFmt w:val="decimal"/>
      <w:lvlText w:val="%1)"/>
      <w:lvlJc w:val="left"/>
      <w:pPr>
        <w:ind w:left="720" w:hanging="360"/>
      </w:pPr>
    </w:lvl>
    <w:lvl w:ilvl="1" w:tplc="CFFA55BE">
      <w:start w:val="1"/>
      <w:numFmt w:val="lowerRoman"/>
      <w:lvlText w:val="%2)"/>
      <w:lvlJc w:val="left"/>
      <w:pPr>
        <w:ind w:left="1800" w:hanging="72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5" w15:restartNumberingAfterBreak="0">
    <w:nsid w:val="2E227B2C"/>
    <w:multiLevelType w:val="hybridMultilevel"/>
    <w:tmpl w:val="23D63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30387F3E"/>
    <w:multiLevelType w:val="hybridMultilevel"/>
    <w:tmpl w:val="8E1E7F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0BA04E3"/>
    <w:multiLevelType w:val="hybridMultilevel"/>
    <w:tmpl w:val="5F6ACB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32E114CD"/>
    <w:multiLevelType w:val="hybridMultilevel"/>
    <w:tmpl w:val="328C8E5A"/>
    <w:lvl w:ilvl="0" w:tplc="E0C20884">
      <w:start w:val="9"/>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37B4568"/>
    <w:multiLevelType w:val="multilevel"/>
    <w:tmpl w:val="F0BE32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3F9161A"/>
    <w:multiLevelType w:val="hybridMultilevel"/>
    <w:tmpl w:val="3DE00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4DE752E"/>
    <w:multiLevelType w:val="hybridMultilevel"/>
    <w:tmpl w:val="65A261FA"/>
    <w:lvl w:ilvl="0" w:tplc="1CDEF85E">
      <w:start w:val="1"/>
      <w:numFmt w:val="bullet"/>
      <w:lvlText w:val=""/>
      <w:lvlJc w:val="left"/>
      <w:pPr>
        <w:ind w:left="720" w:hanging="360"/>
      </w:pPr>
      <w:rPr>
        <w:rFonts w:ascii="Symbol" w:hAnsi="Symbol" w:hint="default"/>
      </w:rPr>
    </w:lvl>
    <w:lvl w:ilvl="1" w:tplc="BF42BDB4">
      <w:start w:val="1"/>
      <w:numFmt w:val="bullet"/>
      <w:lvlText w:val="o"/>
      <w:lvlJc w:val="left"/>
      <w:pPr>
        <w:ind w:left="1440" w:hanging="360"/>
      </w:pPr>
      <w:rPr>
        <w:rFonts w:ascii="Courier New" w:hAnsi="Courier New" w:hint="default"/>
      </w:rPr>
    </w:lvl>
    <w:lvl w:ilvl="2" w:tplc="4502F2D4">
      <w:start w:val="1"/>
      <w:numFmt w:val="bullet"/>
      <w:lvlText w:val=""/>
      <w:lvlJc w:val="left"/>
      <w:pPr>
        <w:ind w:left="2160" w:hanging="360"/>
      </w:pPr>
      <w:rPr>
        <w:rFonts w:ascii="Wingdings" w:hAnsi="Wingdings" w:hint="default"/>
      </w:rPr>
    </w:lvl>
    <w:lvl w:ilvl="3" w:tplc="5A2A89CC">
      <w:start w:val="1"/>
      <w:numFmt w:val="bullet"/>
      <w:lvlText w:val=""/>
      <w:lvlJc w:val="left"/>
      <w:pPr>
        <w:ind w:left="2880" w:hanging="360"/>
      </w:pPr>
      <w:rPr>
        <w:rFonts w:ascii="Symbol" w:hAnsi="Symbol" w:hint="default"/>
      </w:rPr>
    </w:lvl>
    <w:lvl w:ilvl="4" w:tplc="C17E8378">
      <w:start w:val="1"/>
      <w:numFmt w:val="bullet"/>
      <w:lvlText w:val="o"/>
      <w:lvlJc w:val="left"/>
      <w:pPr>
        <w:ind w:left="3600" w:hanging="360"/>
      </w:pPr>
      <w:rPr>
        <w:rFonts w:ascii="Courier New" w:hAnsi="Courier New" w:hint="default"/>
      </w:rPr>
    </w:lvl>
    <w:lvl w:ilvl="5" w:tplc="1DC8FF8C">
      <w:start w:val="1"/>
      <w:numFmt w:val="bullet"/>
      <w:lvlText w:val=""/>
      <w:lvlJc w:val="left"/>
      <w:pPr>
        <w:ind w:left="4320" w:hanging="360"/>
      </w:pPr>
      <w:rPr>
        <w:rFonts w:ascii="Wingdings" w:hAnsi="Wingdings" w:hint="default"/>
      </w:rPr>
    </w:lvl>
    <w:lvl w:ilvl="6" w:tplc="4B78D0DA">
      <w:start w:val="1"/>
      <w:numFmt w:val="bullet"/>
      <w:lvlText w:val=""/>
      <w:lvlJc w:val="left"/>
      <w:pPr>
        <w:ind w:left="5040" w:hanging="360"/>
      </w:pPr>
      <w:rPr>
        <w:rFonts w:ascii="Symbol" w:hAnsi="Symbol" w:hint="default"/>
      </w:rPr>
    </w:lvl>
    <w:lvl w:ilvl="7" w:tplc="BFEC5A16">
      <w:start w:val="1"/>
      <w:numFmt w:val="bullet"/>
      <w:lvlText w:val="o"/>
      <w:lvlJc w:val="left"/>
      <w:pPr>
        <w:ind w:left="5760" w:hanging="360"/>
      </w:pPr>
      <w:rPr>
        <w:rFonts w:ascii="Courier New" w:hAnsi="Courier New" w:hint="default"/>
      </w:rPr>
    </w:lvl>
    <w:lvl w:ilvl="8" w:tplc="61383B6C">
      <w:start w:val="1"/>
      <w:numFmt w:val="bullet"/>
      <w:lvlText w:val=""/>
      <w:lvlJc w:val="left"/>
      <w:pPr>
        <w:ind w:left="6480" w:hanging="360"/>
      </w:pPr>
      <w:rPr>
        <w:rFonts w:ascii="Wingdings" w:hAnsi="Wingdings" w:hint="default"/>
      </w:rPr>
    </w:lvl>
  </w:abstractNum>
  <w:abstractNum w:abstractNumId="43" w15:restartNumberingAfterBreak="0">
    <w:nsid w:val="35264347"/>
    <w:multiLevelType w:val="hybridMultilevel"/>
    <w:tmpl w:val="8408C146"/>
    <w:lvl w:ilvl="0" w:tplc="0809000F">
      <w:start w:val="1"/>
      <w:numFmt w:val="decimal"/>
      <w:lvlText w:val="%1."/>
      <w:lvlJc w:val="left"/>
      <w:pPr>
        <w:ind w:left="720" w:hanging="360"/>
      </w:pPr>
    </w:lvl>
    <w:lvl w:ilvl="1" w:tplc="3132D8AC">
      <w:numFmt w:val="bullet"/>
      <w:lvlText w:val="•"/>
      <w:lvlJc w:val="left"/>
      <w:pPr>
        <w:ind w:left="2388" w:hanging="1308"/>
      </w:pPr>
      <w:rPr>
        <w:rFonts w:ascii="Times New Roman" w:eastAsiaTheme="minorHAnsi" w:hAnsi="Times New Roman" w:cs="Times New Roman"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710239A"/>
    <w:multiLevelType w:val="multilevel"/>
    <w:tmpl w:val="0DBAF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2F50CD"/>
    <w:multiLevelType w:val="hybridMultilevel"/>
    <w:tmpl w:val="DD8E42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AD83B37"/>
    <w:multiLevelType w:val="hybridMultilevel"/>
    <w:tmpl w:val="00BA38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FA84A42"/>
    <w:multiLevelType w:val="hybridMultilevel"/>
    <w:tmpl w:val="257A0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B2224F"/>
    <w:multiLevelType w:val="hybridMultilevel"/>
    <w:tmpl w:val="BA2800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9"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28707D5"/>
    <w:multiLevelType w:val="hybridMultilevel"/>
    <w:tmpl w:val="6C4CFACE"/>
    <w:lvl w:ilvl="0" w:tplc="040B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E3410F"/>
    <w:multiLevelType w:val="hybridMultilevel"/>
    <w:tmpl w:val="53402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966E01"/>
    <w:multiLevelType w:val="hybridMultilevel"/>
    <w:tmpl w:val="E71A5910"/>
    <w:lvl w:ilvl="0" w:tplc="82FEB428">
      <w:numFmt w:val="bullet"/>
      <w:lvlText w:val="•"/>
      <w:lvlJc w:val="left"/>
      <w:pPr>
        <w:ind w:left="1080" w:hanging="72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CAB7743"/>
    <w:multiLevelType w:val="hybridMultilevel"/>
    <w:tmpl w:val="4CB8C7C6"/>
    <w:lvl w:ilvl="0" w:tplc="0ADAC7FC">
      <w:start w:val="6"/>
      <w:numFmt w:val="bullet"/>
      <w:lvlText w:val="-"/>
      <w:lvlJc w:val="left"/>
      <w:pPr>
        <w:ind w:left="360" w:hanging="360"/>
      </w:pPr>
      <w:rPr>
        <w:rFonts w:ascii="Segoe UI" w:eastAsiaTheme="minorEastAsia" w:hAnsi="Segoe UI" w:cs="Segoe UI" w:hint="default"/>
      </w:rPr>
    </w:lvl>
    <w:lvl w:ilvl="1" w:tplc="CFFA55BE">
      <w:start w:val="1"/>
      <w:numFmt w:val="lowerRoman"/>
      <w:lvlText w:val="%2)"/>
      <w:lvlJc w:val="left"/>
      <w:pPr>
        <w:ind w:left="1440" w:hanging="72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15:restartNumberingAfterBreak="0">
    <w:nsid w:val="4D52199C"/>
    <w:multiLevelType w:val="hybridMultilevel"/>
    <w:tmpl w:val="47305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D6323FB"/>
    <w:multiLevelType w:val="multilevel"/>
    <w:tmpl w:val="14BE3D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E6A6E74"/>
    <w:multiLevelType w:val="hybridMultilevel"/>
    <w:tmpl w:val="32068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50161A93"/>
    <w:multiLevelType w:val="hybridMultilevel"/>
    <w:tmpl w:val="5B2883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50884856"/>
    <w:multiLevelType w:val="multilevel"/>
    <w:tmpl w:val="BD3E83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28324B1"/>
    <w:multiLevelType w:val="hybridMultilevel"/>
    <w:tmpl w:val="A18AB192"/>
    <w:lvl w:ilvl="0" w:tplc="040A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2" w15:restartNumberingAfterBreak="0">
    <w:nsid w:val="56303077"/>
    <w:multiLevelType w:val="hybridMultilevel"/>
    <w:tmpl w:val="026E7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95D01BD"/>
    <w:multiLevelType w:val="hybridMultilevel"/>
    <w:tmpl w:val="A3B4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5" w15:restartNumberingAfterBreak="0">
    <w:nsid w:val="5DEF6D69"/>
    <w:multiLevelType w:val="hybridMultilevel"/>
    <w:tmpl w:val="43544E58"/>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5E1B0A22"/>
    <w:multiLevelType w:val="hybridMultilevel"/>
    <w:tmpl w:val="CB82C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5ED842D6"/>
    <w:multiLevelType w:val="hybridMultilevel"/>
    <w:tmpl w:val="28E40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69" w15:restartNumberingAfterBreak="0">
    <w:nsid w:val="618B66BD"/>
    <w:multiLevelType w:val="hybridMultilevel"/>
    <w:tmpl w:val="57109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6994C23"/>
    <w:multiLevelType w:val="hybridMultilevel"/>
    <w:tmpl w:val="9D488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68247347"/>
    <w:multiLevelType w:val="hybridMultilevel"/>
    <w:tmpl w:val="63228C86"/>
    <w:lvl w:ilvl="0" w:tplc="F5B23F96">
      <w:start w:val="1"/>
      <w:numFmt w:val="decimal"/>
      <w:lvlText w:val="[C6-%1]"/>
      <w:lvlJc w:val="left"/>
      <w:pPr>
        <w:ind w:left="1070" w:hanging="360"/>
      </w:pPr>
      <w:rPr>
        <w:rFonts w:ascii="Arial" w:hAnsi="Arial" w:cstheme="minorHAnsi" w:hint="default"/>
        <w:sz w:val="22"/>
      </w:rPr>
    </w:lvl>
    <w:lvl w:ilvl="1" w:tplc="04090019" w:tentative="1">
      <w:start w:val="1"/>
      <w:numFmt w:val="lowerLetter"/>
      <w:lvlText w:val="%2."/>
      <w:lvlJc w:val="left"/>
      <w:pPr>
        <w:ind w:left="-687" w:hanging="360"/>
      </w:pPr>
    </w:lvl>
    <w:lvl w:ilvl="2" w:tplc="0409001B" w:tentative="1">
      <w:start w:val="1"/>
      <w:numFmt w:val="lowerRoman"/>
      <w:lvlText w:val="%3."/>
      <w:lvlJc w:val="right"/>
      <w:pPr>
        <w:ind w:left="33" w:hanging="180"/>
      </w:pPr>
    </w:lvl>
    <w:lvl w:ilvl="3" w:tplc="0409000F" w:tentative="1">
      <w:start w:val="1"/>
      <w:numFmt w:val="decimal"/>
      <w:lvlText w:val="%4."/>
      <w:lvlJc w:val="left"/>
      <w:pPr>
        <w:ind w:left="753" w:hanging="360"/>
      </w:pPr>
    </w:lvl>
    <w:lvl w:ilvl="4" w:tplc="04090019" w:tentative="1">
      <w:start w:val="1"/>
      <w:numFmt w:val="lowerLetter"/>
      <w:lvlText w:val="%5."/>
      <w:lvlJc w:val="left"/>
      <w:pPr>
        <w:ind w:left="1473" w:hanging="360"/>
      </w:pPr>
    </w:lvl>
    <w:lvl w:ilvl="5" w:tplc="0409001B" w:tentative="1">
      <w:start w:val="1"/>
      <w:numFmt w:val="lowerRoman"/>
      <w:lvlText w:val="%6."/>
      <w:lvlJc w:val="right"/>
      <w:pPr>
        <w:ind w:left="2193" w:hanging="180"/>
      </w:pPr>
    </w:lvl>
    <w:lvl w:ilvl="6" w:tplc="0409000F" w:tentative="1">
      <w:start w:val="1"/>
      <w:numFmt w:val="decimal"/>
      <w:lvlText w:val="%7."/>
      <w:lvlJc w:val="left"/>
      <w:pPr>
        <w:ind w:left="2913" w:hanging="360"/>
      </w:pPr>
    </w:lvl>
    <w:lvl w:ilvl="7" w:tplc="04090019" w:tentative="1">
      <w:start w:val="1"/>
      <w:numFmt w:val="lowerLetter"/>
      <w:lvlText w:val="%8."/>
      <w:lvlJc w:val="left"/>
      <w:pPr>
        <w:ind w:left="3633" w:hanging="360"/>
      </w:pPr>
    </w:lvl>
    <w:lvl w:ilvl="8" w:tplc="0409001B" w:tentative="1">
      <w:start w:val="1"/>
      <w:numFmt w:val="lowerRoman"/>
      <w:lvlText w:val="%9."/>
      <w:lvlJc w:val="right"/>
      <w:pPr>
        <w:ind w:left="4353" w:hanging="180"/>
      </w:pPr>
    </w:lvl>
  </w:abstractNum>
  <w:abstractNum w:abstractNumId="73" w15:restartNumberingAfterBreak="0">
    <w:nsid w:val="6899145F"/>
    <w:multiLevelType w:val="hybridMultilevel"/>
    <w:tmpl w:val="5F244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A9936B2"/>
    <w:multiLevelType w:val="hybridMultilevel"/>
    <w:tmpl w:val="5584347E"/>
    <w:lvl w:ilvl="0" w:tplc="4AE45B4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BB340D"/>
    <w:multiLevelType w:val="hybridMultilevel"/>
    <w:tmpl w:val="1AE4F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C73464C"/>
    <w:multiLevelType w:val="hybridMultilevel"/>
    <w:tmpl w:val="3E5C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E76629B"/>
    <w:multiLevelType w:val="multilevel"/>
    <w:tmpl w:val="08B0AE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8" w15:restartNumberingAfterBreak="0">
    <w:nsid w:val="72AF0188"/>
    <w:multiLevelType w:val="hybridMultilevel"/>
    <w:tmpl w:val="E5742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4995DAE"/>
    <w:multiLevelType w:val="multilevel"/>
    <w:tmpl w:val="B5785126"/>
    <w:lvl w:ilvl="0">
      <w:start w:val="2"/>
      <w:numFmt w:val="decimal"/>
      <w:lvlText w:val="%1."/>
      <w:lvlJc w:val="left"/>
      <w:pPr>
        <w:ind w:left="360" w:hanging="360"/>
      </w:pPr>
      <w:rPr>
        <w:rFonts w:ascii="Arial" w:hAnsi="Arial" w:cstheme="minorHAnsi" w:hint="default"/>
        <w:b/>
        <w:i w:val="0"/>
        <w:sz w:val="3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1" w15:restartNumberingAfterBreak="0">
    <w:nsid w:val="779444BD"/>
    <w:multiLevelType w:val="hybridMultilevel"/>
    <w:tmpl w:val="6F06B94A"/>
    <w:lvl w:ilvl="0" w:tplc="20B4EB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2" w15:restartNumberingAfterBreak="0">
    <w:nsid w:val="787A29CE"/>
    <w:multiLevelType w:val="hybridMultilevel"/>
    <w:tmpl w:val="AF8AE3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791866D0"/>
    <w:multiLevelType w:val="multilevel"/>
    <w:tmpl w:val="42F40548"/>
    <w:lvl w:ilvl="0">
      <w:start w:val="1"/>
      <w:numFmt w:val="decimal"/>
      <w:lvlText w:val="%1"/>
      <w:lvlJc w:val="left"/>
      <w:pPr>
        <w:ind w:left="360" w:hanging="360"/>
      </w:pPr>
      <w:rPr>
        <w:rFonts w:hint="default"/>
      </w:rPr>
    </w:lvl>
    <w:lvl w:ilvl="1">
      <w:start w:val="2"/>
      <w:numFmt w:val="decimal"/>
      <w:lvlText w:val="%1.%2"/>
      <w:lvlJc w:val="left"/>
      <w:pPr>
        <w:ind w:left="2016" w:hanging="72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968" w:hanging="108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920" w:hanging="1440"/>
      </w:pPr>
      <w:rPr>
        <w:rFonts w:hint="default"/>
      </w:rPr>
    </w:lvl>
    <w:lvl w:ilvl="6">
      <w:start w:val="1"/>
      <w:numFmt w:val="decimal"/>
      <w:lvlText w:val="%1.%2.%3.%4.%5.%6.%7"/>
      <w:lvlJc w:val="left"/>
      <w:pPr>
        <w:ind w:left="9576" w:hanging="1800"/>
      </w:pPr>
      <w:rPr>
        <w:rFonts w:hint="default"/>
      </w:rPr>
    </w:lvl>
    <w:lvl w:ilvl="7">
      <w:start w:val="1"/>
      <w:numFmt w:val="decimal"/>
      <w:lvlText w:val="%1.%2.%3.%4.%5.%6.%7.%8"/>
      <w:lvlJc w:val="left"/>
      <w:pPr>
        <w:ind w:left="10872" w:hanging="1800"/>
      </w:pPr>
      <w:rPr>
        <w:rFonts w:hint="default"/>
      </w:rPr>
    </w:lvl>
    <w:lvl w:ilvl="8">
      <w:start w:val="1"/>
      <w:numFmt w:val="decimal"/>
      <w:lvlText w:val="%1.%2.%3.%4.%5.%6.%7.%8.%9"/>
      <w:lvlJc w:val="left"/>
      <w:pPr>
        <w:ind w:left="12528" w:hanging="2160"/>
      </w:pPr>
      <w:rPr>
        <w:rFonts w:hint="default"/>
      </w:rPr>
    </w:lvl>
  </w:abstractNum>
  <w:abstractNum w:abstractNumId="84" w15:restartNumberingAfterBreak="0">
    <w:nsid w:val="79EB75F9"/>
    <w:multiLevelType w:val="hybridMultilevel"/>
    <w:tmpl w:val="41FCA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BA54C07"/>
    <w:multiLevelType w:val="hybridMultilevel"/>
    <w:tmpl w:val="B7CC7C4C"/>
    <w:lvl w:ilvl="0" w:tplc="4E0A63C4">
      <w:start w:val="1"/>
      <w:numFmt w:val="decimal"/>
      <w:lvlText w:val="Figure 6-%1"/>
      <w:lvlJc w:val="left"/>
      <w:pPr>
        <w:ind w:left="2487" w:hanging="360"/>
      </w:pPr>
      <w:rPr>
        <w:rFonts w:ascii="Arial" w:hAnsi="Arial" w:cstheme="minorHAnsi"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BB225D9"/>
    <w:multiLevelType w:val="hybridMultilevel"/>
    <w:tmpl w:val="53869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7D7304C0"/>
    <w:multiLevelType w:val="multilevel"/>
    <w:tmpl w:val="F26CB9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F2D3ADF"/>
    <w:multiLevelType w:val="hybridMultilevel"/>
    <w:tmpl w:val="6FA21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7FEC4BC7"/>
    <w:multiLevelType w:val="hybridMultilevel"/>
    <w:tmpl w:val="65C82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1"/>
  </w:num>
  <w:num w:numId="2">
    <w:abstractNumId w:val="68"/>
  </w:num>
  <w:num w:numId="3">
    <w:abstractNumId w:val="21"/>
  </w:num>
  <w:num w:numId="4">
    <w:abstractNumId w:val="64"/>
  </w:num>
  <w:num w:numId="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1"/>
  </w:num>
  <w:num w:numId="8">
    <w:abstractNumId w:val="60"/>
  </w:num>
  <w:num w:numId="9">
    <w:abstractNumId w:val="80"/>
  </w:num>
  <w:num w:numId="10">
    <w:abstractNumId w:val="43"/>
  </w:num>
  <w:num w:numId="11">
    <w:abstractNumId w:val="56"/>
  </w:num>
  <w:num w:numId="12">
    <w:abstractNumId w:val="67"/>
  </w:num>
  <w:num w:numId="13">
    <w:abstractNumId w:val="15"/>
  </w:num>
  <w:num w:numId="14">
    <w:abstractNumId w:val="53"/>
  </w:num>
  <w:num w:numId="15">
    <w:abstractNumId w:val="0"/>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70"/>
  </w:num>
  <w:num w:numId="19">
    <w:abstractNumId w:val="77"/>
  </w:num>
  <w:num w:numId="20">
    <w:abstractNumId w:val="4"/>
  </w:num>
  <w:num w:numId="21">
    <w:abstractNumId w:val="49"/>
  </w:num>
  <w:num w:numId="22">
    <w:abstractNumId w:val="36"/>
  </w:num>
  <w:num w:numId="23">
    <w:abstractNumId w:val="71"/>
  </w:num>
  <w:num w:numId="24">
    <w:abstractNumId w:val="7"/>
  </w:num>
  <w:num w:numId="25">
    <w:abstractNumId w:val="22"/>
  </w:num>
  <w:num w:numId="26">
    <w:abstractNumId w:val="16"/>
  </w:num>
  <w:num w:numId="27">
    <w:abstractNumId w:val="39"/>
  </w:num>
  <w:num w:numId="28">
    <w:abstractNumId w:val="10"/>
  </w:num>
  <w:num w:numId="29">
    <w:abstractNumId w:val="8"/>
  </w:num>
  <w:num w:numId="30">
    <w:abstractNumId w:val="74"/>
  </w:num>
  <w:num w:numId="31">
    <w:abstractNumId w:val="42"/>
  </w:num>
  <w:num w:numId="32">
    <w:abstractNumId w:val="89"/>
  </w:num>
  <w:num w:numId="33">
    <w:abstractNumId w:val="84"/>
  </w:num>
  <w:num w:numId="34">
    <w:abstractNumId w:val="38"/>
  </w:num>
  <w:num w:numId="35">
    <w:abstractNumId w:val="45"/>
  </w:num>
  <w:num w:numId="36">
    <w:abstractNumId w:val="82"/>
  </w:num>
  <w:num w:numId="37">
    <w:abstractNumId w:val="54"/>
  </w:num>
  <w:num w:numId="38">
    <w:abstractNumId w:val="31"/>
  </w:num>
  <w:num w:numId="39">
    <w:abstractNumId w:val="27"/>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3"/>
  </w:num>
  <w:num w:numId="42">
    <w:abstractNumId w:val="28"/>
  </w:num>
  <w:num w:numId="43">
    <w:abstractNumId w:val="13"/>
  </w:num>
  <w:num w:numId="44">
    <w:abstractNumId w:val="40"/>
  </w:num>
  <w:num w:numId="45">
    <w:abstractNumId w:val="87"/>
  </w:num>
  <w:num w:numId="46">
    <w:abstractNumId w:val="55"/>
  </w:num>
  <w:num w:numId="47">
    <w:abstractNumId w:val="30"/>
  </w:num>
  <w:num w:numId="48">
    <w:abstractNumId w:val="29"/>
  </w:num>
  <w:num w:numId="49">
    <w:abstractNumId w:val="1"/>
  </w:num>
  <w:num w:numId="50">
    <w:abstractNumId w:val="12"/>
  </w:num>
  <w:num w:numId="51">
    <w:abstractNumId w:val="33"/>
  </w:num>
  <w:num w:numId="52">
    <w:abstractNumId w:val="44"/>
  </w:num>
  <w:num w:numId="53">
    <w:abstractNumId w:val="25"/>
  </w:num>
  <w:num w:numId="54">
    <w:abstractNumId w:val="58"/>
  </w:num>
  <w:num w:numId="55">
    <w:abstractNumId w:val="65"/>
  </w:num>
  <w:num w:numId="56">
    <w:abstractNumId w:val="81"/>
  </w:num>
  <w:num w:numId="57">
    <w:abstractNumId w:val="14"/>
  </w:num>
  <w:num w:numId="58">
    <w:abstractNumId w:val="26"/>
  </w:num>
  <w:num w:numId="59">
    <w:abstractNumId w:val="9"/>
  </w:num>
  <w:num w:numId="60">
    <w:abstractNumId w:val="46"/>
  </w:num>
  <w:num w:numId="61">
    <w:abstractNumId w:val="18"/>
  </w:num>
  <w:num w:numId="62">
    <w:abstractNumId w:val="32"/>
  </w:num>
  <w:num w:numId="63">
    <w:abstractNumId w:val="51"/>
  </w:num>
  <w:num w:numId="64">
    <w:abstractNumId w:val="52"/>
  </w:num>
  <w:num w:numId="65">
    <w:abstractNumId w:val="50"/>
  </w:num>
  <w:num w:numId="66">
    <w:abstractNumId w:val="6"/>
  </w:num>
  <w:num w:numId="67">
    <w:abstractNumId w:val="20"/>
  </w:num>
  <w:num w:numId="68">
    <w:abstractNumId w:val="59"/>
  </w:num>
  <w:num w:numId="69">
    <w:abstractNumId w:val="17"/>
  </w:num>
  <w:num w:numId="70">
    <w:abstractNumId w:val="66"/>
  </w:num>
  <w:num w:numId="71">
    <w:abstractNumId w:val="5"/>
  </w:num>
  <w:num w:numId="72">
    <w:abstractNumId w:val="19"/>
  </w:num>
  <w:num w:numId="73">
    <w:abstractNumId w:val="37"/>
  </w:num>
  <w:num w:numId="74">
    <w:abstractNumId w:val="73"/>
  </w:num>
  <w:num w:numId="75">
    <w:abstractNumId w:val="88"/>
  </w:num>
  <w:num w:numId="76">
    <w:abstractNumId w:val="57"/>
  </w:num>
  <w:num w:numId="77">
    <w:abstractNumId w:val="63"/>
  </w:num>
  <w:num w:numId="78">
    <w:abstractNumId w:val="62"/>
  </w:num>
  <w:num w:numId="79">
    <w:abstractNumId w:val="86"/>
  </w:num>
  <w:num w:numId="80">
    <w:abstractNumId w:val="48"/>
  </w:num>
  <w:num w:numId="81">
    <w:abstractNumId w:val="24"/>
  </w:num>
  <w:num w:numId="82">
    <w:abstractNumId w:val="78"/>
  </w:num>
  <w:num w:numId="83">
    <w:abstractNumId w:val="85"/>
  </w:num>
  <w:num w:numId="84">
    <w:abstractNumId w:val="72"/>
  </w:num>
  <w:num w:numId="85">
    <w:abstractNumId w:val="35"/>
  </w:num>
  <w:num w:numId="86">
    <w:abstractNumId w:val="69"/>
  </w:num>
  <w:num w:numId="87">
    <w:abstractNumId w:val="75"/>
  </w:num>
  <w:num w:numId="88">
    <w:abstractNumId w:val="76"/>
  </w:num>
  <w:num w:numId="89">
    <w:abstractNumId w:val="47"/>
  </w:num>
  <w:num w:numId="90">
    <w:abstractNumId w:val="4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activeWritingStyle w:appName="MSWord" w:lang="fr-CH"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i-FI" w:vendorID="64" w:dllVersion="6" w:nlCheck="1" w:checkStyle="0"/>
  <w:activeWritingStyle w:appName="MSWord" w:lang="de-DE" w:vendorID="64" w:dllVersion="6" w:nlCheck="1" w:checkStyle="0"/>
  <w:activeWritingStyle w:appName="MSWord" w:lang="fr-FR" w:vendorID="64" w:dllVersion="6" w:nlCheck="1" w:checkStyle="0"/>
  <w:activeWritingStyle w:appName="MSWord" w:lang="en-AU" w:vendorID="64" w:dllVersion="6" w:nlCheck="1" w:checkStyle="1"/>
  <w:activeWritingStyle w:appName="MSWord" w:lang="pt-PT" w:vendorID="64" w:dllVersion="6"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s-ES"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de-DE"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4C19"/>
    <w:rsid w:val="00005714"/>
    <w:rsid w:val="00006173"/>
    <w:rsid w:val="000074A5"/>
    <w:rsid w:val="000113B1"/>
    <w:rsid w:val="00012AA6"/>
    <w:rsid w:val="00016586"/>
    <w:rsid w:val="000168F6"/>
    <w:rsid w:val="0002198A"/>
    <w:rsid w:val="000220F0"/>
    <w:rsid w:val="00022FA6"/>
    <w:rsid w:val="000261DC"/>
    <w:rsid w:val="00026CD3"/>
    <w:rsid w:val="00030F8D"/>
    <w:rsid w:val="0003266D"/>
    <w:rsid w:val="000333D0"/>
    <w:rsid w:val="00034272"/>
    <w:rsid w:val="000405F7"/>
    <w:rsid w:val="00040760"/>
    <w:rsid w:val="00040EB3"/>
    <w:rsid w:val="00042109"/>
    <w:rsid w:val="00053B5E"/>
    <w:rsid w:val="00056F84"/>
    <w:rsid w:val="00065337"/>
    <w:rsid w:val="00065596"/>
    <w:rsid w:val="000666E8"/>
    <w:rsid w:val="00070C1D"/>
    <w:rsid w:val="00071550"/>
    <w:rsid w:val="000744A3"/>
    <w:rsid w:val="00075A76"/>
    <w:rsid w:val="00075D44"/>
    <w:rsid w:val="00080103"/>
    <w:rsid w:val="0008427B"/>
    <w:rsid w:val="00097F9C"/>
    <w:rsid w:val="000A2383"/>
    <w:rsid w:val="000A2B13"/>
    <w:rsid w:val="000A3EB4"/>
    <w:rsid w:val="000A484B"/>
    <w:rsid w:val="000B1685"/>
    <w:rsid w:val="000B395D"/>
    <w:rsid w:val="000B66A4"/>
    <w:rsid w:val="000B7434"/>
    <w:rsid w:val="000B7EC5"/>
    <w:rsid w:val="000C0505"/>
    <w:rsid w:val="000C44A6"/>
    <w:rsid w:val="000C45BD"/>
    <w:rsid w:val="000C66C8"/>
    <w:rsid w:val="000C6C07"/>
    <w:rsid w:val="000D48A5"/>
    <w:rsid w:val="000D6E59"/>
    <w:rsid w:val="000D6F95"/>
    <w:rsid w:val="000D7843"/>
    <w:rsid w:val="000E073F"/>
    <w:rsid w:val="000E12A5"/>
    <w:rsid w:val="000E1333"/>
    <w:rsid w:val="000E139E"/>
    <w:rsid w:val="000E2126"/>
    <w:rsid w:val="000E429B"/>
    <w:rsid w:val="000E46DF"/>
    <w:rsid w:val="000E4ACB"/>
    <w:rsid w:val="000E4D95"/>
    <w:rsid w:val="000E5CA0"/>
    <w:rsid w:val="000E7551"/>
    <w:rsid w:val="000E7EA4"/>
    <w:rsid w:val="000F0A24"/>
    <w:rsid w:val="000F1404"/>
    <w:rsid w:val="000F1833"/>
    <w:rsid w:val="000F2322"/>
    <w:rsid w:val="000F31FE"/>
    <w:rsid w:val="000F594D"/>
    <w:rsid w:val="000F6ACF"/>
    <w:rsid w:val="00101B8E"/>
    <w:rsid w:val="001034D3"/>
    <w:rsid w:val="00115BD7"/>
    <w:rsid w:val="001163D4"/>
    <w:rsid w:val="0011757C"/>
    <w:rsid w:val="0012294F"/>
    <w:rsid w:val="00122D91"/>
    <w:rsid w:val="00124439"/>
    <w:rsid w:val="00130329"/>
    <w:rsid w:val="001306A1"/>
    <w:rsid w:val="00132E18"/>
    <w:rsid w:val="0013508F"/>
    <w:rsid w:val="001364AC"/>
    <w:rsid w:val="001365D1"/>
    <w:rsid w:val="00136EA2"/>
    <w:rsid w:val="00137276"/>
    <w:rsid w:val="0014051E"/>
    <w:rsid w:val="00146086"/>
    <w:rsid w:val="00146906"/>
    <w:rsid w:val="00147A4A"/>
    <w:rsid w:val="001516BD"/>
    <w:rsid w:val="00151901"/>
    <w:rsid w:val="0015467D"/>
    <w:rsid w:val="001623BF"/>
    <w:rsid w:val="00164C51"/>
    <w:rsid w:val="00165731"/>
    <w:rsid w:val="00172182"/>
    <w:rsid w:val="00180E9E"/>
    <w:rsid w:val="0018234E"/>
    <w:rsid w:val="001828B8"/>
    <w:rsid w:val="001835B6"/>
    <w:rsid w:val="001924A3"/>
    <w:rsid w:val="001930EB"/>
    <w:rsid w:val="00193C86"/>
    <w:rsid w:val="00196B63"/>
    <w:rsid w:val="001A0EA3"/>
    <w:rsid w:val="001A174A"/>
    <w:rsid w:val="001A1A98"/>
    <w:rsid w:val="001A1C91"/>
    <w:rsid w:val="001A24AA"/>
    <w:rsid w:val="001A3B3E"/>
    <w:rsid w:val="001A4FFE"/>
    <w:rsid w:val="001A53B1"/>
    <w:rsid w:val="001A7BF7"/>
    <w:rsid w:val="001B2950"/>
    <w:rsid w:val="001B71C2"/>
    <w:rsid w:val="001C2999"/>
    <w:rsid w:val="001C336A"/>
    <w:rsid w:val="001C4A65"/>
    <w:rsid w:val="001C51AA"/>
    <w:rsid w:val="001C632B"/>
    <w:rsid w:val="001D07EC"/>
    <w:rsid w:val="001D2720"/>
    <w:rsid w:val="001D30C0"/>
    <w:rsid w:val="001D65D2"/>
    <w:rsid w:val="001E0F6C"/>
    <w:rsid w:val="001E3DA2"/>
    <w:rsid w:val="001E7AB1"/>
    <w:rsid w:val="001F5534"/>
    <w:rsid w:val="00200973"/>
    <w:rsid w:val="00202AF4"/>
    <w:rsid w:val="00210FCA"/>
    <w:rsid w:val="00211046"/>
    <w:rsid w:val="0021121D"/>
    <w:rsid w:val="0021218B"/>
    <w:rsid w:val="00217261"/>
    <w:rsid w:val="002246EC"/>
    <w:rsid w:val="00225065"/>
    <w:rsid w:val="00225D53"/>
    <w:rsid w:val="0023286E"/>
    <w:rsid w:val="00232F51"/>
    <w:rsid w:val="00233211"/>
    <w:rsid w:val="00235152"/>
    <w:rsid w:val="0023594D"/>
    <w:rsid w:val="00236895"/>
    <w:rsid w:val="002373E4"/>
    <w:rsid w:val="00237CB4"/>
    <w:rsid w:val="0024203F"/>
    <w:rsid w:val="0024670C"/>
    <w:rsid w:val="0025467C"/>
    <w:rsid w:val="0025523C"/>
    <w:rsid w:val="00256EA1"/>
    <w:rsid w:val="002571D4"/>
    <w:rsid w:val="002652F8"/>
    <w:rsid w:val="002705A9"/>
    <w:rsid w:val="00270C8A"/>
    <w:rsid w:val="00274DB7"/>
    <w:rsid w:val="0027531A"/>
    <w:rsid w:val="00280E1A"/>
    <w:rsid w:val="00284F86"/>
    <w:rsid w:val="00291F62"/>
    <w:rsid w:val="0029343A"/>
    <w:rsid w:val="0029404D"/>
    <w:rsid w:val="00296614"/>
    <w:rsid w:val="002969A4"/>
    <w:rsid w:val="00296CFC"/>
    <w:rsid w:val="002A01EE"/>
    <w:rsid w:val="002A2680"/>
    <w:rsid w:val="002A291B"/>
    <w:rsid w:val="002A4967"/>
    <w:rsid w:val="002A4CFE"/>
    <w:rsid w:val="002A508D"/>
    <w:rsid w:val="002A5C31"/>
    <w:rsid w:val="002A7D20"/>
    <w:rsid w:val="002B07D1"/>
    <w:rsid w:val="002B1E23"/>
    <w:rsid w:val="002B2840"/>
    <w:rsid w:val="002B4ADF"/>
    <w:rsid w:val="002C1E48"/>
    <w:rsid w:val="002C7431"/>
    <w:rsid w:val="002C7CE8"/>
    <w:rsid w:val="002D32F2"/>
    <w:rsid w:val="002E0AE7"/>
    <w:rsid w:val="002E70AF"/>
    <w:rsid w:val="002F068F"/>
    <w:rsid w:val="002F6DF3"/>
    <w:rsid w:val="002F77B3"/>
    <w:rsid w:val="0030157C"/>
    <w:rsid w:val="00305094"/>
    <w:rsid w:val="00307090"/>
    <w:rsid w:val="00311400"/>
    <w:rsid w:val="00315750"/>
    <w:rsid w:val="003200F3"/>
    <w:rsid w:val="00321319"/>
    <w:rsid w:val="00322A31"/>
    <w:rsid w:val="00323472"/>
    <w:rsid w:val="0032497E"/>
    <w:rsid w:val="00324A76"/>
    <w:rsid w:val="003258AC"/>
    <w:rsid w:val="00330D96"/>
    <w:rsid w:val="003328AB"/>
    <w:rsid w:val="003330BD"/>
    <w:rsid w:val="0033441D"/>
    <w:rsid w:val="0033457E"/>
    <w:rsid w:val="0034180F"/>
    <w:rsid w:val="00342594"/>
    <w:rsid w:val="00353BD1"/>
    <w:rsid w:val="00353F91"/>
    <w:rsid w:val="0035517D"/>
    <w:rsid w:val="00356080"/>
    <w:rsid w:val="00356E30"/>
    <w:rsid w:val="00364D52"/>
    <w:rsid w:val="003677AF"/>
    <w:rsid w:val="0037183E"/>
    <w:rsid w:val="00375E32"/>
    <w:rsid w:val="00380F9F"/>
    <w:rsid w:val="00381921"/>
    <w:rsid w:val="00381966"/>
    <w:rsid w:val="00386A46"/>
    <w:rsid w:val="00387E0B"/>
    <w:rsid w:val="00391AD4"/>
    <w:rsid w:val="00394038"/>
    <w:rsid w:val="00397059"/>
    <w:rsid w:val="0039781C"/>
    <w:rsid w:val="003A2F8E"/>
    <w:rsid w:val="003A349C"/>
    <w:rsid w:val="003B2305"/>
    <w:rsid w:val="003B3AA3"/>
    <w:rsid w:val="003B3F7A"/>
    <w:rsid w:val="003B7D66"/>
    <w:rsid w:val="003C165A"/>
    <w:rsid w:val="003D0852"/>
    <w:rsid w:val="003D2E45"/>
    <w:rsid w:val="003D62BF"/>
    <w:rsid w:val="003D6AA2"/>
    <w:rsid w:val="003D7A25"/>
    <w:rsid w:val="003E0B64"/>
    <w:rsid w:val="003E14A5"/>
    <w:rsid w:val="003E19AB"/>
    <w:rsid w:val="003E1A58"/>
    <w:rsid w:val="003E4A6E"/>
    <w:rsid w:val="003E504F"/>
    <w:rsid w:val="003E5CB7"/>
    <w:rsid w:val="003E7291"/>
    <w:rsid w:val="003E743D"/>
    <w:rsid w:val="003F0180"/>
    <w:rsid w:val="003F2112"/>
    <w:rsid w:val="003F29D9"/>
    <w:rsid w:val="003F2CCB"/>
    <w:rsid w:val="003F2F6E"/>
    <w:rsid w:val="003F2FF7"/>
    <w:rsid w:val="003F53FB"/>
    <w:rsid w:val="003F5F73"/>
    <w:rsid w:val="00400143"/>
    <w:rsid w:val="00402DD3"/>
    <w:rsid w:val="00403431"/>
    <w:rsid w:val="00405059"/>
    <w:rsid w:val="00405280"/>
    <w:rsid w:val="00407112"/>
    <w:rsid w:val="00407A21"/>
    <w:rsid w:val="00407AF7"/>
    <w:rsid w:val="00414FC7"/>
    <w:rsid w:val="00421878"/>
    <w:rsid w:val="004231A9"/>
    <w:rsid w:val="004253CD"/>
    <w:rsid w:val="00431DD3"/>
    <w:rsid w:val="00431DD7"/>
    <w:rsid w:val="00432EF9"/>
    <w:rsid w:val="00433129"/>
    <w:rsid w:val="00437C04"/>
    <w:rsid w:val="00441EB0"/>
    <w:rsid w:val="00442127"/>
    <w:rsid w:val="00442917"/>
    <w:rsid w:val="00444920"/>
    <w:rsid w:val="00450D92"/>
    <w:rsid w:val="004524BF"/>
    <w:rsid w:val="00456F00"/>
    <w:rsid w:val="00460041"/>
    <w:rsid w:val="004606BF"/>
    <w:rsid w:val="004678AA"/>
    <w:rsid w:val="00467F3C"/>
    <w:rsid w:val="004756C9"/>
    <w:rsid w:val="00475D87"/>
    <w:rsid w:val="00480F5B"/>
    <w:rsid w:val="00482A84"/>
    <w:rsid w:val="004917A8"/>
    <w:rsid w:val="00491D52"/>
    <w:rsid w:val="0049307C"/>
    <w:rsid w:val="00495674"/>
    <w:rsid w:val="00495CAA"/>
    <w:rsid w:val="004A3212"/>
    <w:rsid w:val="004A40A1"/>
    <w:rsid w:val="004A42A7"/>
    <w:rsid w:val="004A77BA"/>
    <w:rsid w:val="004B30EF"/>
    <w:rsid w:val="004B40FC"/>
    <w:rsid w:val="004B4EC1"/>
    <w:rsid w:val="004B6B42"/>
    <w:rsid w:val="004C2146"/>
    <w:rsid w:val="004C3637"/>
    <w:rsid w:val="004C5EC4"/>
    <w:rsid w:val="004D4496"/>
    <w:rsid w:val="004D603F"/>
    <w:rsid w:val="004E07F7"/>
    <w:rsid w:val="004E08CB"/>
    <w:rsid w:val="004E2467"/>
    <w:rsid w:val="004E5AE6"/>
    <w:rsid w:val="004F1E5B"/>
    <w:rsid w:val="004F348F"/>
    <w:rsid w:val="0050618A"/>
    <w:rsid w:val="00511447"/>
    <w:rsid w:val="0051326A"/>
    <w:rsid w:val="00520A9B"/>
    <w:rsid w:val="00524385"/>
    <w:rsid w:val="005254BC"/>
    <w:rsid w:val="005256A2"/>
    <w:rsid w:val="005302C3"/>
    <w:rsid w:val="00530DA6"/>
    <w:rsid w:val="00531252"/>
    <w:rsid w:val="0053356F"/>
    <w:rsid w:val="00541E53"/>
    <w:rsid w:val="00543667"/>
    <w:rsid w:val="00545962"/>
    <w:rsid w:val="005540FC"/>
    <w:rsid w:val="00555F39"/>
    <w:rsid w:val="005623EF"/>
    <w:rsid w:val="0056422B"/>
    <w:rsid w:val="005651C6"/>
    <w:rsid w:val="00565768"/>
    <w:rsid w:val="0057122C"/>
    <w:rsid w:val="00573219"/>
    <w:rsid w:val="00573502"/>
    <w:rsid w:val="00576E81"/>
    <w:rsid w:val="00581086"/>
    <w:rsid w:val="00590629"/>
    <w:rsid w:val="005A0857"/>
    <w:rsid w:val="005A0DE8"/>
    <w:rsid w:val="005A374C"/>
    <w:rsid w:val="005A4D92"/>
    <w:rsid w:val="005A5281"/>
    <w:rsid w:val="005B1E77"/>
    <w:rsid w:val="005C007D"/>
    <w:rsid w:val="005C1C6D"/>
    <w:rsid w:val="005C68AD"/>
    <w:rsid w:val="005D22B5"/>
    <w:rsid w:val="005D2A31"/>
    <w:rsid w:val="005D580B"/>
    <w:rsid w:val="005D64FB"/>
    <w:rsid w:val="005E184F"/>
    <w:rsid w:val="005E30C4"/>
    <w:rsid w:val="005F3629"/>
    <w:rsid w:val="005F4FEE"/>
    <w:rsid w:val="005F6376"/>
    <w:rsid w:val="006000D5"/>
    <w:rsid w:val="00601161"/>
    <w:rsid w:val="006039B8"/>
    <w:rsid w:val="00604167"/>
    <w:rsid w:val="00606251"/>
    <w:rsid w:val="00614815"/>
    <w:rsid w:val="00616372"/>
    <w:rsid w:val="006165E3"/>
    <w:rsid w:val="006179A4"/>
    <w:rsid w:val="006215FD"/>
    <w:rsid w:val="00625E6C"/>
    <w:rsid w:val="0063079E"/>
    <w:rsid w:val="006313B6"/>
    <w:rsid w:val="0063543C"/>
    <w:rsid w:val="006364AB"/>
    <w:rsid w:val="006368CF"/>
    <w:rsid w:val="00640264"/>
    <w:rsid w:val="00643269"/>
    <w:rsid w:val="006478DC"/>
    <w:rsid w:val="00647E06"/>
    <w:rsid w:val="00651DF3"/>
    <w:rsid w:val="00652FF5"/>
    <w:rsid w:val="00653090"/>
    <w:rsid w:val="00656164"/>
    <w:rsid w:val="00660637"/>
    <w:rsid w:val="00667BB9"/>
    <w:rsid w:val="006757B7"/>
    <w:rsid w:val="00677A23"/>
    <w:rsid w:val="006813BD"/>
    <w:rsid w:val="006817F9"/>
    <w:rsid w:val="00681DCC"/>
    <w:rsid w:val="006841DE"/>
    <w:rsid w:val="00686B3B"/>
    <w:rsid w:val="006941E6"/>
    <w:rsid w:val="006944D0"/>
    <w:rsid w:val="006946AE"/>
    <w:rsid w:val="006A044D"/>
    <w:rsid w:val="006A073C"/>
    <w:rsid w:val="006A0763"/>
    <w:rsid w:val="006A4D30"/>
    <w:rsid w:val="006A6378"/>
    <w:rsid w:val="006B50FE"/>
    <w:rsid w:val="006C37F3"/>
    <w:rsid w:val="006C4FDF"/>
    <w:rsid w:val="006C6641"/>
    <w:rsid w:val="006D32E2"/>
    <w:rsid w:val="006D45D3"/>
    <w:rsid w:val="006D553F"/>
    <w:rsid w:val="006D7FB0"/>
    <w:rsid w:val="006E0665"/>
    <w:rsid w:val="006E2B73"/>
    <w:rsid w:val="006E3A41"/>
    <w:rsid w:val="006F0E59"/>
    <w:rsid w:val="006F1EF2"/>
    <w:rsid w:val="006F28C3"/>
    <w:rsid w:val="006F331E"/>
    <w:rsid w:val="006F5531"/>
    <w:rsid w:val="006F5D4F"/>
    <w:rsid w:val="006F79DA"/>
    <w:rsid w:val="00703113"/>
    <w:rsid w:val="00703A07"/>
    <w:rsid w:val="00706425"/>
    <w:rsid w:val="00706FBF"/>
    <w:rsid w:val="0071040E"/>
    <w:rsid w:val="00710A28"/>
    <w:rsid w:val="007124D1"/>
    <w:rsid w:val="00721DDD"/>
    <w:rsid w:val="00724E4E"/>
    <w:rsid w:val="00725124"/>
    <w:rsid w:val="00726452"/>
    <w:rsid w:val="00726918"/>
    <w:rsid w:val="00730F8B"/>
    <w:rsid w:val="00731E1F"/>
    <w:rsid w:val="007363D7"/>
    <w:rsid w:val="007368FD"/>
    <w:rsid w:val="007406F9"/>
    <w:rsid w:val="00745B35"/>
    <w:rsid w:val="007524B5"/>
    <w:rsid w:val="00753DEB"/>
    <w:rsid w:val="00753EF3"/>
    <w:rsid w:val="007564E8"/>
    <w:rsid w:val="00763C34"/>
    <w:rsid w:val="007662CD"/>
    <w:rsid w:val="00766813"/>
    <w:rsid w:val="00766C76"/>
    <w:rsid w:val="00766E3C"/>
    <w:rsid w:val="00767CD7"/>
    <w:rsid w:val="007719E3"/>
    <w:rsid w:val="00772DC6"/>
    <w:rsid w:val="00772E3C"/>
    <w:rsid w:val="00774C6F"/>
    <w:rsid w:val="007755E6"/>
    <w:rsid w:val="0078320F"/>
    <w:rsid w:val="00783E03"/>
    <w:rsid w:val="00784706"/>
    <w:rsid w:val="0078551B"/>
    <w:rsid w:val="00787AF3"/>
    <w:rsid w:val="00790394"/>
    <w:rsid w:val="0079329F"/>
    <w:rsid w:val="00797422"/>
    <w:rsid w:val="007A03A4"/>
    <w:rsid w:val="007A1D29"/>
    <w:rsid w:val="007A3B75"/>
    <w:rsid w:val="007A4CAF"/>
    <w:rsid w:val="007B1E0E"/>
    <w:rsid w:val="007B32BA"/>
    <w:rsid w:val="007B3356"/>
    <w:rsid w:val="007B4EFA"/>
    <w:rsid w:val="007B5D9E"/>
    <w:rsid w:val="007B7023"/>
    <w:rsid w:val="007C36E8"/>
    <w:rsid w:val="007D059F"/>
    <w:rsid w:val="007D1063"/>
    <w:rsid w:val="007D107E"/>
    <w:rsid w:val="007D6BEA"/>
    <w:rsid w:val="007D7A90"/>
    <w:rsid w:val="007E2FC1"/>
    <w:rsid w:val="00802434"/>
    <w:rsid w:val="00802D9E"/>
    <w:rsid w:val="008059BC"/>
    <w:rsid w:val="00810744"/>
    <w:rsid w:val="00815140"/>
    <w:rsid w:val="00822262"/>
    <w:rsid w:val="00822792"/>
    <w:rsid w:val="008246A0"/>
    <w:rsid w:val="008262B6"/>
    <w:rsid w:val="00831207"/>
    <w:rsid w:val="00831C3E"/>
    <w:rsid w:val="00832584"/>
    <w:rsid w:val="00833561"/>
    <w:rsid w:val="00837235"/>
    <w:rsid w:val="008414EA"/>
    <w:rsid w:val="008430BB"/>
    <w:rsid w:val="008464FE"/>
    <w:rsid w:val="008522F0"/>
    <w:rsid w:val="0085256A"/>
    <w:rsid w:val="00853496"/>
    <w:rsid w:val="00853BE0"/>
    <w:rsid w:val="0085611B"/>
    <w:rsid w:val="0086338E"/>
    <w:rsid w:val="00865B32"/>
    <w:rsid w:val="00872E55"/>
    <w:rsid w:val="00875910"/>
    <w:rsid w:val="00876453"/>
    <w:rsid w:val="008817FA"/>
    <w:rsid w:val="00883012"/>
    <w:rsid w:val="0088452D"/>
    <w:rsid w:val="008851BB"/>
    <w:rsid w:val="00891210"/>
    <w:rsid w:val="00893F62"/>
    <w:rsid w:val="00893FFB"/>
    <w:rsid w:val="00896D7D"/>
    <w:rsid w:val="0089794A"/>
    <w:rsid w:val="008A17B4"/>
    <w:rsid w:val="008A5F72"/>
    <w:rsid w:val="008A6318"/>
    <w:rsid w:val="008B1874"/>
    <w:rsid w:val="008B2A55"/>
    <w:rsid w:val="008B2D75"/>
    <w:rsid w:val="008B3FC5"/>
    <w:rsid w:val="008B5F56"/>
    <w:rsid w:val="008C1269"/>
    <w:rsid w:val="008D13CE"/>
    <w:rsid w:val="008D4039"/>
    <w:rsid w:val="008D78AB"/>
    <w:rsid w:val="008E078B"/>
    <w:rsid w:val="008E3546"/>
    <w:rsid w:val="008F07A5"/>
    <w:rsid w:val="008F19AD"/>
    <w:rsid w:val="008F522D"/>
    <w:rsid w:val="008F72AA"/>
    <w:rsid w:val="00903FBC"/>
    <w:rsid w:val="00915BD7"/>
    <w:rsid w:val="00915CC4"/>
    <w:rsid w:val="00922414"/>
    <w:rsid w:val="0092355D"/>
    <w:rsid w:val="00924FB4"/>
    <w:rsid w:val="00925069"/>
    <w:rsid w:val="00932E48"/>
    <w:rsid w:val="009345FE"/>
    <w:rsid w:val="00936795"/>
    <w:rsid w:val="00945092"/>
    <w:rsid w:val="00946423"/>
    <w:rsid w:val="00953C35"/>
    <w:rsid w:val="00956218"/>
    <w:rsid w:val="00960F3C"/>
    <w:rsid w:val="00961D3A"/>
    <w:rsid w:val="00966057"/>
    <w:rsid w:val="00966074"/>
    <w:rsid w:val="00973074"/>
    <w:rsid w:val="0098143F"/>
    <w:rsid w:val="00981B2D"/>
    <w:rsid w:val="009827ED"/>
    <w:rsid w:val="00983912"/>
    <w:rsid w:val="0098392F"/>
    <w:rsid w:val="00983A92"/>
    <w:rsid w:val="009911DB"/>
    <w:rsid w:val="009928D6"/>
    <w:rsid w:val="009A0841"/>
    <w:rsid w:val="009A2DFA"/>
    <w:rsid w:val="009B1817"/>
    <w:rsid w:val="009B2B4E"/>
    <w:rsid w:val="009B2D1B"/>
    <w:rsid w:val="009B2D29"/>
    <w:rsid w:val="009B2D9A"/>
    <w:rsid w:val="009B5A87"/>
    <w:rsid w:val="009C1518"/>
    <w:rsid w:val="009C2754"/>
    <w:rsid w:val="009C300D"/>
    <w:rsid w:val="009C5C8B"/>
    <w:rsid w:val="009C62F6"/>
    <w:rsid w:val="009D5F88"/>
    <w:rsid w:val="009E2209"/>
    <w:rsid w:val="009E293A"/>
    <w:rsid w:val="009E4D45"/>
    <w:rsid w:val="009E5BA6"/>
    <w:rsid w:val="009E6C2F"/>
    <w:rsid w:val="009E7603"/>
    <w:rsid w:val="009F279B"/>
    <w:rsid w:val="00A05FFE"/>
    <w:rsid w:val="00A06FBC"/>
    <w:rsid w:val="00A10879"/>
    <w:rsid w:val="00A10C27"/>
    <w:rsid w:val="00A117ED"/>
    <w:rsid w:val="00A12E37"/>
    <w:rsid w:val="00A13B29"/>
    <w:rsid w:val="00A152A0"/>
    <w:rsid w:val="00A17347"/>
    <w:rsid w:val="00A226F8"/>
    <w:rsid w:val="00A36EA6"/>
    <w:rsid w:val="00A37E4B"/>
    <w:rsid w:val="00A41398"/>
    <w:rsid w:val="00A41C93"/>
    <w:rsid w:val="00A42598"/>
    <w:rsid w:val="00A43876"/>
    <w:rsid w:val="00A45F40"/>
    <w:rsid w:val="00A46F19"/>
    <w:rsid w:val="00A501A2"/>
    <w:rsid w:val="00A50A51"/>
    <w:rsid w:val="00A51503"/>
    <w:rsid w:val="00A516C7"/>
    <w:rsid w:val="00A51F16"/>
    <w:rsid w:val="00A5363A"/>
    <w:rsid w:val="00A53696"/>
    <w:rsid w:val="00A5467F"/>
    <w:rsid w:val="00A56860"/>
    <w:rsid w:val="00A600EE"/>
    <w:rsid w:val="00A6507E"/>
    <w:rsid w:val="00A676C7"/>
    <w:rsid w:val="00A7277A"/>
    <w:rsid w:val="00A7436A"/>
    <w:rsid w:val="00A76B48"/>
    <w:rsid w:val="00A77B8F"/>
    <w:rsid w:val="00A77F66"/>
    <w:rsid w:val="00A82566"/>
    <w:rsid w:val="00A83FC8"/>
    <w:rsid w:val="00A90670"/>
    <w:rsid w:val="00A90F4B"/>
    <w:rsid w:val="00A91220"/>
    <w:rsid w:val="00A92CA5"/>
    <w:rsid w:val="00AA3EAB"/>
    <w:rsid w:val="00AA63A5"/>
    <w:rsid w:val="00AA7021"/>
    <w:rsid w:val="00AB151D"/>
    <w:rsid w:val="00AB3FDE"/>
    <w:rsid w:val="00AB5419"/>
    <w:rsid w:val="00AB7CF0"/>
    <w:rsid w:val="00AC44CE"/>
    <w:rsid w:val="00AC4649"/>
    <w:rsid w:val="00AC67C1"/>
    <w:rsid w:val="00AC69AA"/>
    <w:rsid w:val="00AD3A42"/>
    <w:rsid w:val="00AD459A"/>
    <w:rsid w:val="00AD5132"/>
    <w:rsid w:val="00AD5BF2"/>
    <w:rsid w:val="00AD62CF"/>
    <w:rsid w:val="00AE10EE"/>
    <w:rsid w:val="00AE1B2F"/>
    <w:rsid w:val="00AE4EB4"/>
    <w:rsid w:val="00AE6386"/>
    <w:rsid w:val="00AE7B9D"/>
    <w:rsid w:val="00AF269F"/>
    <w:rsid w:val="00AF4A08"/>
    <w:rsid w:val="00AF53D6"/>
    <w:rsid w:val="00B0129A"/>
    <w:rsid w:val="00B023A5"/>
    <w:rsid w:val="00B0717A"/>
    <w:rsid w:val="00B10167"/>
    <w:rsid w:val="00B11DF6"/>
    <w:rsid w:val="00B175A9"/>
    <w:rsid w:val="00B24646"/>
    <w:rsid w:val="00B251E1"/>
    <w:rsid w:val="00B2543C"/>
    <w:rsid w:val="00B301DB"/>
    <w:rsid w:val="00B3345C"/>
    <w:rsid w:val="00B359E3"/>
    <w:rsid w:val="00B36249"/>
    <w:rsid w:val="00B36BCD"/>
    <w:rsid w:val="00B4363B"/>
    <w:rsid w:val="00B44027"/>
    <w:rsid w:val="00B44107"/>
    <w:rsid w:val="00B469C5"/>
    <w:rsid w:val="00B479E6"/>
    <w:rsid w:val="00B534C9"/>
    <w:rsid w:val="00B62E44"/>
    <w:rsid w:val="00B637EB"/>
    <w:rsid w:val="00B649BE"/>
    <w:rsid w:val="00B64CBC"/>
    <w:rsid w:val="00B66447"/>
    <w:rsid w:val="00B71497"/>
    <w:rsid w:val="00B71785"/>
    <w:rsid w:val="00B72E29"/>
    <w:rsid w:val="00B73CA8"/>
    <w:rsid w:val="00B74490"/>
    <w:rsid w:val="00B75193"/>
    <w:rsid w:val="00B76BD0"/>
    <w:rsid w:val="00B80A6E"/>
    <w:rsid w:val="00B84FED"/>
    <w:rsid w:val="00B93249"/>
    <w:rsid w:val="00BA1445"/>
    <w:rsid w:val="00BA34C8"/>
    <w:rsid w:val="00BA4C85"/>
    <w:rsid w:val="00BB02EC"/>
    <w:rsid w:val="00BB0F13"/>
    <w:rsid w:val="00BB302D"/>
    <w:rsid w:val="00BB33CF"/>
    <w:rsid w:val="00BB5DF9"/>
    <w:rsid w:val="00BC1642"/>
    <w:rsid w:val="00BC35E7"/>
    <w:rsid w:val="00BC583D"/>
    <w:rsid w:val="00BD0C65"/>
    <w:rsid w:val="00BD39EA"/>
    <w:rsid w:val="00BD3C67"/>
    <w:rsid w:val="00BD4E5A"/>
    <w:rsid w:val="00BD7F48"/>
    <w:rsid w:val="00BD7FA9"/>
    <w:rsid w:val="00BE24F2"/>
    <w:rsid w:val="00BE43BB"/>
    <w:rsid w:val="00BE6115"/>
    <w:rsid w:val="00BF1A5F"/>
    <w:rsid w:val="00BF22E4"/>
    <w:rsid w:val="00C007D1"/>
    <w:rsid w:val="00C05EC6"/>
    <w:rsid w:val="00C060A7"/>
    <w:rsid w:val="00C1111C"/>
    <w:rsid w:val="00C12961"/>
    <w:rsid w:val="00C12A3D"/>
    <w:rsid w:val="00C14FE4"/>
    <w:rsid w:val="00C2367C"/>
    <w:rsid w:val="00C253F3"/>
    <w:rsid w:val="00C30C87"/>
    <w:rsid w:val="00C31E11"/>
    <w:rsid w:val="00C3202F"/>
    <w:rsid w:val="00C350FC"/>
    <w:rsid w:val="00C36ACC"/>
    <w:rsid w:val="00C40245"/>
    <w:rsid w:val="00C42C17"/>
    <w:rsid w:val="00C43B41"/>
    <w:rsid w:val="00C47AF9"/>
    <w:rsid w:val="00C52561"/>
    <w:rsid w:val="00C54943"/>
    <w:rsid w:val="00C56EF5"/>
    <w:rsid w:val="00C64647"/>
    <w:rsid w:val="00C67634"/>
    <w:rsid w:val="00C677B6"/>
    <w:rsid w:val="00C72DB8"/>
    <w:rsid w:val="00C75385"/>
    <w:rsid w:val="00C7683D"/>
    <w:rsid w:val="00C8028E"/>
    <w:rsid w:val="00C80869"/>
    <w:rsid w:val="00C808D1"/>
    <w:rsid w:val="00C82BFA"/>
    <w:rsid w:val="00C830C1"/>
    <w:rsid w:val="00C83ABF"/>
    <w:rsid w:val="00C91F39"/>
    <w:rsid w:val="00C92821"/>
    <w:rsid w:val="00C943D8"/>
    <w:rsid w:val="00C95368"/>
    <w:rsid w:val="00C9678A"/>
    <w:rsid w:val="00CA0CFB"/>
    <w:rsid w:val="00CA1F69"/>
    <w:rsid w:val="00CA315D"/>
    <w:rsid w:val="00CA6C23"/>
    <w:rsid w:val="00CA6C50"/>
    <w:rsid w:val="00CB0472"/>
    <w:rsid w:val="00CB0653"/>
    <w:rsid w:val="00CB2065"/>
    <w:rsid w:val="00CB2774"/>
    <w:rsid w:val="00CB3564"/>
    <w:rsid w:val="00CB760D"/>
    <w:rsid w:val="00CC4408"/>
    <w:rsid w:val="00CC66F5"/>
    <w:rsid w:val="00CD22D9"/>
    <w:rsid w:val="00CD3281"/>
    <w:rsid w:val="00CD6F7C"/>
    <w:rsid w:val="00CD787F"/>
    <w:rsid w:val="00CE2E74"/>
    <w:rsid w:val="00CE474D"/>
    <w:rsid w:val="00CE51ED"/>
    <w:rsid w:val="00CE55BC"/>
    <w:rsid w:val="00CE655D"/>
    <w:rsid w:val="00CF0DCC"/>
    <w:rsid w:val="00CF21BB"/>
    <w:rsid w:val="00CF290B"/>
    <w:rsid w:val="00CF2C2F"/>
    <w:rsid w:val="00CF5487"/>
    <w:rsid w:val="00CF5C33"/>
    <w:rsid w:val="00D00486"/>
    <w:rsid w:val="00D04290"/>
    <w:rsid w:val="00D07090"/>
    <w:rsid w:val="00D12755"/>
    <w:rsid w:val="00D14E61"/>
    <w:rsid w:val="00D15072"/>
    <w:rsid w:val="00D155FF"/>
    <w:rsid w:val="00D15E7F"/>
    <w:rsid w:val="00D16FD8"/>
    <w:rsid w:val="00D216BA"/>
    <w:rsid w:val="00D21E9F"/>
    <w:rsid w:val="00D272A5"/>
    <w:rsid w:val="00D27BA3"/>
    <w:rsid w:val="00D305B5"/>
    <w:rsid w:val="00D31BF3"/>
    <w:rsid w:val="00D379BC"/>
    <w:rsid w:val="00D418F5"/>
    <w:rsid w:val="00D41927"/>
    <w:rsid w:val="00D43ABE"/>
    <w:rsid w:val="00D52BB6"/>
    <w:rsid w:val="00D53222"/>
    <w:rsid w:val="00D53ECE"/>
    <w:rsid w:val="00D54845"/>
    <w:rsid w:val="00D55826"/>
    <w:rsid w:val="00D63C1C"/>
    <w:rsid w:val="00D64C16"/>
    <w:rsid w:val="00D6660F"/>
    <w:rsid w:val="00D7053E"/>
    <w:rsid w:val="00D73D5A"/>
    <w:rsid w:val="00D755EC"/>
    <w:rsid w:val="00D75B93"/>
    <w:rsid w:val="00D77515"/>
    <w:rsid w:val="00D87ACA"/>
    <w:rsid w:val="00D906C3"/>
    <w:rsid w:val="00D92F65"/>
    <w:rsid w:val="00D937CA"/>
    <w:rsid w:val="00D96A45"/>
    <w:rsid w:val="00DA0BC3"/>
    <w:rsid w:val="00DA5044"/>
    <w:rsid w:val="00DA5B5B"/>
    <w:rsid w:val="00DA6395"/>
    <w:rsid w:val="00DB02CF"/>
    <w:rsid w:val="00DB0D73"/>
    <w:rsid w:val="00DB1036"/>
    <w:rsid w:val="00DB6F3E"/>
    <w:rsid w:val="00DC1AE0"/>
    <w:rsid w:val="00DC2CCA"/>
    <w:rsid w:val="00DC4F3E"/>
    <w:rsid w:val="00DD50E9"/>
    <w:rsid w:val="00DD51C9"/>
    <w:rsid w:val="00DD7FEE"/>
    <w:rsid w:val="00DE11FD"/>
    <w:rsid w:val="00DE375E"/>
    <w:rsid w:val="00DE38E7"/>
    <w:rsid w:val="00DE4AC9"/>
    <w:rsid w:val="00DE4C19"/>
    <w:rsid w:val="00DE6FD9"/>
    <w:rsid w:val="00DE7527"/>
    <w:rsid w:val="00DF325B"/>
    <w:rsid w:val="00E006D4"/>
    <w:rsid w:val="00E00CB0"/>
    <w:rsid w:val="00E06364"/>
    <w:rsid w:val="00E11651"/>
    <w:rsid w:val="00E11CB5"/>
    <w:rsid w:val="00E1276D"/>
    <w:rsid w:val="00E13BA4"/>
    <w:rsid w:val="00E22436"/>
    <w:rsid w:val="00E23312"/>
    <w:rsid w:val="00E239E5"/>
    <w:rsid w:val="00E253A2"/>
    <w:rsid w:val="00E343FC"/>
    <w:rsid w:val="00E40521"/>
    <w:rsid w:val="00E4334A"/>
    <w:rsid w:val="00E5104E"/>
    <w:rsid w:val="00E56813"/>
    <w:rsid w:val="00E605CC"/>
    <w:rsid w:val="00E61363"/>
    <w:rsid w:val="00E62064"/>
    <w:rsid w:val="00E62754"/>
    <w:rsid w:val="00E63E03"/>
    <w:rsid w:val="00E70EB2"/>
    <w:rsid w:val="00E71544"/>
    <w:rsid w:val="00E737E3"/>
    <w:rsid w:val="00E745FF"/>
    <w:rsid w:val="00E752A2"/>
    <w:rsid w:val="00E76406"/>
    <w:rsid w:val="00E86BE7"/>
    <w:rsid w:val="00E90061"/>
    <w:rsid w:val="00E90106"/>
    <w:rsid w:val="00E94B6B"/>
    <w:rsid w:val="00E95CC1"/>
    <w:rsid w:val="00E979FF"/>
    <w:rsid w:val="00EA346C"/>
    <w:rsid w:val="00EA449E"/>
    <w:rsid w:val="00EA4B7A"/>
    <w:rsid w:val="00EB089E"/>
    <w:rsid w:val="00EB16BF"/>
    <w:rsid w:val="00EB1B77"/>
    <w:rsid w:val="00EB1FE2"/>
    <w:rsid w:val="00EB61B0"/>
    <w:rsid w:val="00EC02AE"/>
    <w:rsid w:val="00EC1AE3"/>
    <w:rsid w:val="00EC5B8A"/>
    <w:rsid w:val="00EC6851"/>
    <w:rsid w:val="00ED0A03"/>
    <w:rsid w:val="00EE4D28"/>
    <w:rsid w:val="00EE5447"/>
    <w:rsid w:val="00EF697C"/>
    <w:rsid w:val="00EF6C4A"/>
    <w:rsid w:val="00EF74FD"/>
    <w:rsid w:val="00F0496C"/>
    <w:rsid w:val="00F07A7E"/>
    <w:rsid w:val="00F130F2"/>
    <w:rsid w:val="00F16754"/>
    <w:rsid w:val="00F1685D"/>
    <w:rsid w:val="00F20A73"/>
    <w:rsid w:val="00F21C9E"/>
    <w:rsid w:val="00F231F6"/>
    <w:rsid w:val="00F23CA2"/>
    <w:rsid w:val="00F24B1F"/>
    <w:rsid w:val="00F25F6F"/>
    <w:rsid w:val="00F32BB7"/>
    <w:rsid w:val="00F4583B"/>
    <w:rsid w:val="00F47181"/>
    <w:rsid w:val="00F525B9"/>
    <w:rsid w:val="00F57C0A"/>
    <w:rsid w:val="00F61235"/>
    <w:rsid w:val="00F64E1D"/>
    <w:rsid w:val="00F6591B"/>
    <w:rsid w:val="00F72FF3"/>
    <w:rsid w:val="00F735D9"/>
    <w:rsid w:val="00F737D8"/>
    <w:rsid w:val="00F74E87"/>
    <w:rsid w:val="00F759B5"/>
    <w:rsid w:val="00F77FEB"/>
    <w:rsid w:val="00F83899"/>
    <w:rsid w:val="00F878F7"/>
    <w:rsid w:val="00F90C76"/>
    <w:rsid w:val="00F93A66"/>
    <w:rsid w:val="00F93C63"/>
    <w:rsid w:val="00FA164E"/>
    <w:rsid w:val="00FA5AA0"/>
    <w:rsid w:val="00FA6CB8"/>
    <w:rsid w:val="00FA6D77"/>
    <w:rsid w:val="00FB004B"/>
    <w:rsid w:val="00FB4554"/>
    <w:rsid w:val="00FB6B2B"/>
    <w:rsid w:val="00FB7183"/>
    <w:rsid w:val="00FB7EDE"/>
    <w:rsid w:val="00FC0A5D"/>
    <w:rsid w:val="00FC2006"/>
    <w:rsid w:val="00FC3DF2"/>
    <w:rsid w:val="00FC4DC1"/>
    <w:rsid w:val="00FC53D1"/>
    <w:rsid w:val="00FD1793"/>
    <w:rsid w:val="00FD2820"/>
    <w:rsid w:val="00FD4475"/>
    <w:rsid w:val="00FE0E1A"/>
    <w:rsid w:val="00FE1B41"/>
    <w:rsid w:val="00FE555A"/>
    <w:rsid w:val="00FE7D19"/>
    <w:rsid w:val="00FF18FF"/>
    <w:rsid w:val="00FF3AB3"/>
    <w:rsid w:val="00FF4F61"/>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5059"/>
    <w:pPr>
      <w:keepNext/>
      <w:keepLines/>
      <w:spacing w:before="120" w:after="0" w:line="240" w:lineRule="auto"/>
      <w:outlineLvl w:val="0"/>
    </w:pPr>
    <w:rPr>
      <w:rFonts w:ascii="Arial" w:eastAsiaTheme="majorEastAsia" w:hAnsi="Arial" w:cstheme="majorBidi"/>
      <w:b/>
      <w:sz w:val="36"/>
      <w:szCs w:val="32"/>
    </w:rPr>
  </w:style>
  <w:style w:type="paragraph" w:styleId="Heading2">
    <w:name w:val="heading 2"/>
    <w:basedOn w:val="Heading1"/>
    <w:next w:val="Normal"/>
    <w:link w:val="Heading2Char"/>
    <w:uiPriority w:val="9"/>
    <w:unhideWhenUsed/>
    <w:qFormat/>
    <w:rsid w:val="00180E9E"/>
    <w:pPr>
      <w:numPr>
        <w:ilvl w:val="1"/>
        <w:numId w:val="9"/>
      </w:numPr>
      <w:outlineLvl w:val="1"/>
    </w:pPr>
    <w:rPr>
      <w:sz w:val="26"/>
      <w:szCs w:val="26"/>
    </w:rPr>
  </w:style>
  <w:style w:type="paragraph" w:styleId="Heading3">
    <w:name w:val="heading 3"/>
    <w:basedOn w:val="Normal"/>
    <w:next w:val="Normal"/>
    <w:link w:val="Heading3Char"/>
    <w:uiPriority w:val="9"/>
    <w:unhideWhenUsed/>
    <w:qFormat/>
    <w:rsid w:val="00DA6395"/>
    <w:pPr>
      <w:keepNext/>
      <w:keepLines/>
      <w:numPr>
        <w:ilvl w:val="2"/>
        <w:numId w:val="9"/>
      </w:numPr>
      <w:spacing w:before="40" w:after="0"/>
      <w:outlineLvl w:val="2"/>
    </w:pPr>
    <w:rPr>
      <w:rFonts w:eastAsiaTheme="majorEastAsia" w:cstheme="minorHAnsi"/>
      <w:color w:val="1F3763" w:themeColor="accent1" w:themeShade="7F"/>
      <w:sz w:val="24"/>
      <w:szCs w:val="24"/>
    </w:rPr>
  </w:style>
  <w:style w:type="paragraph" w:styleId="Heading4">
    <w:name w:val="heading 4"/>
    <w:basedOn w:val="Normal"/>
    <w:next w:val="Normal"/>
    <w:link w:val="Heading4Char"/>
    <w:uiPriority w:val="9"/>
    <w:unhideWhenUsed/>
    <w:qFormat/>
    <w:rsid w:val="00DA6395"/>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442127"/>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2127"/>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2127"/>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2127"/>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2127"/>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5059"/>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180E9E"/>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DA6395"/>
    <w:rPr>
      <w:rFonts w:eastAsiaTheme="majorEastAsia" w:cstheme="minorHAnsi"/>
      <w:color w:val="1F3763" w:themeColor="accent1" w:themeShade="7F"/>
      <w:sz w:val="24"/>
      <w:szCs w:val="24"/>
    </w:rPr>
  </w:style>
  <w:style w:type="character" w:customStyle="1" w:styleId="Heading4Char">
    <w:name w:val="Heading 4 Char"/>
    <w:basedOn w:val="DefaultParagraphFont"/>
    <w:link w:val="Heading4"/>
    <w:uiPriority w:val="9"/>
    <w:rsid w:val="00DA6395"/>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44212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4212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4212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Paragraph">
    <w:name w:val="List Paragraph"/>
    <w:aliases w:val="Nad,Odstavec_muj,Table/Figure Heading,Colorful List - Accent 11,Dot pt,F5 List Paragraph,List Paragraph1,No Spacing1,List Paragraph Char Char Char,Indicator Text,Numbered Para 1,Bullet 1,Bullet Points,MAIN CONTENT,List Paragraph11,L,lp1"/>
    <w:basedOn w:val="Normal"/>
    <w:link w:val="ListParagraphChar"/>
    <w:uiPriority w:val="34"/>
    <w:qFormat/>
    <w:rsid w:val="00DE4C19"/>
    <w:pPr>
      <w:ind w:left="720"/>
      <w:contextualSpacing/>
    </w:pPr>
  </w:style>
  <w:style w:type="character" w:customStyle="1" w:styleId="ListParagraphChar">
    <w:name w:val="List Paragraph Char"/>
    <w:aliases w:val="Nad Char,Odstavec_muj Char,Table/Figure Heading Char,Colorful List - Accent 11 Char,Dot pt Char,F5 List Paragraph Char,List Paragraph1 Char,No Spacing1 Char,List Paragraph Char Char Char Char,Indicator Text Char,Numbered Para 1 Char"/>
    <w:basedOn w:val="DefaultParagraphFont"/>
    <w:link w:val="ListParagraph"/>
    <w:uiPriority w:val="34"/>
    <w:qFormat/>
    <w:locked/>
    <w:rsid w:val="00C91F39"/>
  </w:style>
  <w:style w:type="character" w:styleId="Hyperlink">
    <w:name w:val="Hyperlink"/>
    <w:basedOn w:val="DefaultParagraphFont"/>
    <w:uiPriority w:val="99"/>
    <w:unhideWhenUsed/>
    <w:rsid w:val="00DE4C19"/>
    <w:rPr>
      <w:color w:val="0563C1" w:themeColor="hyperlink"/>
      <w:u w:val="single"/>
    </w:rPr>
  </w:style>
  <w:style w:type="character" w:customStyle="1" w:styleId="UnresolvedMention1">
    <w:name w:val="Unresolved Mention1"/>
    <w:basedOn w:val="DefaultParagraphFont"/>
    <w:uiPriority w:val="99"/>
    <w:semiHidden/>
    <w:unhideWhenUsed/>
    <w:rsid w:val="00DE4C19"/>
    <w:rPr>
      <w:color w:val="808080"/>
      <w:shd w:val="clear" w:color="auto" w:fill="E6E6E6"/>
    </w:rPr>
  </w:style>
  <w:style w:type="paragraph" w:styleId="NormalWeb">
    <w:name w:val="Normal (Web)"/>
    <w:basedOn w:val="Normal"/>
    <w:uiPriority w:val="99"/>
    <w:unhideWhenUsed/>
    <w:rsid w:val="00CA315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styleId="EndnoteText">
    <w:name w:val="endnote text"/>
    <w:basedOn w:val="Normal"/>
    <w:link w:val="EndnoteTextChar"/>
    <w:uiPriority w:val="99"/>
    <w:semiHidden/>
    <w:rsid w:val="000A2383"/>
    <w:pPr>
      <w:overflowPunct w:val="0"/>
      <w:autoSpaceDE w:val="0"/>
      <w:autoSpaceDN w:val="0"/>
      <w:adjustRightInd w:val="0"/>
      <w:spacing w:before="120" w:after="0" w:line="240" w:lineRule="atLeast"/>
      <w:ind w:left="680" w:hanging="680"/>
      <w:jc w:val="both"/>
      <w:textAlignment w:val="baseline"/>
    </w:pPr>
    <w:rPr>
      <w:rFonts w:ascii="Tahoma" w:eastAsia="Times New Roman" w:hAnsi="Tahoma" w:cs="Times New Roman"/>
      <w:sz w:val="20"/>
      <w:szCs w:val="20"/>
    </w:rPr>
  </w:style>
  <w:style w:type="character" w:customStyle="1" w:styleId="EndnoteTextChar">
    <w:name w:val="Endnote Text Char"/>
    <w:basedOn w:val="DefaultParagraphFont"/>
    <w:link w:val="EndnoteText"/>
    <w:uiPriority w:val="99"/>
    <w:semiHidden/>
    <w:rsid w:val="000A2383"/>
    <w:rPr>
      <w:rFonts w:ascii="Tahoma" w:eastAsia="Times New Roman" w:hAnsi="Tahoma" w:cs="Times New Roman"/>
      <w:sz w:val="20"/>
      <w:szCs w:val="20"/>
    </w:rPr>
  </w:style>
  <w:style w:type="character" w:styleId="EndnoteReference">
    <w:name w:val="endnote reference"/>
    <w:semiHidden/>
    <w:rsid w:val="000A2383"/>
    <w:rPr>
      <w:rFonts w:ascii="Tahoma" w:hAnsi="Tahoma"/>
      <w:dstrike w:val="0"/>
      <w:sz w:val="20"/>
      <w:szCs w:val="20"/>
      <w:vertAlign w:val="baseline"/>
    </w:rPr>
  </w:style>
  <w:style w:type="character" w:styleId="FollowedHyperlink">
    <w:name w:val="FollowedHyperlink"/>
    <w:basedOn w:val="DefaultParagraphFon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leGrid">
    <w:name w:val="Table Grid"/>
    <w:basedOn w:val="TableNorma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53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368"/>
  </w:style>
  <w:style w:type="paragraph" w:styleId="Footer">
    <w:name w:val="footer"/>
    <w:basedOn w:val="Normal"/>
    <w:link w:val="FooterChar"/>
    <w:uiPriority w:val="99"/>
    <w:unhideWhenUsed/>
    <w:rsid w:val="00C953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368"/>
  </w:style>
  <w:style w:type="paragraph" w:styleId="TOC1">
    <w:name w:val="toc 1"/>
    <w:basedOn w:val="Normal"/>
    <w:next w:val="Normal"/>
    <w:autoRedefine/>
    <w:uiPriority w:val="39"/>
    <w:unhideWhenUsed/>
    <w:rsid w:val="00196B63"/>
    <w:pPr>
      <w:tabs>
        <w:tab w:val="left" w:pos="426"/>
        <w:tab w:val="left" w:pos="993"/>
        <w:tab w:val="right" w:leader="dot" w:pos="9062"/>
      </w:tabs>
      <w:spacing w:before="120" w:after="120" w:line="240" w:lineRule="auto"/>
      <w:ind w:left="426" w:hanging="426"/>
    </w:pPr>
    <w:rPr>
      <w:rFonts w:ascii="Arial" w:eastAsia="Times New Roman" w:hAnsi="Arial" w:cs="Arial"/>
      <w:bCs/>
      <w:noProof/>
      <w:color w:val="000000" w:themeColor="text1"/>
      <w:szCs w:val="24"/>
      <w:lang w:val="en-US" w:eastAsia="de-DE"/>
    </w:rPr>
  </w:style>
  <w:style w:type="paragraph" w:styleId="TOC2">
    <w:name w:val="toc 2"/>
    <w:basedOn w:val="Normal"/>
    <w:next w:val="Normal"/>
    <w:autoRedefine/>
    <w:uiPriority w:val="39"/>
    <w:unhideWhenUsed/>
    <w:rsid w:val="00C82BFA"/>
    <w:pPr>
      <w:tabs>
        <w:tab w:val="left" w:pos="1701"/>
        <w:tab w:val="right" w:leader="dot" w:pos="9062"/>
      </w:tabs>
      <w:spacing w:before="120" w:after="0" w:line="240" w:lineRule="auto"/>
      <w:ind w:left="992" w:hanging="567"/>
    </w:pPr>
    <w:rPr>
      <w:rFonts w:ascii="Arial" w:eastAsiaTheme="majorEastAsia" w:hAnsi="Arial" w:cstheme="majorBidi"/>
      <w:b/>
      <w:noProof/>
      <w:color w:val="000000" w:themeColor="text1"/>
      <w:lang w:eastAsia="de-DE"/>
    </w:rPr>
  </w:style>
  <w:style w:type="paragraph" w:styleId="TOC3">
    <w:name w:val="toc 3"/>
    <w:basedOn w:val="Normal"/>
    <w:next w:val="Normal"/>
    <w:autoRedefine/>
    <w:uiPriority w:val="39"/>
    <w:unhideWhenUsed/>
    <w:rsid w:val="00322A31"/>
    <w:pPr>
      <w:tabs>
        <w:tab w:val="right" w:leader="dot" w:pos="9062"/>
      </w:tabs>
      <w:spacing w:after="0" w:line="240" w:lineRule="auto"/>
      <w:ind w:left="2268" w:hanging="708"/>
    </w:pPr>
    <w:rPr>
      <w:rFonts w:ascii="Arial" w:eastAsia="Times New Roman" w:hAnsi="Arial" w:cs="Arial"/>
      <w:iCs/>
      <w:noProof/>
      <w:color w:val="000000" w:themeColor="text1"/>
      <w:sz w:val="20"/>
      <w:szCs w:val="20"/>
      <w:lang w:val="fr-FR" w:eastAsia="de-DE"/>
    </w:rPr>
  </w:style>
  <w:style w:type="paragraph" w:styleId="TOC4">
    <w:name w:val="toc 4"/>
    <w:basedOn w:val="Normal"/>
    <w:next w:val="Normal"/>
    <w:autoRedefine/>
    <w:uiPriority w:val="39"/>
    <w:unhideWhenUsed/>
    <w:rsid w:val="00924FB4"/>
    <w:pPr>
      <w:tabs>
        <w:tab w:val="left" w:pos="3119"/>
        <w:tab w:val="right" w:leader="dot" w:pos="9016"/>
      </w:tabs>
      <w:spacing w:after="0"/>
      <w:ind w:left="3119" w:hanging="851"/>
    </w:pPr>
  </w:style>
  <w:style w:type="paragraph" w:customStyle="1" w:styleId="S5G-H1-numbered">
    <w:name w:val="S5G - H1 - numbered"/>
    <w:basedOn w:val="Heading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196B63"/>
    <w:pPr>
      <w:keepNext/>
      <w:keepLines/>
      <w:numPr>
        <w:ilvl w:val="1"/>
        <w:numId w:val="2"/>
      </w:numPr>
      <w:spacing w:before="360" w:after="240" w:line="240" w:lineRule="auto"/>
      <w:jc w:val="both"/>
      <w:outlineLvl w:val="1"/>
    </w:pPr>
    <w:rPr>
      <w:rFonts w:ascii="Times New Roman" w:eastAsia="Times New Roman" w:hAnsi="Times New Roman" w:cs="Times New Roman"/>
      <w:b/>
      <w:bCs/>
      <w:color w:val="0061B0"/>
      <w:sz w:val="28"/>
      <w:szCs w:val="20"/>
      <w:lang w:eastAsia="de-DE"/>
    </w:rPr>
  </w:style>
  <w:style w:type="character" w:styleId="Strong">
    <w:name w:val="Strong"/>
    <w:basedOn w:val="DefaultParagraphFont"/>
    <w:uiPriority w:val="22"/>
    <w:qFormat/>
    <w:rsid w:val="00520A9B"/>
    <w:rPr>
      <w:b/>
      <w:bCs/>
    </w:rPr>
  </w:style>
  <w:style w:type="paragraph" w:customStyle="1" w:styleId="textbox">
    <w:name w:val="textbox"/>
    <w:basedOn w:val="Normal"/>
    <w:rsid w:val="00D14E6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A1">
    <w:name w:val="A1"/>
    <w:uiPriority w:val="99"/>
    <w:rsid w:val="00AC67C1"/>
    <w:rPr>
      <w:rFonts w:cs="EC Square Sans Pro"/>
      <w:b/>
      <w:bCs/>
      <w:color w:val="000000"/>
      <w:sz w:val="50"/>
      <w:szCs w:val="50"/>
    </w:rPr>
  </w:style>
  <w:style w:type="paragraph" w:styleId="Bibliography">
    <w:name w:val="Bibliography"/>
    <w:basedOn w:val="Normal"/>
    <w:next w:val="Normal"/>
    <w:uiPriority w:val="37"/>
    <w:unhideWhenUsed/>
    <w:rsid w:val="0002198A"/>
  </w:style>
  <w:style w:type="paragraph" w:customStyle="1" w:styleId="CitaviBibliographyEntry">
    <w:name w:val="Citavi Bibliography Entry"/>
    <w:basedOn w:val="Normal"/>
    <w:link w:val="CitaviBibliographyEntryChar"/>
    <w:rsid w:val="00B71497"/>
    <w:pPr>
      <w:tabs>
        <w:tab w:val="left" w:pos="567"/>
      </w:tabs>
      <w:spacing w:after="0"/>
      <w:ind w:left="567" w:hanging="567"/>
    </w:pPr>
  </w:style>
  <w:style w:type="character" w:customStyle="1" w:styleId="CitaviBibliographyEntryChar">
    <w:name w:val="Citavi Bibliography Entry Char"/>
    <w:basedOn w:val="DefaultParagraphFont"/>
    <w:link w:val="CitaviBibliographyEntry"/>
    <w:rsid w:val="00B71497"/>
  </w:style>
  <w:style w:type="paragraph" w:customStyle="1" w:styleId="CitaviBibliographyHeading">
    <w:name w:val="Citavi Bibliography Heading"/>
    <w:basedOn w:val="Heading1"/>
    <w:link w:val="CitaviBibliographyHeadingChar"/>
    <w:rsid w:val="00B71497"/>
    <w:pPr>
      <w:numPr>
        <w:numId w:val="1"/>
      </w:numPr>
    </w:pPr>
  </w:style>
  <w:style w:type="character" w:customStyle="1" w:styleId="CitaviBibliographyHeadingChar">
    <w:name w:val="Citavi Bibliography Heading Char"/>
    <w:basedOn w:val="DefaultParagraphFont"/>
    <w:link w:val="CitaviBibliographyHeading"/>
    <w:rsid w:val="00B71497"/>
    <w:rPr>
      <w:rFonts w:ascii="Arial" w:eastAsiaTheme="majorEastAsia" w:hAnsi="Arial" w:cstheme="majorBidi"/>
      <w:b/>
      <w:sz w:val="36"/>
      <w:szCs w:val="32"/>
    </w:rPr>
  </w:style>
  <w:style w:type="paragraph" w:styleId="BalloonText">
    <w:name w:val="Balloon Text"/>
    <w:basedOn w:val="Normal"/>
    <w:link w:val="BalloonTextChar"/>
    <w:uiPriority w:val="99"/>
    <w:semiHidden/>
    <w:unhideWhenUsed/>
    <w:rsid w:val="003E5C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CB7"/>
    <w:rPr>
      <w:rFonts w:ascii="Segoe UI" w:hAnsi="Segoe UI" w:cs="Segoe UI"/>
      <w:sz w:val="18"/>
      <w:szCs w:val="18"/>
    </w:rPr>
  </w:style>
  <w:style w:type="paragraph" w:styleId="Caption">
    <w:name w:val="caption"/>
    <w:aliases w:val="ECC Caption,Ca"/>
    <w:basedOn w:val="Normal"/>
    <w:next w:val="Normal"/>
    <w:uiPriority w:val="35"/>
    <w:unhideWhenUsed/>
    <w:qFormat/>
    <w:rsid w:val="002A508D"/>
    <w:pPr>
      <w:spacing w:before="120" w:after="200" w:line="240" w:lineRule="auto"/>
      <w:jc w:val="both"/>
    </w:pPr>
    <w:rPr>
      <w:rFonts w:eastAsiaTheme="minorEastAsia"/>
      <w:b/>
      <w:bCs/>
      <w:color w:val="4472C4" w:themeColor="accent1"/>
      <w:sz w:val="18"/>
      <w:szCs w:val="18"/>
      <w:lang w:eastAsia="de-DE"/>
    </w:rPr>
  </w:style>
  <w:style w:type="paragraph" w:styleId="NoSpacing">
    <w:name w:val="No Spacing"/>
    <w:uiPriority w:val="1"/>
    <w:qFormat/>
    <w:rsid w:val="002A508D"/>
    <w:pPr>
      <w:spacing w:after="0" w:line="240" w:lineRule="auto"/>
      <w:jc w:val="both"/>
    </w:pPr>
  </w:style>
  <w:style w:type="character" w:customStyle="1" w:styleId="st">
    <w:name w:val="st"/>
    <w:basedOn w:val="DefaultParagraphFont"/>
    <w:rsid w:val="00651DF3"/>
  </w:style>
  <w:style w:type="character" w:customStyle="1" w:styleId="ReferenceChar">
    <w:name w:val="Reference Char"/>
    <w:basedOn w:val="DefaultParagraphFont"/>
    <w:link w:val="Reference"/>
    <w:locked/>
    <w:rsid w:val="006A0763"/>
  </w:style>
  <w:style w:type="paragraph" w:customStyle="1" w:styleId="Reference">
    <w:name w:val="Reference"/>
    <w:basedOn w:val="Normal"/>
    <w:link w:val="ReferenceChar"/>
    <w:qFormat/>
    <w:rsid w:val="006A0763"/>
    <w:pPr>
      <w:numPr>
        <w:numId w:val="5"/>
      </w:numPr>
      <w:spacing w:after="0" w:line="240" w:lineRule="auto"/>
      <w:ind w:left="567" w:hanging="567"/>
      <w:contextualSpacing/>
    </w:pPr>
  </w:style>
  <w:style w:type="character" w:styleId="Emphasis">
    <w:name w:val="Emphasis"/>
    <w:basedOn w:val="DefaultParagraphFont"/>
    <w:uiPriority w:val="20"/>
    <w:qFormat/>
    <w:rsid w:val="006D553F"/>
    <w:rPr>
      <w:i/>
      <w:iCs/>
    </w:rPr>
  </w:style>
  <w:style w:type="paragraph" w:styleId="ListNumber">
    <w:name w:val="List Number"/>
    <w:basedOn w:val="ListParagraph"/>
    <w:uiPriority w:val="9"/>
    <w:qFormat/>
    <w:rsid w:val="00C91F39"/>
    <w:pPr>
      <w:numPr>
        <w:numId w:val="6"/>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CommentReference">
    <w:name w:val="annotation reference"/>
    <w:basedOn w:val="DefaultParagraphFont"/>
    <w:uiPriority w:val="99"/>
    <w:unhideWhenUsed/>
    <w:rsid w:val="00AE6386"/>
    <w:rPr>
      <w:sz w:val="16"/>
      <w:szCs w:val="16"/>
    </w:rPr>
  </w:style>
  <w:style w:type="paragraph" w:styleId="CommentText">
    <w:name w:val="annotation text"/>
    <w:basedOn w:val="Normal"/>
    <w:link w:val="CommentTextChar"/>
    <w:uiPriority w:val="99"/>
    <w:unhideWhenUsed/>
    <w:rsid w:val="00AE6386"/>
    <w:pPr>
      <w:spacing w:line="240" w:lineRule="auto"/>
    </w:pPr>
    <w:rPr>
      <w:sz w:val="20"/>
      <w:szCs w:val="20"/>
    </w:rPr>
  </w:style>
  <w:style w:type="character" w:customStyle="1" w:styleId="CommentTextChar">
    <w:name w:val="Comment Text Char"/>
    <w:basedOn w:val="DefaultParagraphFont"/>
    <w:link w:val="CommentText"/>
    <w:uiPriority w:val="99"/>
    <w:rsid w:val="00AE6386"/>
    <w:rPr>
      <w:sz w:val="20"/>
      <w:szCs w:val="20"/>
    </w:rPr>
  </w:style>
  <w:style w:type="paragraph" w:styleId="CommentSubject">
    <w:name w:val="annotation subject"/>
    <w:basedOn w:val="CommentText"/>
    <w:next w:val="CommentText"/>
    <w:link w:val="CommentSubjectChar"/>
    <w:uiPriority w:val="99"/>
    <w:semiHidden/>
    <w:unhideWhenUsed/>
    <w:rsid w:val="00C72DB8"/>
    <w:rPr>
      <w:b/>
      <w:bCs/>
    </w:rPr>
  </w:style>
  <w:style w:type="character" w:customStyle="1" w:styleId="CommentSubjectChar">
    <w:name w:val="Comment Subject Char"/>
    <w:basedOn w:val="CommentTextChar"/>
    <w:link w:val="CommentSubject"/>
    <w:uiPriority w:val="99"/>
    <w:semiHidden/>
    <w:rsid w:val="00C72DB8"/>
    <w:rPr>
      <w:b/>
      <w:bCs/>
      <w:sz w:val="20"/>
      <w:szCs w:val="20"/>
    </w:rPr>
  </w:style>
  <w:style w:type="character" w:customStyle="1" w:styleId="UnresolvedMention10">
    <w:name w:val="Unresolved Mention1"/>
    <w:basedOn w:val="DefaultParagraphFont"/>
    <w:uiPriority w:val="99"/>
    <w:semiHidden/>
    <w:unhideWhenUsed/>
    <w:rsid w:val="00652FF5"/>
    <w:rPr>
      <w:color w:val="808080"/>
      <w:shd w:val="clear" w:color="auto" w:fill="E6E6E6"/>
    </w:rPr>
  </w:style>
  <w:style w:type="character" w:customStyle="1" w:styleId="apple-converted-space">
    <w:name w:val="apple-converted-space"/>
    <w:basedOn w:val="DefaultParagraphFont"/>
    <w:rsid w:val="00652FF5"/>
  </w:style>
  <w:style w:type="character" w:customStyle="1" w:styleId="A9">
    <w:name w:val="A9"/>
    <w:uiPriority w:val="99"/>
    <w:rsid w:val="00BD7F48"/>
    <w:rPr>
      <w:rFonts w:cs="Museo Sans 900"/>
      <w:b/>
      <w:bCs/>
      <w:i/>
      <w:iCs/>
      <w:color w:val="000000"/>
      <w:sz w:val="22"/>
      <w:szCs w:val="22"/>
    </w:rPr>
  </w:style>
  <w:style w:type="paragraph" w:styleId="TOC5">
    <w:name w:val="toc 5"/>
    <w:basedOn w:val="Normal"/>
    <w:next w:val="Normal"/>
    <w:autoRedefine/>
    <w:uiPriority w:val="39"/>
    <w:unhideWhenUsed/>
    <w:rsid w:val="00B73CA8"/>
    <w:pPr>
      <w:spacing w:after="100"/>
      <w:ind w:left="880"/>
    </w:pPr>
    <w:rPr>
      <w:rFonts w:eastAsiaTheme="minorEastAsia"/>
      <w:lang w:val="de-DE" w:eastAsia="de-DE"/>
    </w:rPr>
  </w:style>
  <w:style w:type="paragraph" w:styleId="TOC6">
    <w:name w:val="toc 6"/>
    <w:basedOn w:val="Normal"/>
    <w:next w:val="Normal"/>
    <w:autoRedefine/>
    <w:uiPriority w:val="39"/>
    <w:unhideWhenUsed/>
    <w:rsid w:val="00B73CA8"/>
    <w:pPr>
      <w:spacing w:after="100"/>
      <w:ind w:left="1100"/>
    </w:pPr>
    <w:rPr>
      <w:rFonts w:eastAsiaTheme="minorEastAsia"/>
      <w:lang w:val="de-DE" w:eastAsia="de-DE"/>
    </w:rPr>
  </w:style>
  <w:style w:type="paragraph" w:styleId="TOC7">
    <w:name w:val="toc 7"/>
    <w:basedOn w:val="Normal"/>
    <w:next w:val="Normal"/>
    <w:autoRedefine/>
    <w:uiPriority w:val="39"/>
    <w:unhideWhenUsed/>
    <w:rsid w:val="00B73CA8"/>
    <w:pPr>
      <w:spacing w:after="100"/>
      <w:ind w:left="1320"/>
    </w:pPr>
    <w:rPr>
      <w:rFonts w:eastAsiaTheme="minorEastAsia"/>
      <w:lang w:val="de-DE" w:eastAsia="de-DE"/>
    </w:rPr>
  </w:style>
  <w:style w:type="paragraph" w:styleId="TOC8">
    <w:name w:val="toc 8"/>
    <w:basedOn w:val="Normal"/>
    <w:next w:val="Normal"/>
    <w:autoRedefine/>
    <w:uiPriority w:val="39"/>
    <w:unhideWhenUsed/>
    <w:rsid w:val="00B73CA8"/>
    <w:pPr>
      <w:spacing w:after="100"/>
      <w:ind w:left="1540"/>
    </w:pPr>
    <w:rPr>
      <w:rFonts w:eastAsiaTheme="minorEastAsia"/>
      <w:lang w:val="de-DE" w:eastAsia="de-DE"/>
    </w:rPr>
  </w:style>
  <w:style w:type="paragraph" w:styleId="TOC9">
    <w:name w:val="toc 9"/>
    <w:basedOn w:val="Normal"/>
    <w:next w:val="Normal"/>
    <w:autoRedefine/>
    <w:uiPriority w:val="39"/>
    <w:unhideWhenUsed/>
    <w:rsid w:val="00B73CA8"/>
    <w:pPr>
      <w:spacing w:after="100"/>
      <w:ind w:left="1760"/>
    </w:pPr>
    <w:rPr>
      <w:rFonts w:eastAsiaTheme="minorEastAsia"/>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1B71C2"/>
    <w:pPr>
      <w:spacing w:after="120" w:line="240" w:lineRule="auto"/>
      <w:jc w:val="both"/>
    </w:pPr>
    <w:rPr>
      <w:color w:val="000000"/>
      <w:szCs w:val="24"/>
      <w:lang w:eastAsia="en-GB"/>
    </w:rPr>
  </w:style>
  <w:style w:type="paragraph" w:customStyle="1" w:styleId="paragrafo">
    <w:name w:val="paragrafo"/>
    <w:basedOn w:val="Normal"/>
    <w:link w:val="paragrafoCarattere"/>
    <w:qFormat/>
    <w:rsid w:val="00601161"/>
    <w:pPr>
      <w:jc w:val="both"/>
    </w:pPr>
    <w:rPr>
      <w:lang w:val="en-US"/>
    </w:rPr>
  </w:style>
  <w:style w:type="character" w:customStyle="1" w:styleId="paragrafoCarattere">
    <w:name w:val="paragrafo Carattere"/>
    <w:basedOn w:val="DefaultParagraphFont"/>
    <w:link w:val="paragrafo"/>
    <w:rsid w:val="00601161"/>
    <w:rPr>
      <w:lang w:val="en-US"/>
    </w:rPr>
  </w:style>
  <w:style w:type="character" w:customStyle="1" w:styleId="y0nh2b">
    <w:name w:val="y0nh2b"/>
    <w:basedOn w:val="DefaultParagraphFont"/>
    <w:rsid w:val="00601161"/>
  </w:style>
  <w:style w:type="paragraph" w:styleId="FootnoteText">
    <w:name w:val="footnote text"/>
    <w:basedOn w:val="Normal"/>
    <w:link w:val="FootnoteTextChar"/>
    <w:uiPriority w:val="99"/>
    <w:unhideWhenUsed/>
    <w:rsid w:val="00601161"/>
    <w:pPr>
      <w:spacing w:after="0" w:line="240" w:lineRule="auto"/>
    </w:pPr>
    <w:rPr>
      <w:sz w:val="20"/>
      <w:szCs w:val="20"/>
    </w:rPr>
  </w:style>
  <w:style w:type="character" w:customStyle="1" w:styleId="FootnoteTextChar">
    <w:name w:val="Footnote Text Char"/>
    <w:basedOn w:val="DefaultParagraphFont"/>
    <w:link w:val="FootnoteText"/>
    <w:uiPriority w:val="99"/>
    <w:rsid w:val="00601161"/>
    <w:rPr>
      <w:sz w:val="20"/>
      <w:szCs w:val="20"/>
    </w:rPr>
  </w:style>
  <w:style w:type="character" w:styleId="FootnoteReference">
    <w:name w:val="footnote reference"/>
    <w:basedOn w:val="DefaultParagraphFont"/>
    <w:uiPriority w:val="99"/>
    <w:unhideWhenUsed/>
    <w:rsid w:val="00601161"/>
    <w:rPr>
      <w:vertAlign w:val="superscript"/>
    </w:rPr>
  </w:style>
  <w:style w:type="character" w:customStyle="1" w:styleId="st1">
    <w:name w:val="st1"/>
    <w:basedOn w:val="DefaultParagraphFont"/>
    <w:rsid w:val="00330D96"/>
  </w:style>
  <w:style w:type="paragraph" w:customStyle="1" w:styleId="N1">
    <w:name w:val="N1"/>
    <w:basedOn w:val="Normal"/>
    <w:link w:val="N1Char"/>
    <w:qFormat/>
    <w:rsid w:val="00AC4649"/>
    <w:pPr>
      <w:spacing w:after="0" w:line="240" w:lineRule="auto"/>
      <w:ind w:left="634"/>
    </w:pPr>
    <w:rPr>
      <w:rFonts w:eastAsiaTheme="minorEastAsia" w:cstheme="minorHAnsi"/>
      <w:lang w:val="en-US" w:eastAsia="ko-KR" w:bidi="hi-IN"/>
    </w:rPr>
  </w:style>
  <w:style w:type="character" w:customStyle="1" w:styleId="N1Char">
    <w:name w:val="N1 Char"/>
    <w:basedOn w:val="DefaultParagraphFont"/>
    <w:link w:val="N1"/>
    <w:rsid w:val="00AC4649"/>
    <w:rPr>
      <w:rFonts w:eastAsiaTheme="minorEastAsia" w:cstheme="minorHAnsi"/>
      <w:lang w:val="en-US" w:eastAsia="ko-KR" w:bidi="hi-IN"/>
    </w:rPr>
  </w:style>
  <w:style w:type="character" w:customStyle="1" w:styleId="flytitle-and-titletitle19">
    <w:name w:val="flytitle-and-title__title19"/>
    <w:basedOn w:val="DefaultParagraphFon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DefaultParagraphFont"/>
    <w:rsid w:val="0049307C"/>
  </w:style>
  <w:style w:type="paragraph" w:styleId="PlainText">
    <w:name w:val="Plain Text"/>
    <w:basedOn w:val="Normal"/>
    <w:link w:val="PlainTextChar"/>
    <w:uiPriority w:val="99"/>
    <w:unhideWhenUsed/>
    <w:rsid w:val="00F525B9"/>
    <w:pPr>
      <w:spacing w:after="0" w:line="240" w:lineRule="auto"/>
    </w:pPr>
    <w:rPr>
      <w:rFonts w:ascii="Calibri" w:hAnsi="Calibri"/>
      <w:color w:val="000000" w:themeColor="text1"/>
      <w:szCs w:val="21"/>
      <w:lang w:val="fr-CH"/>
    </w:rPr>
  </w:style>
  <w:style w:type="character" w:customStyle="1" w:styleId="PlainTextChar">
    <w:name w:val="Plain Text Char"/>
    <w:basedOn w:val="DefaultParagraphFont"/>
    <w:link w:val="PlainText"/>
    <w:uiPriority w:val="99"/>
    <w:rsid w:val="00F525B9"/>
    <w:rPr>
      <w:rFonts w:ascii="Calibri" w:hAnsi="Calibri"/>
      <w:color w:val="000000" w:themeColor="text1"/>
      <w:szCs w:val="21"/>
      <w:lang w:val="fr-CH"/>
    </w:rPr>
  </w:style>
  <w:style w:type="paragraph" w:styleId="Revision">
    <w:name w:val="Revision"/>
    <w:hidden/>
    <w:uiPriority w:val="99"/>
    <w:semiHidden/>
    <w:rsid w:val="00AB151D"/>
    <w:pPr>
      <w:spacing w:after="0" w:line="240" w:lineRule="auto"/>
    </w:pPr>
  </w:style>
  <w:style w:type="character" w:customStyle="1" w:styleId="UnresolvedMention2">
    <w:name w:val="Unresolved Mention2"/>
    <w:basedOn w:val="DefaultParagraphFont"/>
    <w:uiPriority w:val="99"/>
    <w:semiHidden/>
    <w:unhideWhenUsed/>
    <w:rsid w:val="00F25F6F"/>
    <w:rPr>
      <w:color w:val="808080"/>
      <w:shd w:val="clear" w:color="auto" w:fill="E6E6E6"/>
    </w:rPr>
  </w:style>
  <w:style w:type="paragraph" w:customStyle="1" w:styleId="ECCLetterHead">
    <w:name w:val="ECC Letter Head"/>
    <w:basedOn w:val="Normal"/>
    <w:link w:val="ECCLetterHeadZchn"/>
    <w:qFormat/>
    <w:rsid w:val="001E3DA2"/>
    <w:pPr>
      <w:tabs>
        <w:tab w:val="right" w:pos="4750"/>
      </w:tabs>
      <w:spacing w:before="120" w:after="60" w:line="240" w:lineRule="auto"/>
      <w:jc w:val="both"/>
    </w:pPr>
    <w:rPr>
      <w:rFonts w:ascii="Arial" w:eastAsia="Calibri" w:hAnsi="Arial" w:cs="Times New Roman"/>
      <w:b/>
      <w:szCs w:val="20"/>
    </w:rPr>
  </w:style>
  <w:style w:type="character" w:customStyle="1" w:styleId="ECCLetterHeadZchn">
    <w:name w:val="ECC Letter Head Zchn"/>
    <w:basedOn w:val="DefaultParagraphFont"/>
    <w:link w:val="ECCLetterHead"/>
    <w:rsid w:val="001E3DA2"/>
    <w:rPr>
      <w:rFonts w:ascii="Arial" w:eastAsia="Calibri" w:hAnsi="Arial" w:cs="Times New Roman"/>
      <w:b/>
      <w:szCs w:val="20"/>
    </w:rPr>
  </w:style>
  <w:style w:type="paragraph" w:styleId="Title">
    <w:name w:val="Title"/>
    <w:basedOn w:val="Normal"/>
    <w:next w:val="Normal"/>
    <w:link w:val="TitleChar"/>
    <w:uiPriority w:val="10"/>
    <w:qFormat/>
    <w:rsid w:val="001E3DA2"/>
    <w:pPr>
      <w:spacing w:after="0" w:line="240" w:lineRule="auto"/>
      <w:contextualSpacing/>
    </w:pPr>
    <w:rPr>
      <w:rFonts w:asciiTheme="majorHAnsi" w:eastAsiaTheme="majorEastAsia" w:hAnsiTheme="majorHAnsi" w:cstheme="majorBidi"/>
      <w:spacing w:val="-10"/>
      <w:kern w:val="28"/>
      <w:sz w:val="56"/>
      <w:szCs w:val="56"/>
      <w:lang w:val="fi-FI"/>
    </w:rPr>
  </w:style>
  <w:style w:type="character" w:customStyle="1" w:styleId="TitleChar">
    <w:name w:val="Title Char"/>
    <w:basedOn w:val="DefaultParagraphFont"/>
    <w:link w:val="Title"/>
    <w:uiPriority w:val="10"/>
    <w:rsid w:val="001E3DA2"/>
    <w:rPr>
      <w:rFonts w:asciiTheme="majorHAnsi" w:eastAsiaTheme="majorEastAsia" w:hAnsiTheme="majorHAnsi" w:cstheme="majorBidi"/>
      <w:spacing w:val="-10"/>
      <w:kern w:val="28"/>
      <w:sz w:val="56"/>
      <w:szCs w:val="56"/>
      <w:lang w:val="fi-FI"/>
    </w:rPr>
  </w:style>
  <w:style w:type="paragraph" w:styleId="BodyText">
    <w:name w:val="Body Text"/>
    <w:basedOn w:val="Normal"/>
    <w:link w:val="BodyTextChar"/>
    <w:uiPriority w:val="99"/>
    <w:unhideWhenUsed/>
    <w:rsid w:val="0037183E"/>
    <w:pPr>
      <w:spacing w:after="60" w:line="240" w:lineRule="auto"/>
      <w:jc w:val="both"/>
    </w:pPr>
    <w:rPr>
      <w:lang w:val="en-US"/>
    </w:rPr>
  </w:style>
  <w:style w:type="character" w:customStyle="1" w:styleId="BodyTextChar">
    <w:name w:val="Body Text Char"/>
    <w:basedOn w:val="DefaultParagraphFont"/>
    <w:link w:val="BodyText"/>
    <w:uiPriority w:val="99"/>
    <w:rsid w:val="0037183E"/>
    <w:rPr>
      <w:lang w:val="en-US"/>
    </w:rPr>
  </w:style>
  <w:style w:type="paragraph" w:styleId="ListBullet">
    <w:name w:val="List Bullet"/>
    <w:basedOn w:val="Normal"/>
    <w:uiPriority w:val="99"/>
    <w:unhideWhenUsed/>
    <w:rsid w:val="0037183E"/>
    <w:pPr>
      <w:numPr>
        <w:numId w:val="15"/>
      </w:numPr>
      <w:spacing w:line="240" w:lineRule="auto"/>
      <w:ind w:left="357" w:hanging="357"/>
      <w:contextualSpacing/>
    </w:pPr>
    <w:rPr>
      <w:lang w:val="en-US"/>
    </w:rPr>
  </w:style>
  <w:style w:type="paragraph" w:styleId="TOCHeading">
    <w:name w:val="TOC Heading"/>
    <w:basedOn w:val="Heading1"/>
    <w:next w:val="Normal"/>
    <w:uiPriority w:val="39"/>
    <w:unhideWhenUsed/>
    <w:qFormat/>
    <w:rsid w:val="00DE7527"/>
    <w:pPr>
      <w:spacing w:before="240" w:line="259" w:lineRule="auto"/>
      <w:outlineLvl w:val="9"/>
    </w:pPr>
    <w:rPr>
      <w:rFonts w:asciiTheme="majorHAnsi" w:hAnsiTheme="majorHAnsi"/>
      <w:b w:val="0"/>
      <w:color w:val="2F5496" w:themeColor="accent1" w:themeShade="BF"/>
      <w:sz w:val="32"/>
      <w:lang w:val="en-US"/>
    </w:rPr>
  </w:style>
  <w:style w:type="character" w:customStyle="1" w:styleId="Mencinsinresolver1">
    <w:name w:val="Mención sin resolver1"/>
    <w:basedOn w:val="DefaultParagraphFont"/>
    <w:uiPriority w:val="99"/>
    <w:semiHidden/>
    <w:unhideWhenUsed/>
    <w:rsid w:val="00E90061"/>
    <w:rPr>
      <w:color w:val="808080"/>
      <w:shd w:val="clear" w:color="auto" w:fill="E6E6E6"/>
    </w:rPr>
  </w:style>
  <w:style w:type="paragraph" w:customStyle="1" w:styleId="CharChar1Char1CharChar">
    <w:name w:val="Char Char1 Char1 Char Char"/>
    <w:basedOn w:val="Normal"/>
    <w:uiPriority w:val="99"/>
    <w:rsid w:val="00E90061"/>
    <w:pPr>
      <w:spacing w:line="240" w:lineRule="exact"/>
    </w:pPr>
    <w:rPr>
      <w:rFonts w:ascii="Tahoma" w:eastAsia="Times New Roman" w:hAnsi="Tahoma" w:cs="Times New Roman"/>
      <w:sz w:val="20"/>
      <w:szCs w:val="20"/>
      <w:lang w:val="en-US"/>
    </w:rPr>
  </w:style>
  <w:style w:type="table" w:styleId="TableGridLight">
    <w:name w:val="Grid Table Light"/>
    <w:basedOn w:val="TableNormal"/>
    <w:uiPriority w:val="40"/>
    <w:rsid w:val="00232F51"/>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uthors">
    <w:name w:val="authors"/>
    <w:basedOn w:val="DefaultParagraphFont"/>
    <w:rsid w:val="00FF4F61"/>
  </w:style>
  <w:style w:type="character" w:customStyle="1" w:styleId="Ttulo1">
    <w:name w:val="Título1"/>
    <w:basedOn w:val="DefaultParagraphFont"/>
    <w:rsid w:val="00FF4F61"/>
  </w:style>
  <w:style w:type="character" w:customStyle="1" w:styleId="excerpt">
    <w:name w:val="excerpt"/>
    <w:basedOn w:val="DefaultParagraphFont"/>
    <w:rsid w:val="00FF4F61"/>
  </w:style>
  <w:style w:type="paragraph" w:customStyle="1" w:styleId="paragraph">
    <w:name w:val="paragraph"/>
    <w:basedOn w:val="Normal"/>
    <w:rsid w:val="002D32F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run">
    <w:name w:val="textrun"/>
    <w:basedOn w:val="DefaultParagraphFont"/>
    <w:rsid w:val="002D32F2"/>
  </w:style>
  <w:style w:type="character" w:customStyle="1" w:styleId="normaltextrun">
    <w:name w:val="normaltextrun"/>
    <w:basedOn w:val="DefaultParagraphFont"/>
    <w:rsid w:val="002D32F2"/>
  </w:style>
  <w:style w:type="character" w:customStyle="1" w:styleId="eop">
    <w:name w:val="eop"/>
    <w:basedOn w:val="DefaultParagraphFont"/>
    <w:rsid w:val="002D32F2"/>
  </w:style>
  <w:style w:type="character" w:customStyle="1" w:styleId="spellingerror">
    <w:name w:val="spellingerror"/>
    <w:basedOn w:val="DefaultParagraphFont"/>
    <w:rsid w:val="00407A21"/>
  </w:style>
  <w:style w:type="paragraph" w:customStyle="1" w:styleId="Tablehead">
    <w:name w:val="Table_head"/>
    <w:basedOn w:val="Normal"/>
    <w:next w:val="Tabletext"/>
    <w:rsid w:val="0081514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40" w:lineRule="auto"/>
      <w:jc w:val="center"/>
      <w:textAlignment w:val="baseline"/>
    </w:pPr>
    <w:rPr>
      <w:rFonts w:ascii="Times New Roman" w:eastAsia="Times New Roman" w:hAnsi="Times New Roman" w:cs="Times New Roman"/>
      <w:b/>
      <w:szCs w:val="20"/>
    </w:rPr>
  </w:style>
  <w:style w:type="paragraph" w:customStyle="1" w:styleId="Tabletext">
    <w:name w:val="Table_text"/>
    <w:basedOn w:val="Normal"/>
    <w:rsid w:val="0081514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eastAsia="Times New Roman" w:hAnsi="Times New Roman" w:cs="Times New Roman"/>
      <w:szCs w:val="20"/>
    </w:rPr>
  </w:style>
  <w:style w:type="paragraph" w:customStyle="1" w:styleId="TableNoTitle">
    <w:name w:val="Table_NoTitle"/>
    <w:basedOn w:val="Normal"/>
    <w:next w:val="Tablehead"/>
    <w:rsid w:val="00815140"/>
    <w:pPr>
      <w:keepNext/>
      <w:keepLines/>
      <w:tabs>
        <w:tab w:val="left" w:pos="794"/>
        <w:tab w:val="left" w:pos="1191"/>
        <w:tab w:val="left" w:pos="1588"/>
        <w:tab w:val="left" w:pos="1985"/>
      </w:tabs>
      <w:overflowPunct w:val="0"/>
      <w:autoSpaceDE w:val="0"/>
      <w:autoSpaceDN w:val="0"/>
      <w:adjustRightInd w:val="0"/>
      <w:spacing w:before="360" w:after="120" w:line="240" w:lineRule="auto"/>
      <w:jc w:val="center"/>
      <w:textAlignment w:val="baseline"/>
    </w:pPr>
    <w:rPr>
      <w:rFonts w:ascii="Times New Roman" w:eastAsia="Times New Roman" w:hAnsi="Times New Roman" w:cs="Times New Roman"/>
      <w:b/>
      <w:sz w:val="24"/>
      <w:szCs w:val="20"/>
    </w:rPr>
  </w:style>
  <w:style w:type="numbering" w:customStyle="1" w:styleId="NoList1">
    <w:name w:val="No List1"/>
    <w:next w:val="NoList"/>
    <w:uiPriority w:val="99"/>
    <w:semiHidden/>
    <w:unhideWhenUsed/>
    <w:rsid w:val="009F279B"/>
  </w:style>
  <w:style w:type="table" w:customStyle="1" w:styleId="TableGrid1">
    <w:name w:val="Table Grid1"/>
    <w:basedOn w:val="TableNormal"/>
    <w:next w:val="TableGrid"/>
    <w:uiPriority w:val="39"/>
    <w:rsid w:val="009F2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A5"/>
    <w:uiPriority w:val="99"/>
    <w:rsid w:val="009F279B"/>
    <w:rPr>
      <w:rFonts w:cs="Museo Sans 300"/>
      <w:color w:val="000000"/>
      <w:sz w:val="18"/>
      <w:szCs w:val="18"/>
    </w:rPr>
  </w:style>
  <w:style w:type="paragraph" w:customStyle="1" w:styleId="Pa0">
    <w:name w:val="Pa0"/>
    <w:basedOn w:val="Default"/>
    <w:next w:val="Default"/>
    <w:uiPriority w:val="99"/>
    <w:rsid w:val="009F279B"/>
    <w:pPr>
      <w:spacing w:line="241" w:lineRule="atLeast"/>
    </w:pPr>
    <w:rPr>
      <w:rFonts w:ascii="Museo Sans 300" w:hAnsi="Museo Sans 300" w:cstheme="minorBidi"/>
      <w:color w:val="auto"/>
      <w:lang w:val="en-US"/>
    </w:rPr>
  </w:style>
  <w:style w:type="character" w:customStyle="1" w:styleId="A2">
    <w:name w:val="A2"/>
    <w:uiPriority w:val="99"/>
    <w:rsid w:val="009F279B"/>
    <w:rPr>
      <w:rFonts w:cs="Museo Sans 300"/>
      <w:color w:val="000000"/>
      <w:sz w:val="14"/>
      <w:szCs w:val="14"/>
    </w:rPr>
  </w:style>
  <w:style w:type="paragraph" w:customStyle="1" w:styleId="Fig">
    <w:name w:val="Fig."/>
    <w:basedOn w:val="Normal"/>
    <w:qFormat/>
    <w:rsid w:val="009F279B"/>
    <w:pPr>
      <w:widowControl w:val="0"/>
      <w:spacing w:after="60" w:line="264" w:lineRule="auto"/>
    </w:pPr>
    <w:rPr>
      <w:rFonts w:ascii="Nokia Pure Text Light" w:eastAsia="Nokia Pure Text Light" w:hAnsi="Nokia Pure Text Light" w:cs="Nokia Pure Text Light"/>
      <w:color w:val="124191"/>
      <w:sz w:val="21"/>
      <w:lang w:val="en-US"/>
    </w:rPr>
  </w:style>
  <w:style w:type="numbering" w:customStyle="1" w:styleId="NoList2">
    <w:name w:val="No List2"/>
    <w:next w:val="NoList"/>
    <w:uiPriority w:val="99"/>
    <w:semiHidden/>
    <w:unhideWhenUsed/>
    <w:rsid w:val="006E3A41"/>
  </w:style>
  <w:style w:type="table" w:customStyle="1" w:styleId="TableGrid2">
    <w:name w:val="Table Grid2"/>
    <w:basedOn w:val="TableNormal"/>
    <w:next w:val="TableGrid"/>
    <w:uiPriority w:val="39"/>
    <w:rsid w:val="006E3A41"/>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2389026432057403753msolistparagraph">
    <w:name w:val="gmail-m_2389026432057403753msolistparagraph"/>
    <w:basedOn w:val="Normal"/>
    <w:uiPriority w:val="99"/>
    <w:rsid w:val="006E3A41"/>
    <w:pPr>
      <w:spacing w:before="100" w:beforeAutospacing="1" w:after="100" w:afterAutospacing="1" w:line="240" w:lineRule="auto"/>
    </w:pPr>
    <w:rPr>
      <w:rFonts w:ascii="SimSun" w:eastAsia="SimSun" w:hAnsi="SimSun" w:cs="Calibri"/>
      <w:sz w:val="24"/>
      <w:szCs w:val="24"/>
      <w:lang w:val="fr-FR" w:eastAsia="fr-FR"/>
    </w:rPr>
  </w:style>
  <w:style w:type="paragraph" w:customStyle="1" w:styleId="FigureNoTitle">
    <w:name w:val="Figure_NoTitle"/>
    <w:basedOn w:val="Normal"/>
    <w:next w:val="Normal"/>
    <w:rsid w:val="006E3A41"/>
    <w:pPr>
      <w:keepLines/>
      <w:tabs>
        <w:tab w:val="left" w:pos="794"/>
        <w:tab w:val="left" w:pos="1191"/>
        <w:tab w:val="left" w:pos="1588"/>
        <w:tab w:val="left" w:pos="1985"/>
      </w:tabs>
      <w:overflowPunct w:val="0"/>
      <w:autoSpaceDE w:val="0"/>
      <w:autoSpaceDN w:val="0"/>
      <w:adjustRightInd w:val="0"/>
      <w:spacing w:before="240" w:after="120" w:line="240" w:lineRule="auto"/>
      <w:jc w:val="center"/>
      <w:textAlignment w:val="baseline"/>
    </w:pPr>
    <w:rPr>
      <w:rFonts w:ascii="Times New Roman" w:eastAsia="Times New Roman" w:hAnsi="Times New Roman" w:cs="Times New Roman"/>
      <w:b/>
      <w:sz w:val="24"/>
      <w:szCs w:val="20"/>
    </w:rPr>
  </w:style>
  <w:style w:type="paragraph" w:customStyle="1" w:styleId="Paragraphheader">
    <w:name w:val="Paragraph header"/>
    <w:basedOn w:val="Heading4"/>
    <w:qFormat/>
    <w:rsid w:val="00FA6D77"/>
    <w:pPr>
      <w:keepLines w:val="0"/>
      <w:numPr>
        <w:ilvl w:val="0"/>
        <w:numId w:val="0"/>
      </w:numPr>
      <w:spacing w:before="0"/>
    </w:pPr>
    <w:rPr>
      <w:rFonts w:asciiTheme="minorHAnsi" w:eastAsiaTheme="minorHAnsi" w:hAnsiTheme="minorHAnsi" w:cstheme="minorBidi"/>
      <w:i w:val="0"/>
      <w:iCs w:val="0"/>
      <w:color w:val="auto"/>
      <w:u w:val="single"/>
    </w:rPr>
  </w:style>
  <w:style w:type="character" w:customStyle="1" w:styleId="Mencinsinresolver2">
    <w:name w:val="Mención sin resolver2"/>
    <w:basedOn w:val="DefaultParagraphFont"/>
    <w:uiPriority w:val="99"/>
    <w:semiHidden/>
    <w:unhideWhenUsed/>
    <w:rsid w:val="0037183E"/>
    <w:rPr>
      <w:color w:val="605E5C"/>
      <w:shd w:val="clear" w:color="auto" w:fill="E1DFDD"/>
    </w:rPr>
  </w:style>
  <w:style w:type="numbering" w:customStyle="1" w:styleId="NoList3">
    <w:name w:val="No List3"/>
    <w:next w:val="NoList"/>
    <w:uiPriority w:val="99"/>
    <w:semiHidden/>
    <w:unhideWhenUsed/>
    <w:rsid w:val="00E94B6B"/>
  </w:style>
  <w:style w:type="paragraph" w:customStyle="1" w:styleId="EmpasisBox">
    <w:name w:val="EmpasisBox"/>
    <w:basedOn w:val="Normal"/>
    <w:autoRedefine/>
    <w:qFormat/>
    <w:rsid w:val="00E94B6B"/>
    <w:pPr>
      <w:pBdr>
        <w:top w:val="single" w:sz="4" w:space="1" w:color="auto"/>
        <w:left w:val="single" w:sz="4" w:space="4" w:color="auto"/>
        <w:bottom w:val="single" w:sz="4" w:space="1" w:color="auto"/>
        <w:right w:val="single" w:sz="4" w:space="4" w:color="auto"/>
      </w:pBdr>
      <w:shd w:val="clear" w:color="auto" w:fill="DEEAF6" w:themeFill="accent5" w:themeFillTint="33"/>
      <w:spacing w:after="120" w:line="240" w:lineRule="auto"/>
      <w:ind w:left="90" w:right="116"/>
      <w:jc w:val="both"/>
    </w:pPr>
    <w:rPr>
      <w:rFonts w:ascii="Arial" w:hAnsi="Arial" w:cs="Arial"/>
      <w:color w:val="000000" w:themeColor="text1"/>
    </w:rPr>
  </w:style>
  <w:style w:type="table" w:customStyle="1" w:styleId="TableGrid3">
    <w:name w:val="Table Grid3"/>
    <w:basedOn w:val="TableNormal"/>
    <w:next w:val="TableGrid"/>
    <w:uiPriority w:val="59"/>
    <w:rsid w:val="000C44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380F9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0D6F95"/>
  </w:style>
  <w:style w:type="table" w:customStyle="1" w:styleId="TableGrid5">
    <w:name w:val="Table Grid5"/>
    <w:basedOn w:val="TableNormal"/>
    <w:next w:val="TableGrid"/>
    <w:uiPriority w:val="39"/>
    <w:rsid w:val="000D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F2CC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37457601">
      <w:bodyDiv w:val="1"/>
      <w:marLeft w:val="0"/>
      <w:marRight w:val="0"/>
      <w:marTop w:val="0"/>
      <w:marBottom w:val="0"/>
      <w:divBdr>
        <w:top w:val="none" w:sz="0" w:space="0" w:color="auto"/>
        <w:left w:val="none" w:sz="0" w:space="0" w:color="auto"/>
        <w:bottom w:val="none" w:sz="0" w:space="0" w:color="auto"/>
        <w:right w:val="none" w:sz="0" w:space="0" w:color="auto"/>
      </w:divBdr>
    </w:div>
    <w:div w:id="140928558">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850305">
      <w:bodyDiv w:val="1"/>
      <w:marLeft w:val="0"/>
      <w:marRight w:val="0"/>
      <w:marTop w:val="0"/>
      <w:marBottom w:val="0"/>
      <w:divBdr>
        <w:top w:val="none" w:sz="0" w:space="0" w:color="auto"/>
        <w:left w:val="none" w:sz="0" w:space="0" w:color="auto"/>
        <w:bottom w:val="none" w:sz="0" w:space="0" w:color="auto"/>
        <w:right w:val="none" w:sz="0" w:space="0" w:color="auto"/>
      </w:divBdr>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30958066">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46400876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15">
          <w:marLeft w:val="0"/>
          <w:marRight w:val="0"/>
          <w:marTop w:val="0"/>
          <w:marBottom w:val="0"/>
          <w:divBdr>
            <w:top w:val="none" w:sz="0" w:space="0" w:color="auto"/>
            <w:left w:val="none" w:sz="0" w:space="0" w:color="auto"/>
            <w:bottom w:val="none" w:sz="0" w:space="0" w:color="auto"/>
            <w:right w:val="none" w:sz="0" w:space="0" w:color="auto"/>
          </w:divBdr>
        </w:div>
      </w:divsChild>
    </w:div>
    <w:div w:id="497310747">
      <w:bodyDiv w:val="1"/>
      <w:marLeft w:val="0"/>
      <w:marRight w:val="0"/>
      <w:marTop w:val="0"/>
      <w:marBottom w:val="0"/>
      <w:divBdr>
        <w:top w:val="none" w:sz="0" w:space="0" w:color="auto"/>
        <w:left w:val="none" w:sz="0" w:space="0" w:color="auto"/>
        <w:bottom w:val="none" w:sz="0" w:space="0" w:color="auto"/>
        <w:right w:val="none" w:sz="0" w:space="0" w:color="auto"/>
      </w:divBdr>
      <w:divsChild>
        <w:div w:id="379597351">
          <w:marLeft w:val="0"/>
          <w:marRight w:val="0"/>
          <w:marTop w:val="0"/>
          <w:marBottom w:val="0"/>
          <w:divBdr>
            <w:top w:val="none" w:sz="0" w:space="0" w:color="auto"/>
            <w:left w:val="none" w:sz="0" w:space="0" w:color="auto"/>
            <w:bottom w:val="none" w:sz="0" w:space="0" w:color="auto"/>
            <w:right w:val="none" w:sz="0" w:space="0" w:color="auto"/>
          </w:divBdr>
          <w:divsChild>
            <w:div w:id="50548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935">
      <w:bodyDiv w:val="1"/>
      <w:marLeft w:val="0"/>
      <w:marRight w:val="0"/>
      <w:marTop w:val="0"/>
      <w:marBottom w:val="0"/>
      <w:divBdr>
        <w:top w:val="none" w:sz="0" w:space="0" w:color="auto"/>
        <w:left w:val="none" w:sz="0" w:space="0" w:color="auto"/>
        <w:bottom w:val="none" w:sz="0" w:space="0" w:color="auto"/>
        <w:right w:val="none" w:sz="0" w:space="0" w:color="auto"/>
      </w:divBdr>
      <w:divsChild>
        <w:div w:id="1242371619">
          <w:marLeft w:val="0"/>
          <w:marRight w:val="0"/>
          <w:marTop w:val="0"/>
          <w:marBottom w:val="0"/>
          <w:divBdr>
            <w:top w:val="none" w:sz="0" w:space="0" w:color="auto"/>
            <w:left w:val="none" w:sz="0" w:space="0" w:color="auto"/>
            <w:bottom w:val="none" w:sz="0" w:space="0" w:color="auto"/>
            <w:right w:val="none" w:sz="0" w:space="0" w:color="auto"/>
          </w:divBdr>
        </w:div>
        <w:div w:id="999888026">
          <w:marLeft w:val="0"/>
          <w:marRight w:val="0"/>
          <w:marTop w:val="0"/>
          <w:marBottom w:val="0"/>
          <w:divBdr>
            <w:top w:val="none" w:sz="0" w:space="0" w:color="auto"/>
            <w:left w:val="none" w:sz="0" w:space="0" w:color="auto"/>
            <w:bottom w:val="none" w:sz="0" w:space="0" w:color="auto"/>
            <w:right w:val="none" w:sz="0" w:space="0" w:color="auto"/>
          </w:divBdr>
        </w:div>
        <w:div w:id="1582908636">
          <w:marLeft w:val="0"/>
          <w:marRight w:val="0"/>
          <w:marTop w:val="0"/>
          <w:marBottom w:val="0"/>
          <w:divBdr>
            <w:top w:val="none" w:sz="0" w:space="0" w:color="auto"/>
            <w:left w:val="none" w:sz="0" w:space="0" w:color="auto"/>
            <w:bottom w:val="none" w:sz="0" w:space="0" w:color="auto"/>
            <w:right w:val="none" w:sz="0" w:space="0" w:color="auto"/>
          </w:divBdr>
        </w:div>
        <w:div w:id="1144393700">
          <w:marLeft w:val="0"/>
          <w:marRight w:val="0"/>
          <w:marTop w:val="0"/>
          <w:marBottom w:val="0"/>
          <w:divBdr>
            <w:top w:val="none" w:sz="0" w:space="0" w:color="auto"/>
            <w:left w:val="none" w:sz="0" w:space="0" w:color="auto"/>
            <w:bottom w:val="none" w:sz="0" w:space="0" w:color="auto"/>
            <w:right w:val="none" w:sz="0" w:space="0" w:color="auto"/>
          </w:divBdr>
        </w:div>
        <w:div w:id="974333882">
          <w:marLeft w:val="0"/>
          <w:marRight w:val="0"/>
          <w:marTop w:val="0"/>
          <w:marBottom w:val="0"/>
          <w:divBdr>
            <w:top w:val="none" w:sz="0" w:space="0" w:color="auto"/>
            <w:left w:val="none" w:sz="0" w:space="0" w:color="auto"/>
            <w:bottom w:val="none" w:sz="0" w:space="0" w:color="auto"/>
            <w:right w:val="none" w:sz="0" w:space="0" w:color="auto"/>
          </w:divBdr>
          <w:divsChild>
            <w:div w:id="376248599">
              <w:marLeft w:val="0"/>
              <w:marRight w:val="0"/>
              <w:marTop w:val="0"/>
              <w:marBottom w:val="0"/>
              <w:divBdr>
                <w:top w:val="none" w:sz="0" w:space="0" w:color="auto"/>
                <w:left w:val="none" w:sz="0" w:space="0" w:color="auto"/>
                <w:bottom w:val="none" w:sz="0" w:space="0" w:color="auto"/>
                <w:right w:val="none" w:sz="0" w:space="0" w:color="auto"/>
              </w:divBdr>
            </w:div>
            <w:div w:id="551498670">
              <w:marLeft w:val="0"/>
              <w:marRight w:val="0"/>
              <w:marTop w:val="0"/>
              <w:marBottom w:val="0"/>
              <w:divBdr>
                <w:top w:val="none" w:sz="0" w:space="0" w:color="auto"/>
                <w:left w:val="none" w:sz="0" w:space="0" w:color="auto"/>
                <w:bottom w:val="none" w:sz="0" w:space="0" w:color="auto"/>
                <w:right w:val="none" w:sz="0" w:space="0" w:color="auto"/>
              </w:divBdr>
            </w:div>
            <w:div w:id="1786460347">
              <w:marLeft w:val="0"/>
              <w:marRight w:val="0"/>
              <w:marTop w:val="0"/>
              <w:marBottom w:val="0"/>
              <w:divBdr>
                <w:top w:val="none" w:sz="0" w:space="0" w:color="auto"/>
                <w:left w:val="none" w:sz="0" w:space="0" w:color="auto"/>
                <w:bottom w:val="none" w:sz="0" w:space="0" w:color="auto"/>
                <w:right w:val="none" w:sz="0" w:space="0" w:color="auto"/>
              </w:divBdr>
            </w:div>
            <w:div w:id="1828936666">
              <w:marLeft w:val="0"/>
              <w:marRight w:val="0"/>
              <w:marTop w:val="0"/>
              <w:marBottom w:val="0"/>
              <w:divBdr>
                <w:top w:val="none" w:sz="0" w:space="0" w:color="auto"/>
                <w:left w:val="none" w:sz="0" w:space="0" w:color="auto"/>
                <w:bottom w:val="none" w:sz="0" w:space="0" w:color="auto"/>
                <w:right w:val="none" w:sz="0" w:space="0" w:color="auto"/>
              </w:divBdr>
            </w:div>
            <w:div w:id="651299936">
              <w:marLeft w:val="0"/>
              <w:marRight w:val="0"/>
              <w:marTop w:val="0"/>
              <w:marBottom w:val="0"/>
              <w:divBdr>
                <w:top w:val="none" w:sz="0" w:space="0" w:color="auto"/>
                <w:left w:val="none" w:sz="0" w:space="0" w:color="auto"/>
                <w:bottom w:val="none" w:sz="0" w:space="0" w:color="auto"/>
                <w:right w:val="none" w:sz="0" w:space="0" w:color="auto"/>
              </w:divBdr>
            </w:div>
          </w:divsChild>
        </w:div>
        <w:div w:id="1667855081">
          <w:marLeft w:val="0"/>
          <w:marRight w:val="0"/>
          <w:marTop w:val="0"/>
          <w:marBottom w:val="0"/>
          <w:divBdr>
            <w:top w:val="none" w:sz="0" w:space="0" w:color="auto"/>
            <w:left w:val="none" w:sz="0" w:space="0" w:color="auto"/>
            <w:bottom w:val="none" w:sz="0" w:space="0" w:color="auto"/>
            <w:right w:val="none" w:sz="0" w:space="0" w:color="auto"/>
          </w:divBdr>
          <w:divsChild>
            <w:div w:id="668561407">
              <w:marLeft w:val="0"/>
              <w:marRight w:val="0"/>
              <w:marTop w:val="0"/>
              <w:marBottom w:val="0"/>
              <w:divBdr>
                <w:top w:val="none" w:sz="0" w:space="0" w:color="auto"/>
                <w:left w:val="none" w:sz="0" w:space="0" w:color="auto"/>
                <w:bottom w:val="none" w:sz="0" w:space="0" w:color="auto"/>
                <w:right w:val="none" w:sz="0" w:space="0" w:color="auto"/>
              </w:divBdr>
            </w:div>
            <w:div w:id="219052822">
              <w:marLeft w:val="0"/>
              <w:marRight w:val="0"/>
              <w:marTop w:val="0"/>
              <w:marBottom w:val="0"/>
              <w:divBdr>
                <w:top w:val="none" w:sz="0" w:space="0" w:color="auto"/>
                <w:left w:val="none" w:sz="0" w:space="0" w:color="auto"/>
                <w:bottom w:val="none" w:sz="0" w:space="0" w:color="auto"/>
                <w:right w:val="none" w:sz="0" w:space="0" w:color="auto"/>
              </w:divBdr>
            </w:div>
            <w:div w:id="760643332">
              <w:marLeft w:val="0"/>
              <w:marRight w:val="0"/>
              <w:marTop w:val="0"/>
              <w:marBottom w:val="0"/>
              <w:divBdr>
                <w:top w:val="none" w:sz="0" w:space="0" w:color="auto"/>
                <w:left w:val="none" w:sz="0" w:space="0" w:color="auto"/>
                <w:bottom w:val="none" w:sz="0" w:space="0" w:color="auto"/>
                <w:right w:val="none" w:sz="0" w:space="0" w:color="auto"/>
              </w:divBdr>
            </w:div>
            <w:div w:id="1687630227">
              <w:marLeft w:val="0"/>
              <w:marRight w:val="0"/>
              <w:marTop w:val="0"/>
              <w:marBottom w:val="0"/>
              <w:divBdr>
                <w:top w:val="none" w:sz="0" w:space="0" w:color="auto"/>
                <w:left w:val="none" w:sz="0" w:space="0" w:color="auto"/>
                <w:bottom w:val="none" w:sz="0" w:space="0" w:color="auto"/>
                <w:right w:val="none" w:sz="0" w:space="0" w:color="auto"/>
              </w:divBdr>
            </w:div>
            <w:div w:id="1959557181">
              <w:marLeft w:val="0"/>
              <w:marRight w:val="0"/>
              <w:marTop w:val="0"/>
              <w:marBottom w:val="0"/>
              <w:divBdr>
                <w:top w:val="none" w:sz="0" w:space="0" w:color="auto"/>
                <w:left w:val="none" w:sz="0" w:space="0" w:color="auto"/>
                <w:bottom w:val="none" w:sz="0" w:space="0" w:color="auto"/>
                <w:right w:val="none" w:sz="0" w:space="0" w:color="auto"/>
              </w:divBdr>
            </w:div>
          </w:divsChild>
        </w:div>
        <w:div w:id="1827545702">
          <w:marLeft w:val="0"/>
          <w:marRight w:val="0"/>
          <w:marTop w:val="0"/>
          <w:marBottom w:val="0"/>
          <w:divBdr>
            <w:top w:val="none" w:sz="0" w:space="0" w:color="auto"/>
            <w:left w:val="none" w:sz="0" w:space="0" w:color="auto"/>
            <w:bottom w:val="none" w:sz="0" w:space="0" w:color="auto"/>
            <w:right w:val="none" w:sz="0" w:space="0" w:color="auto"/>
          </w:divBdr>
        </w:div>
        <w:div w:id="728500209">
          <w:marLeft w:val="0"/>
          <w:marRight w:val="0"/>
          <w:marTop w:val="0"/>
          <w:marBottom w:val="0"/>
          <w:divBdr>
            <w:top w:val="none" w:sz="0" w:space="0" w:color="auto"/>
            <w:left w:val="none" w:sz="0" w:space="0" w:color="auto"/>
            <w:bottom w:val="none" w:sz="0" w:space="0" w:color="auto"/>
            <w:right w:val="none" w:sz="0" w:space="0" w:color="auto"/>
          </w:divBdr>
        </w:div>
        <w:div w:id="1101030391">
          <w:marLeft w:val="0"/>
          <w:marRight w:val="0"/>
          <w:marTop w:val="0"/>
          <w:marBottom w:val="0"/>
          <w:divBdr>
            <w:top w:val="none" w:sz="0" w:space="0" w:color="auto"/>
            <w:left w:val="none" w:sz="0" w:space="0" w:color="auto"/>
            <w:bottom w:val="none" w:sz="0" w:space="0" w:color="auto"/>
            <w:right w:val="none" w:sz="0" w:space="0" w:color="auto"/>
          </w:divBdr>
          <w:divsChild>
            <w:div w:id="1136099282">
              <w:marLeft w:val="0"/>
              <w:marRight w:val="0"/>
              <w:marTop w:val="0"/>
              <w:marBottom w:val="0"/>
              <w:divBdr>
                <w:top w:val="none" w:sz="0" w:space="0" w:color="auto"/>
                <w:left w:val="none" w:sz="0" w:space="0" w:color="auto"/>
                <w:bottom w:val="none" w:sz="0" w:space="0" w:color="auto"/>
                <w:right w:val="none" w:sz="0" w:space="0" w:color="auto"/>
              </w:divBdr>
              <w:divsChild>
                <w:div w:id="1359043583">
                  <w:marLeft w:val="0"/>
                  <w:marRight w:val="0"/>
                  <w:marTop w:val="0"/>
                  <w:marBottom w:val="0"/>
                  <w:divBdr>
                    <w:top w:val="none" w:sz="0" w:space="0" w:color="auto"/>
                    <w:left w:val="none" w:sz="0" w:space="0" w:color="auto"/>
                    <w:bottom w:val="none" w:sz="0" w:space="0" w:color="auto"/>
                    <w:right w:val="none" w:sz="0" w:space="0" w:color="auto"/>
                  </w:divBdr>
                  <w:divsChild>
                    <w:div w:id="921260450">
                      <w:marLeft w:val="0"/>
                      <w:marRight w:val="0"/>
                      <w:marTop w:val="0"/>
                      <w:marBottom w:val="0"/>
                      <w:divBdr>
                        <w:top w:val="none" w:sz="0" w:space="0" w:color="auto"/>
                        <w:left w:val="none" w:sz="0" w:space="0" w:color="auto"/>
                        <w:bottom w:val="none" w:sz="0" w:space="0" w:color="auto"/>
                        <w:right w:val="none" w:sz="0" w:space="0" w:color="auto"/>
                      </w:divBdr>
                    </w:div>
                  </w:divsChild>
                </w:div>
                <w:div w:id="1911310899">
                  <w:marLeft w:val="0"/>
                  <w:marRight w:val="0"/>
                  <w:marTop w:val="0"/>
                  <w:marBottom w:val="0"/>
                  <w:divBdr>
                    <w:top w:val="none" w:sz="0" w:space="0" w:color="auto"/>
                    <w:left w:val="none" w:sz="0" w:space="0" w:color="auto"/>
                    <w:bottom w:val="none" w:sz="0" w:space="0" w:color="auto"/>
                    <w:right w:val="none" w:sz="0" w:space="0" w:color="auto"/>
                  </w:divBdr>
                  <w:divsChild>
                    <w:div w:id="1928804796">
                      <w:marLeft w:val="0"/>
                      <w:marRight w:val="0"/>
                      <w:marTop w:val="0"/>
                      <w:marBottom w:val="0"/>
                      <w:divBdr>
                        <w:top w:val="none" w:sz="0" w:space="0" w:color="auto"/>
                        <w:left w:val="none" w:sz="0" w:space="0" w:color="auto"/>
                        <w:bottom w:val="none" w:sz="0" w:space="0" w:color="auto"/>
                        <w:right w:val="none" w:sz="0" w:space="0" w:color="auto"/>
                      </w:divBdr>
                    </w:div>
                  </w:divsChild>
                </w:div>
                <w:div w:id="535967448">
                  <w:marLeft w:val="0"/>
                  <w:marRight w:val="0"/>
                  <w:marTop w:val="0"/>
                  <w:marBottom w:val="0"/>
                  <w:divBdr>
                    <w:top w:val="none" w:sz="0" w:space="0" w:color="auto"/>
                    <w:left w:val="none" w:sz="0" w:space="0" w:color="auto"/>
                    <w:bottom w:val="none" w:sz="0" w:space="0" w:color="auto"/>
                    <w:right w:val="none" w:sz="0" w:space="0" w:color="auto"/>
                  </w:divBdr>
                  <w:divsChild>
                    <w:div w:id="702558072">
                      <w:marLeft w:val="0"/>
                      <w:marRight w:val="0"/>
                      <w:marTop w:val="0"/>
                      <w:marBottom w:val="0"/>
                      <w:divBdr>
                        <w:top w:val="none" w:sz="0" w:space="0" w:color="auto"/>
                        <w:left w:val="none" w:sz="0" w:space="0" w:color="auto"/>
                        <w:bottom w:val="none" w:sz="0" w:space="0" w:color="auto"/>
                        <w:right w:val="none" w:sz="0" w:space="0" w:color="auto"/>
                      </w:divBdr>
                    </w:div>
                  </w:divsChild>
                </w:div>
                <w:div w:id="380247892">
                  <w:marLeft w:val="0"/>
                  <w:marRight w:val="0"/>
                  <w:marTop w:val="0"/>
                  <w:marBottom w:val="0"/>
                  <w:divBdr>
                    <w:top w:val="none" w:sz="0" w:space="0" w:color="auto"/>
                    <w:left w:val="none" w:sz="0" w:space="0" w:color="auto"/>
                    <w:bottom w:val="none" w:sz="0" w:space="0" w:color="auto"/>
                    <w:right w:val="none" w:sz="0" w:space="0" w:color="auto"/>
                  </w:divBdr>
                  <w:divsChild>
                    <w:div w:id="117769213">
                      <w:marLeft w:val="0"/>
                      <w:marRight w:val="0"/>
                      <w:marTop w:val="0"/>
                      <w:marBottom w:val="0"/>
                      <w:divBdr>
                        <w:top w:val="none" w:sz="0" w:space="0" w:color="auto"/>
                        <w:left w:val="none" w:sz="0" w:space="0" w:color="auto"/>
                        <w:bottom w:val="none" w:sz="0" w:space="0" w:color="auto"/>
                        <w:right w:val="none" w:sz="0" w:space="0" w:color="auto"/>
                      </w:divBdr>
                    </w:div>
                  </w:divsChild>
                </w:div>
                <w:div w:id="464006381">
                  <w:marLeft w:val="0"/>
                  <w:marRight w:val="0"/>
                  <w:marTop w:val="0"/>
                  <w:marBottom w:val="0"/>
                  <w:divBdr>
                    <w:top w:val="none" w:sz="0" w:space="0" w:color="auto"/>
                    <w:left w:val="none" w:sz="0" w:space="0" w:color="auto"/>
                    <w:bottom w:val="none" w:sz="0" w:space="0" w:color="auto"/>
                    <w:right w:val="none" w:sz="0" w:space="0" w:color="auto"/>
                  </w:divBdr>
                  <w:divsChild>
                    <w:div w:id="1472482710">
                      <w:marLeft w:val="0"/>
                      <w:marRight w:val="0"/>
                      <w:marTop w:val="0"/>
                      <w:marBottom w:val="0"/>
                      <w:divBdr>
                        <w:top w:val="none" w:sz="0" w:space="0" w:color="auto"/>
                        <w:left w:val="none" w:sz="0" w:space="0" w:color="auto"/>
                        <w:bottom w:val="none" w:sz="0" w:space="0" w:color="auto"/>
                        <w:right w:val="none" w:sz="0" w:space="0" w:color="auto"/>
                      </w:divBdr>
                    </w:div>
                  </w:divsChild>
                </w:div>
                <w:div w:id="1216157368">
                  <w:marLeft w:val="0"/>
                  <w:marRight w:val="0"/>
                  <w:marTop w:val="0"/>
                  <w:marBottom w:val="0"/>
                  <w:divBdr>
                    <w:top w:val="none" w:sz="0" w:space="0" w:color="auto"/>
                    <w:left w:val="none" w:sz="0" w:space="0" w:color="auto"/>
                    <w:bottom w:val="none" w:sz="0" w:space="0" w:color="auto"/>
                    <w:right w:val="none" w:sz="0" w:space="0" w:color="auto"/>
                  </w:divBdr>
                  <w:divsChild>
                    <w:div w:id="271321938">
                      <w:marLeft w:val="0"/>
                      <w:marRight w:val="0"/>
                      <w:marTop w:val="0"/>
                      <w:marBottom w:val="0"/>
                      <w:divBdr>
                        <w:top w:val="none" w:sz="0" w:space="0" w:color="auto"/>
                        <w:left w:val="none" w:sz="0" w:space="0" w:color="auto"/>
                        <w:bottom w:val="none" w:sz="0" w:space="0" w:color="auto"/>
                        <w:right w:val="none" w:sz="0" w:space="0" w:color="auto"/>
                      </w:divBdr>
                    </w:div>
                  </w:divsChild>
                </w:div>
                <w:div w:id="1765298937">
                  <w:marLeft w:val="0"/>
                  <w:marRight w:val="0"/>
                  <w:marTop w:val="0"/>
                  <w:marBottom w:val="0"/>
                  <w:divBdr>
                    <w:top w:val="none" w:sz="0" w:space="0" w:color="auto"/>
                    <w:left w:val="none" w:sz="0" w:space="0" w:color="auto"/>
                    <w:bottom w:val="none" w:sz="0" w:space="0" w:color="auto"/>
                    <w:right w:val="none" w:sz="0" w:space="0" w:color="auto"/>
                  </w:divBdr>
                  <w:divsChild>
                    <w:div w:id="537358703">
                      <w:marLeft w:val="0"/>
                      <w:marRight w:val="0"/>
                      <w:marTop w:val="0"/>
                      <w:marBottom w:val="0"/>
                      <w:divBdr>
                        <w:top w:val="none" w:sz="0" w:space="0" w:color="auto"/>
                        <w:left w:val="none" w:sz="0" w:space="0" w:color="auto"/>
                        <w:bottom w:val="none" w:sz="0" w:space="0" w:color="auto"/>
                        <w:right w:val="none" w:sz="0" w:space="0" w:color="auto"/>
                      </w:divBdr>
                    </w:div>
                  </w:divsChild>
                </w:div>
                <w:div w:id="926579254">
                  <w:marLeft w:val="0"/>
                  <w:marRight w:val="0"/>
                  <w:marTop w:val="0"/>
                  <w:marBottom w:val="0"/>
                  <w:divBdr>
                    <w:top w:val="none" w:sz="0" w:space="0" w:color="auto"/>
                    <w:left w:val="none" w:sz="0" w:space="0" w:color="auto"/>
                    <w:bottom w:val="none" w:sz="0" w:space="0" w:color="auto"/>
                    <w:right w:val="none" w:sz="0" w:space="0" w:color="auto"/>
                  </w:divBdr>
                  <w:divsChild>
                    <w:div w:id="1096247912">
                      <w:marLeft w:val="0"/>
                      <w:marRight w:val="0"/>
                      <w:marTop w:val="0"/>
                      <w:marBottom w:val="0"/>
                      <w:divBdr>
                        <w:top w:val="none" w:sz="0" w:space="0" w:color="auto"/>
                        <w:left w:val="none" w:sz="0" w:space="0" w:color="auto"/>
                        <w:bottom w:val="none" w:sz="0" w:space="0" w:color="auto"/>
                        <w:right w:val="none" w:sz="0" w:space="0" w:color="auto"/>
                      </w:divBdr>
                    </w:div>
                  </w:divsChild>
                </w:div>
                <w:div w:id="125508887">
                  <w:marLeft w:val="0"/>
                  <w:marRight w:val="0"/>
                  <w:marTop w:val="0"/>
                  <w:marBottom w:val="0"/>
                  <w:divBdr>
                    <w:top w:val="none" w:sz="0" w:space="0" w:color="auto"/>
                    <w:left w:val="none" w:sz="0" w:space="0" w:color="auto"/>
                    <w:bottom w:val="none" w:sz="0" w:space="0" w:color="auto"/>
                    <w:right w:val="none" w:sz="0" w:space="0" w:color="auto"/>
                  </w:divBdr>
                  <w:divsChild>
                    <w:div w:id="525288193">
                      <w:marLeft w:val="0"/>
                      <w:marRight w:val="0"/>
                      <w:marTop w:val="0"/>
                      <w:marBottom w:val="0"/>
                      <w:divBdr>
                        <w:top w:val="none" w:sz="0" w:space="0" w:color="auto"/>
                        <w:left w:val="none" w:sz="0" w:space="0" w:color="auto"/>
                        <w:bottom w:val="none" w:sz="0" w:space="0" w:color="auto"/>
                        <w:right w:val="none" w:sz="0" w:space="0" w:color="auto"/>
                      </w:divBdr>
                    </w:div>
                  </w:divsChild>
                </w:div>
                <w:div w:id="1156602786">
                  <w:marLeft w:val="0"/>
                  <w:marRight w:val="0"/>
                  <w:marTop w:val="0"/>
                  <w:marBottom w:val="0"/>
                  <w:divBdr>
                    <w:top w:val="none" w:sz="0" w:space="0" w:color="auto"/>
                    <w:left w:val="none" w:sz="0" w:space="0" w:color="auto"/>
                    <w:bottom w:val="none" w:sz="0" w:space="0" w:color="auto"/>
                    <w:right w:val="none" w:sz="0" w:space="0" w:color="auto"/>
                  </w:divBdr>
                  <w:divsChild>
                    <w:div w:id="409155379">
                      <w:marLeft w:val="0"/>
                      <w:marRight w:val="0"/>
                      <w:marTop w:val="0"/>
                      <w:marBottom w:val="0"/>
                      <w:divBdr>
                        <w:top w:val="none" w:sz="0" w:space="0" w:color="auto"/>
                        <w:left w:val="none" w:sz="0" w:space="0" w:color="auto"/>
                        <w:bottom w:val="none" w:sz="0" w:space="0" w:color="auto"/>
                        <w:right w:val="none" w:sz="0" w:space="0" w:color="auto"/>
                      </w:divBdr>
                    </w:div>
                  </w:divsChild>
                </w:div>
                <w:div w:id="1286499941">
                  <w:marLeft w:val="0"/>
                  <w:marRight w:val="0"/>
                  <w:marTop w:val="0"/>
                  <w:marBottom w:val="0"/>
                  <w:divBdr>
                    <w:top w:val="none" w:sz="0" w:space="0" w:color="auto"/>
                    <w:left w:val="none" w:sz="0" w:space="0" w:color="auto"/>
                    <w:bottom w:val="none" w:sz="0" w:space="0" w:color="auto"/>
                    <w:right w:val="none" w:sz="0" w:space="0" w:color="auto"/>
                  </w:divBdr>
                  <w:divsChild>
                    <w:div w:id="27074330">
                      <w:marLeft w:val="0"/>
                      <w:marRight w:val="0"/>
                      <w:marTop w:val="0"/>
                      <w:marBottom w:val="0"/>
                      <w:divBdr>
                        <w:top w:val="none" w:sz="0" w:space="0" w:color="auto"/>
                        <w:left w:val="none" w:sz="0" w:space="0" w:color="auto"/>
                        <w:bottom w:val="none" w:sz="0" w:space="0" w:color="auto"/>
                        <w:right w:val="none" w:sz="0" w:space="0" w:color="auto"/>
                      </w:divBdr>
                    </w:div>
                  </w:divsChild>
                </w:div>
                <w:div w:id="338196916">
                  <w:marLeft w:val="0"/>
                  <w:marRight w:val="0"/>
                  <w:marTop w:val="0"/>
                  <w:marBottom w:val="0"/>
                  <w:divBdr>
                    <w:top w:val="none" w:sz="0" w:space="0" w:color="auto"/>
                    <w:left w:val="none" w:sz="0" w:space="0" w:color="auto"/>
                    <w:bottom w:val="none" w:sz="0" w:space="0" w:color="auto"/>
                    <w:right w:val="none" w:sz="0" w:space="0" w:color="auto"/>
                  </w:divBdr>
                  <w:divsChild>
                    <w:div w:id="1410032234">
                      <w:marLeft w:val="0"/>
                      <w:marRight w:val="0"/>
                      <w:marTop w:val="0"/>
                      <w:marBottom w:val="0"/>
                      <w:divBdr>
                        <w:top w:val="none" w:sz="0" w:space="0" w:color="auto"/>
                        <w:left w:val="none" w:sz="0" w:space="0" w:color="auto"/>
                        <w:bottom w:val="none" w:sz="0" w:space="0" w:color="auto"/>
                        <w:right w:val="none" w:sz="0" w:space="0" w:color="auto"/>
                      </w:divBdr>
                    </w:div>
                  </w:divsChild>
                </w:div>
                <w:div w:id="4672455">
                  <w:marLeft w:val="0"/>
                  <w:marRight w:val="0"/>
                  <w:marTop w:val="0"/>
                  <w:marBottom w:val="0"/>
                  <w:divBdr>
                    <w:top w:val="none" w:sz="0" w:space="0" w:color="auto"/>
                    <w:left w:val="none" w:sz="0" w:space="0" w:color="auto"/>
                    <w:bottom w:val="none" w:sz="0" w:space="0" w:color="auto"/>
                    <w:right w:val="none" w:sz="0" w:space="0" w:color="auto"/>
                  </w:divBdr>
                  <w:divsChild>
                    <w:div w:id="360859096">
                      <w:marLeft w:val="0"/>
                      <w:marRight w:val="0"/>
                      <w:marTop w:val="0"/>
                      <w:marBottom w:val="0"/>
                      <w:divBdr>
                        <w:top w:val="none" w:sz="0" w:space="0" w:color="auto"/>
                        <w:left w:val="none" w:sz="0" w:space="0" w:color="auto"/>
                        <w:bottom w:val="none" w:sz="0" w:space="0" w:color="auto"/>
                        <w:right w:val="none" w:sz="0" w:space="0" w:color="auto"/>
                      </w:divBdr>
                    </w:div>
                  </w:divsChild>
                </w:div>
                <w:div w:id="1330718489">
                  <w:marLeft w:val="0"/>
                  <w:marRight w:val="0"/>
                  <w:marTop w:val="0"/>
                  <w:marBottom w:val="0"/>
                  <w:divBdr>
                    <w:top w:val="none" w:sz="0" w:space="0" w:color="auto"/>
                    <w:left w:val="none" w:sz="0" w:space="0" w:color="auto"/>
                    <w:bottom w:val="none" w:sz="0" w:space="0" w:color="auto"/>
                    <w:right w:val="none" w:sz="0" w:space="0" w:color="auto"/>
                  </w:divBdr>
                  <w:divsChild>
                    <w:div w:id="561018650">
                      <w:marLeft w:val="0"/>
                      <w:marRight w:val="0"/>
                      <w:marTop w:val="0"/>
                      <w:marBottom w:val="0"/>
                      <w:divBdr>
                        <w:top w:val="none" w:sz="0" w:space="0" w:color="auto"/>
                        <w:left w:val="none" w:sz="0" w:space="0" w:color="auto"/>
                        <w:bottom w:val="none" w:sz="0" w:space="0" w:color="auto"/>
                        <w:right w:val="none" w:sz="0" w:space="0" w:color="auto"/>
                      </w:divBdr>
                    </w:div>
                  </w:divsChild>
                </w:div>
                <w:div w:id="1140339817">
                  <w:marLeft w:val="0"/>
                  <w:marRight w:val="0"/>
                  <w:marTop w:val="0"/>
                  <w:marBottom w:val="0"/>
                  <w:divBdr>
                    <w:top w:val="none" w:sz="0" w:space="0" w:color="auto"/>
                    <w:left w:val="none" w:sz="0" w:space="0" w:color="auto"/>
                    <w:bottom w:val="none" w:sz="0" w:space="0" w:color="auto"/>
                    <w:right w:val="none" w:sz="0" w:space="0" w:color="auto"/>
                  </w:divBdr>
                  <w:divsChild>
                    <w:div w:id="167058719">
                      <w:marLeft w:val="0"/>
                      <w:marRight w:val="0"/>
                      <w:marTop w:val="0"/>
                      <w:marBottom w:val="0"/>
                      <w:divBdr>
                        <w:top w:val="none" w:sz="0" w:space="0" w:color="auto"/>
                        <w:left w:val="none" w:sz="0" w:space="0" w:color="auto"/>
                        <w:bottom w:val="none" w:sz="0" w:space="0" w:color="auto"/>
                        <w:right w:val="none" w:sz="0" w:space="0" w:color="auto"/>
                      </w:divBdr>
                    </w:div>
                  </w:divsChild>
                </w:div>
                <w:div w:id="1681203631">
                  <w:marLeft w:val="0"/>
                  <w:marRight w:val="0"/>
                  <w:marTop w:val="0"/>
                  <w:marBottom w:val="0"/>
                  <w:divBdr>
                    <w:top w:val="none" w:sz="0" w:space="0" w:color="auto"/>
                    <w:left w:val="none" w:sz="0" w:space="0" w:color="auto"/>
                    <w:bottom w:val="none" w:sz="0" w:space="0" w:color="auto"/>
                    <w:right w:val="none" w:sz="0" w:space="0" w:color="auto"/>
                  </w:divBdr>
                  <w:divsChild>
                    <w:div w:id="708527975">
                      <w:marLeft w:val="0"/>
                      <w:marRight w:val="0"/>
                      <w:marTop w:val="0"/>
                      <w:marBottom w:val="0"/>
                      <w:divBdr>
                        <w:top w:val="none" w:sz="0" w:space="0" w:color="auto"/>
                        <w:left w:val="none" w:sz="0" w:space="0" w:color="auto"/>
                        <w:bottom w:val="none" w:sz="0" w:space="0" w:color="auto"/>
                        <w:right w:val="none" w:sz="0" w:space="0" w:color="auto"/>
                      </w:divBdr>
                    </w:div>
                  </w:divsChild>
                </w:div>
                <w:div w:id="1129013333">
                  <w:marLeft w:val="0"/>
                  <w:marRight w:val="0"/>
                  <w:marTop w:val="0"/>
                  <w:marBottom w:val="0"/>
                  <w:divBdr>
                    <w:top w:val="none" w:sz="0" w:space="0" w:color="auto"/>
                    <w:left w:val="none" w:sz="0" w:space="0" w:color="auto"/>
                    <w:bottom w:val="none" w:sz="0" w:space="0" w:color="auto"/>
                    <w:right w:val="none" w:sz="0" w:space="0" w:color="auto"/>
                  </w:divBdr>
                  <w:divsChild>
                    <w:div w:id="1283194953">
                      <w:marLeft w:val="0"/>
                      <w:marRight w:val="0"/>
                      <w:marTop w:val="0"/>
                      <w:marBottom w:val="0"/>
                      <w:divBdr>
                        <w:top w:val="none" w:sz="0" w:space="0" w:color="auto"/>
                        <w:left w:val="none" w:sz="0" w:space="0" w:color="auto"/>
                        <w:bottom w:val="none" w:sz="0" w:space="0" w:color="auto"/>
                        <w:right w:val="none" w:sz="0" w:space="0" w:color="auto"/>
                      </w:divBdr>
                    </w:div>
                    <w:div w:id="65231223">
                      <w:marLeft w:val="0"/>
                      <w:marRight w:val="0"/>
                      <w:marTop w:val="0"/>
                      <w:marBottom w:val="0"/>
                      <w:divBdr>
                        <w:top w:val="none" w:sz="0" w:space="0" w:color="auto"/>
                        <w:left w:val="none" w:sz="0" w:space="0" w:color="auto"/>
                        <w:bottom w:val="none" w:sz="0" w:space="0" w:color="auto"/>
                        <w:right w:val="none" w:sz="0" w:space="0" w:color="auto"/>
                      </w:divBdr>
                    </w:div>
                  </w:divsChild>
                </w:div>
                <w:div w:id="607200473">
                  <w:marLeft w:val="0"/>
                  <w:marRight w:val="0"/>
                  <w:marTop w:val="0"/>
                  <w:marBottom w:val="0"/>
                  <w:divBdr>
                    <w:top w:val="none" w:sz="0" w:space="0" w:color="auto"/>
                    <w:left w:val="none" w:sz="0" w:space="0" w:color="auto"/>
                    <w:bottom w:val="none" w:sz="0" w:space="0" w:color="auto"/>
                    <w:right w:val="none" w:sz="0" w:space="0" w:color="auto"/>
                  </w:divBdr>
                  <w:divsChild>
                    <w:div w:id="954022071">
                      <w:marLeft w:val="0"/>
                      <w:marRight w:val="0"/>
                      <w:marTop w:val="0"/>
                      <w:marBottom w:val="0"/>
                      <w:divBdr>
                        <w:top w:val="none" w:sz="0" w:space="0" w:color="auto"/>
                        <w:left w:val="none" w:sz="0" w:space="0" w:color="auto"/>
                        <w:bottom w:val="none" w:sz="0" w:space="0" w:color="auto"/>
                        <w:right w:val="none" w:sz="0" w:space="0" w:color="auto"/>
                      </w:divBdr>
                    </w:div>
                    <w:div w:id="1813978962">
                      <w:marLeft w:val="0"/>
                      <w:marRight w:val="0"/>
                      <w:marTop w:val="0"/>
                      <w:marBottom w:val="0"/>
                      <w:divBdr>
                        <w:top w:val="none" w:sz="0" w:space="0" w:color="auto"/>
                        <w:left w:val="none" w:sz="0" w:space="0" w:color="auto"/>
                        <w:bottom w:val="none" w:sz="0" w:space="0" w:color="auto"/>
                        <w:right w:val="none" w:sz="0" w:space="0" w:color="auto"/>
                      </w:divBdr>
                    </w:div>
                  </w:divsChild>
                </w:div>
                <w:div w:id="1640961153">
                  <w:marLeft w:val="0"/>
                  <w:marRight w:val="0"/>
                  <w:marTop w:val="0"/>
                  <w:marBottom w:val="0"/>
                  <w:divBdr>
                    <w:top w:val="none" w:sz="0" w:space="0" w:color="auto"/>
                    <w:left w:val="none" w:sz="0" w:space="0" w:color="auto"/>
                    <w:bottom w:val="none" w:sz="0" w:space="0" w:color="auto"/>
                    <w:right w:val="none" w:sz="0" w:space="0" w:color="auto"/>
                  </w:divBdr>
                  <w:divsChild>
                    <w:div w:id="769355637">
                      <w:marLeft w:val="0"/>
                      <w:marRight w:val="0"/>
                      <w:marTop w:val="0"/>
                      <w:marBottom w:val="0"/>
                      <w:divBdr>
                        <w:top w:val="none" w:sz="0" w:space="0" w:color="auto"/>
                        <w:left w:val="none" w:sz="0" w:space="0" w:color="auto"/>
                        <w:bottom w:val="none" w:sz="0" w:space="0" w:color="auto"/>
                        <w:right w:val="none" w:sz="0" w:space="0" w:color="auto"/>
                      </w:divBdr>
                    </w:div>
                    <w:div w:id="2111777617">
                      <w:marLeft w:val="0"/>
                      <w:marRight w:val="0"/>
                      <w:marTop w:val="0"/>
                      <w:marBottom w:val="0"/>
                      <w:divBdr>
                        <w:top w:val="none" w:sz="0" w:space="0" w:color="auto"/>
                        <w:left w:val="none" w:sz="0" w:space="0" w:color="auto"/>
                        <w:bottom w:val="none" w:sz="0" w:space="0" w:color="auto"/>
                        <w:right w:val="none" w:sz="0" w:space="0" w:color="auto"/>
                      </w:divBdr>
                    </w:div>
                  </w:divsChild>
                </w:div>
                <w:div w:id="344091541">
                  <w:marLeft w:val="0"/>
                  <w:marRight w:val="0"/>
                  <w:marTop w:val="0"/>
                  <w:marBottom w:val="0"/>
                  <w:divBdr>
                    <w:top w:val="none" w:sz="0" w:space="0" w:color="auto"/>
                    <w:left w:val="none" w:sz="0" w:space="0" w:color="auto"/>
                    <w:bottom w:val="none" w:sz="0" w:space="0" w:color="auto"/>
                    <w:right w:val="none" w:sz="0" w:space="0" w:color="auto"/>
                  </w:divBdr>
                  <w:divsChild>
                    <w:div w:id="869728756">
                      <w:marLeft w:val="0"/>
                      <w:marRight w:val="0"/>
                      <w:marTop w:val="0"/>
                      <w:marBottom w:val="0"/>
                      <w:divBdr>
                        <w:top w:val="none" w:sz="0" w:space="0" w:color="auto"/>
                        <w:left w:val="none" w:sz="0" w:space="0" w:color="auto"/>
                        <w:bottom w:val="none" w:sz="0" w:space="0" w:color="auto"/>
                        <w:right w:val="none" w:sz="0" w:space="0" w:color="auto"/>
                      </w:divBdr>
                    </w:div>
                    <w:div w:id="1885410112">
                      <w:marLeft w:val="0"/>
                      <w:marRight w:val="0"/>
                      <w:marTop w:val="0"/>
                      <w:marBottom w:val="0"/>
                      <w:divBdr>
                        <w:top w:val="none" w:sz="0" w:space="0" w:color="auto"/>
                        <w:left w:val="none" w:sz="0" w:space="0" w:color="auto"/>
                        <w:bottom w:val="none" w:sz="0" w:space="0" w:color="auto"/>
                        <w:right w:val="none" w:sz="0" w:space="0" w:color="auto"/>
                      </w:divBdr>
                    </w:div>
                  </w:divsChild>
                </w:div>
                <w:div w:id="209612034">
                  <w:marLeft w:val="0"/>
                  <w:marRight w:val="0"/>
                  <w:marTop w:val="0"/>
                  <w:marBottom w:val="0"/>
                  <w:divBdr>
                    <w:top w:val="none" w:sz="0" w:space="0" w:color="auto"/>
                    <w:left w:val="none" w:sz="0" w:space="0" w:color="auto"/>
                    <w:bottom w:val="none" w:sz="0" w:space="0" w:color="auto"/>
                    <w:right w:val="none" w:sz="0" w:space="0" w:color="auto"/>
                  </w:divBdr>
                  <w:divsChild>
                    <w:div w:id="1556504560">
                      <w:marLeft w:val="0"/>
                      <w:marRight w:val="0"/>
                      <w:marTop w:val="0"/>
                      <w:marBottom w:val="0"/>
                      <w:divBdr>
                        <w:top w:val="none" w:sz="0" w:space="0" w:color="auto"/>
                        <w:left w:val="none" w:sz="0" w:space="0" w:color="auto"/>
                        <w:bottom w:val="none" w:sz="0" w:space="0" w:color="auto"/>
                        <w:right w:val="none" w:sz="0" w:space="0" w:color="auto"/>
                      </w:divBdr>
                    </w:div>
                  </w:divsChild>
                </w:div>
                <w:div w:id="1088385706">
                  <w:marLeft w:val="0"/>
                  <w:marRight w:val="0"/>
                  <w:marTop w:val="0"/>
                  <w:marBottom w:val="0"/>
                  <w:divBdr>
                    <w:top w:val="none" w:sz="0" w:space="0" w:color="auto"/>
                    <w:left w:val="none" w:sz="0" w:space="0" w:color="auto"/>
                    <w:bottom w:val="none" w:sz="0" w:space="0" w:color="auto"/>
                    <w:right w:val="none" w:sz="0" w:space="0" w:color="auto"/>
                  </w:divBdr>
                  <w:divsChild>
                    <w:div w:id="549267670">
                      <w:marLeft w:val="0"/>
                      <w:marRight w:val="0"/>
                      <w:marTop w:val="0"/>
                      <w:marBottom w:val="0"/>
                      <w:divBdr>
                        <w:top w:val="none" w:sz="0" w:space="0" w:color="auto"/>
                        <w:left w:val="none" w:sz="0" w:space="0" w:color="auto"/>
                        <w:bottom w:val="none" w:sz="0" w:space="0" w:color="auto"/>
                        <w:right w:val="none" w:sz="0" w:space="0" w:color="auto"/>
                      </w:divBdr>
                    </w:div>
                    <w:div w:id="675838766">
                      <w:marLeft w:val="0"/>
                      <w:marRight w:val="0"/>
                      <w:marTop w:val="0"/>
                      <w:marBottom w:val="0"/>
                      <w:divBdr>
                        <w:top w:val="none" w:sz="0" w:space="0" w:color="auto"/>
                        <w:left w:val="none" w:sz="0" w:space="0" w:color="auto"/>
                        <w:bottom w:val="none" w:sz="0" w:space="0" w:color="auto"/>
                        <w:right w:val="none" w:sz="0" w:space="0" w:color="auto"/>
                      </w:divBdr>
                    </w:div>
                  </w:divsChild>
                </w:div>
                <w:div w:id="789974023">
                  <w:marLeft w:val="0"/>
                  <w:marRight w:val="0"/>
                  <w:marTop w:val="0"/>
                  <w:marBottom w:val="0"/>
                  <w:divBdr>
                    <w:top w:val="none" w:sz="0" w:space="0" w:color="auto"/>
                    <w:left w:val="none" w:sz="0" w:space="0" w:color="auto"/>
                    <w:bottom w:val="none" w:sz="0" w:space="0" w:color="auto"/>
                    <w:right w:val="none" w:sz="0" w:space="0" w:color="auto"/>
                  </w:divBdr>
                  <w:divsChild>
                    <w:div w:id="473527122">
                      <w:marLeft w:val="0"/>
                      <w:marRight w:val="0"/>
                      <w:marTop w:val="0"/>
                      <w:marBottom w:val="0"/>
                      <w:divBdr>
                        <w:top w:val="none" w:sz="0" w:space="0" w:color="auto"/>
                        <w:left w:val="none" w:sz="0" w:space="0" w:color="auto"/>
                        <w:bottom w:val="none" w:sz="0" w:space="0" w:color="auto"/>
                        <w:right w:val="none" w:sz="0" w:space="0" w:color="auto"/>
                      </w:divBdr>
                    </w:div>
                    <w:div w:id="725026551">
                      <w:marLeft w:val="0"/>
                      <w:marRight w:val="0"/>
                      <w:marTop w:val="0"/>
                      <w:marBottom w:val="0"/>
                      <w:divBdr>
                        <w:top w:val="none" w:sz="0" w:space="0" w:color="auto"/>
                        <w:left w:val="none" w:sz="0" w:space="0" w:color="auto"/>
                        <w:bottom w:val="none" w:sz="0" w:space="0" w:color="auto"/>
                        <w:right w:val="none" w:sz="0" w:space="0" w:color="auto"/>
                      </w:divBdr>
                    </w:div>
                  </w:divsChild>
                </w:div>
                <w:div w:id="824248092">
                  <w:marLeft w:val="0"/>
                  <w:marRight w:val="0"/>
                  <w:marTop w:val="0"/>
                  <w:marBottom w:val="0"/>
                  <w:divBdr>
                    <w:top w:val="none" w:sz="0" w:space="0" w:color="auto"/>
                    <w:left w:val="none" w:sz="0" w:space="0" w:color="auto"/>
                    <w:bottom w:val="none" w:sz="0" w:space="0" w:color="auto"/>
                    <w:right w:val="none" w:sz="0" w:space="0" w:color="auto"/>
                  </w:divBdr>
                  <w:divsChild>
                    <w:div w:id="1850607590">
                      <w:marLeft w:val="0"/>
                      <w:marRight w:val="0"/>
                      <w:marTop w:val="0"/>
                      <w:marBottom w:val="0"/>
                      <w:divBdr>
                        <w:top w:val="none" w:sz="0" w:space="0" w:color="auto"/>
                        <w:left w:val="none" w:sz="0" w:space="0" w:color="auto"/>
                        <w:bottom w:val="none" w:sz="0" w:space="0" w:color="auto"/>
                        <w:right w:val="none" w:sz="0" w:space="0" w:color="auto"/>
                      </w:divBdr>
                    </w:div>
                    <w:div w:id="168453385">
                      <w:marLeft w:val="0"/>
                      <w:marRight w:val="0"/>
                      <w:marTop w:val="0"/>
                      <w:marBottom w:val="0"/>
                      <w:divBdr>
                        <w:top w:val="none" w:sz="0" w:space="0" w:color="auto"/>
                        <w:left w:val="none" w:sz="0" w:space="0" w:color="auto"/>
                        <w:bottom w:val="none" w:sz="0" w:space="0" w:color="auto"/>
                        <w:right w:val="none" w:sz="0" w:space="0" w:color="auto"/>
                      </w:divBdr>
                    </w:div>
                  </w:divsChild>
                </w:div>
                <w:div w:id="1934825591">
                  <w:marLeft w:val="0"/>
                  <w:marRight w:val="0"/>
                  <w:marTop w:val="0"/>
                  <w:marBottom w:val="0"/>
                  <w:divBdr>
                    <w:top w:val="none" w:sz="0" w:space="0" w:color="auto"/>
                    <w:left w:val="none" w:sz="0" w:space="0" w:color="auto"/>
                    <w:bottom w:val="none" w:sz="0" w:space="0" w:color="auto"/>
                    <w:right w:val="none" w:sz="0" w:space="0" w:color="auto"/>
                  </w:divBdr>
                  <w:divsChild>
                    <w:div w:id="1255670789">
                      <w:marLeft w:val="0"/>
                      <w:marRight w:val="0"/>
                      <w:marTop w:val="0"/>
                      <w:marBottom w:val="0"/>
                      <w:divBdr>
                        <w:top w:val="none" w:sz="0" w:space="0" w:color="auto"/>
                        <w:left w:val="none" w:sz="0" w:space="0" w:color="auto"/>
                        <w:bottom w:val="none" w:sz="0" w:space="0" w:color="auto"/>
                        <w:right w:val="none" w:sz="0" w:space="0" w:color="auto"/>
                      </w:divBdr>
                    </w:div>
                    <w:div w:id="1210338165">
                      <w:marLeft w:val="0"/>
                      <w:marRight w:val="0"/>
                      <w:marTop w:val="0"/>
                      <w:marBottom w:val="0"/>
                      <w:divBdr>
                        <w:top w:val="none" w:sz="0" w:space="0" w:color="auto"/>
                        <w:left w:val="none" w:sz="0" w:space="0" w:color="auto"/>
                        <w:bottom w:val="none" w:sz="0" w:space="0" w:color="auto"/>
                        <w:right w:val="none" w:sz="0" w:space="0" w:color="auto"/>
                      </w:divBdr>
                    </w:div>
                  </w:divsChild>
                </w:div>
                <w:div w:id="1177691594">
                  <w:marLeft w:val="0"/>
                  <w:marRight w:val="0"/>
                  <w:marTop w:val="0"/>
                  <w:marBottom w:val="0"/>
                  <w:divBdr>
                    <w:top w:val="none" w:sz="0" w:space="0" w:color="auto"/>
                    <w:left w:val="none" w:sz="0" w:space="0" w:color="auto"/>
                    <w:bottom w:val="none" w:sz="0" w:space="0" w:color="auto"/>
                    <w:right w:val="none" w:sz="0" w:space="0" w:color="auto"/>
                  </w:divBdr>
                  <w:divsChild>
                    <w:div w:id="517357638">
                      <w:marLeft w:val="0"/>
                      <w:marRight w:val="0"/>
                      <w:marTop w:val="0"/>
                      <w:marBottom w:val="0"/>
                      <w:divBdr>
                        <w:top w:val="none" w:sz="0" w:space="0" w:color="auto"/>
                        <w:left w:val="none" w:sz="0" w:space="0" w:color="auto"/>
                        <w:bottom w:val="none" w:sz="0" w:space="0" w:color="auto"/>
                        <w:right w:val="none" w:sz="0" w:space="0" w:color="auto"/>
                      </w:divBdr>
                    </w:div>
                  </w:divsChild>
                </w:div>
                <w:div w:id="1650015369">
                  <w:marLeft w:val="0"/>
                  <w:marRight w:val="0"/>
                  <w:marTop w:val="0"/>
                  <w:marBottom w:val="0"/>
                  <w:divBdr>
                    <w:top w:val="none" w:sz="0" w:space="0" w:color="auto"/>
                    <w:left w:val="none" w:sz="0" w:space="0" w:color="auto"/>
                    <w:bottom w:val="none" w:sz="0" w:space="0" w:color="auto"/>
                    <w:right w:val="none" w:sz="0" w:space="0" w:color="auto"/>
                  </w:divBdr>
                  <w:divsChild>
                    <w:div w:id="1283420868">
                      <w:marLeft w:val="0"/>
                      <w:marRight w:val="0"/>
                      <w:marTop w:val="0"/>
                      <w:marBottom w:val="0"/>
                      <w:divBdr>
                        <w:top w:val="none" w:sz="0" w:space="0" w:color="auto"/>
                        <w:left w:val="none" w:sz="0" w:space="0" w:color="auto"/>
                        <w:bottom w:val="none" w:sz="0" w:space="0" w:color="auto"/>
                        <w:right w:val="none" w:sz="0" w:space="0" w:color="auto"/>
                      </w:divBdr>
                    </w:div>
                  </w:divsChild>
                </w:div>
                <w:div w:id="380832228">
                  <w:marLeft w:val="0"/>
                  <w:marRight w:val="0"/>
                  <w:marTop w:val="0"/>
                  <w:marBottom w:val="0"/>
                  <w:divBdr>
                    <w:top w:val="none" w:sz="0" w:space="0" w:color="auto"/>
                    <w:left w:val="none" w:sz="0" w:space="0" w:color="auto"/>
                    <w:bottom w:val="none" w:sz="0" w:space="0" w:color="auto"/>
                    <w:right w:val="none" w:sz="0" w:space="0" w:color="auto"/>
                  </w:divBdr>
                  <w:divsChild>
                    <w:div w:id="2140688000">
                      <w:marLeft w:val="0"/>
                      <w:marRight w:val="0"/>
                      <w:marTop w:val="0"/>
                      <w:marBottom w:val="0"/>
                      <w:divBdr>
                        <w:top w:val="none" w:sz="0" w:space="0" w:color="auto"/>
                        <w:left w:val="none" w:sz="0" w:space="0" w:color="auto"/>
                        <w:bottom w:val="none" w:sz="0" w:space="0" w:color="auto"/>
                        <w:right w:val="none" w:sz="0" w:space="0" w:color="auto"/>
                      </w:divBdr>
                    </w:div>
                  </w:divsChild>
                </w:div>
                <w:div w:id="2111927383">
                  <w:marLeft w:val="0"/>
                  <w:marRight w:val="0"/>
                  <w:marTop w:val="0"/>
                  <w:marBottom w:val="0"/>
                  <w:divBdr>
                    <w:top w:val="none" w:sz="0" w:space="0" w:color="auto"/>
                    <w:left w:val="none" w:sz="0" w:space="0" w:color="auto"/>
                    <w:bottom w:val="none" w:sz="0" w:space="0" w:color="auto"/>
                    <w:right w:val="none" w:sz="0" w:space="0" w:color="auto"/>
                  </w:divBdr>
                  <w:divsChild>
                    <w:div w:id="103379929">
                      <w:marLeft w:val="0"/>
                      <w:marRight w:val="0"/>
                      <w:marTop w:val="0"/>
                      <w:marBottom w:val="0"/>
                      <w:divBdr>
                        <w:top w:val="none" w:sz="0" w:space="0" w:color="auto"/>
                        <w:left w:val="none" w:sz="0" w:space="0" w:color="auto"/>
                        <w:bottom w:val="none" w:sz="0" w:space="0" w:color="auto"/>
                        <w:right w:val="none" w:sz="0" w:space="0" w:color="auto"/>
                      </w:divBdr>
                    </w:div>
                  </w:divsChild>
                </w:div>
                <w:div w:id="369497164">
                  <w:marLeft w:val="0"/>
                  <w:marRight w:val="0"/>
                  <w:marTop w:val="0"/>
                  <w:marBottom w:val="0"/>
                  <w:divBdr>
                    <w:top w:val="none" w:sz="0" w:space="0" w:color="auto"/>
                    <w:left w:val="none" w:sz="0" w:space="0" w:color="auto"/>
                    <w:bottom w:val="none" w:sz="0" w:space="0" w:color="auto"/>
                    <w:right w:val="none" w:sz="0" w:space="0" w:color="auto"/>
                  </w:divBdr>
                  <w:divsChild>
                    <w:div w:id="1305499758">
                      <w:marLeft w:val="0"/>
                      <w:marRight w:val="0"/>
                      <w:marTop w:val="0"/>
                      <w:marBottom w:val="0"/>
                      <w:divBdr>
                        <w:top w:val="none" w:sz="0" w:space="0" w:color="auto"/>
                        <w:left w:val="none" w:sz="0" w:space="0" w:color="auto"/>
                        <w:bottom w:val="none" w:sz="0" w:space="0" w:color="auto"/>
                        <w:right w:val="none" w:sz="0" w:space="0" w:color="auto"/>
                      </w:divBdr>
                    </w:div>
                  </w:divsChild>
                </w:div>
                <w:div w:id="1793816719">
                  <w:marLeft w:val="0"/>
                  <w:marRight w:val="0"/>
                  <w:marTop w:val="0"/>
                  <w:marBottom w:val="0"/>
                  <w:divBdr>
                    <w:top w:val="none" w:sz="0" w:space="0" w:color="auto"/>
                    <w:left w:val="none" w:sz="0" w:space="0" w:color="auto"/>
                    <w:bottom w:val="none" w:sz="0" w:space="0" w:color="auto"/>
                    <w:right w:val="none" w:sz="0" w:space="0" w:color="auto"/>
                  </w:divBdr>
                  <w:divsChild>
                    <w:div w:id="879248205">
                      <w:marLeft w:val="0"/>
                      <w:marRight w:val="0"/>
                      <w:marTop w:val="0"/>
                      <w:marBottom w:val="0"/>
                      <w:divBdr>
                        <w:top w:val="none" w:sz="0" w:space="0" w:color="auto"/>
                        <w:left w:val="none" w:sz="0" w:space="0" w:color="auto"/>
                        <w:bottom w:val="none" w:sz="0" w:space="0" w:color="auto"/>
                        <w:right w:val="none" w:sz="0" w:space="0" w:color="auto"/>
                      </w:divBdr>
                    </w:div>
                  </w:divsChild>
                </w:div>
                <w:div w:id="162553422">
                  <w:marLeft w:val="0"/>
                  <w:marRight w:val="0"/>
                  <w:marTop w:val="0"/>
                  <w:marBottom w:val="0"/>
                  <w:divBdr>
                    <w:top w:val="none" w:sz="0" w:space="0" w:color="auto"/>
                    <w:left w:val="none" w:sz="0" w:space="0" w:color="auto"/>
                    <w:bottom w:val="none" w:sz="0" w:space="0" w:color="auto"/>
                    <w:right w:val="none" w:sz="0" w:space="0" w:color="auto"/>
                  </w:divBdr>
                  <w:divsChild>
                    <w:div w:id="1033383312">
                      <w:marLeft w:val="0"/>
                      <w:marRight w:val="0"/>
                      <w:marTop w:val="0"/>
                      <w:marBottom w:val="0"/>
                      <w:divBdr>
                        <w:top w:val="none" w:sz="0" w:space="0" w:color="auto"/>
                        <w:left w:val="none" w:sz="0" w:space="0" w:color="auto"/>
                        <w:bottom w:val="none" w:sz="0" w:space="0" w:color="auto"/>
                        <w:right w:val="none" w:sz="0" w:space="0" w:color="auto"/>
                      </w:divBdr>
                    </w:div>
                  </w:divsChild>
                </w:div>
                <w:div w:id="1058169909">
                  <w:marLeft w:val="0"/>
                  <w:marRight w:val="0"/>
                  <w:marTop w:val="0"/>
                  <w:marBottom w:val="0"/>
                  <w:divBdr>
                    <w:top w:val="none" w:sz="0" w:space="0" w:color="auto"/>
                    <w:left w:val="none" w:sz="0" w:space="0" w:color="auto"/>
                    <w:bottom w:val="none" w:sz="0" w:space="0" w:color="auto"/>
                    <w:right w:val="none" w:sz="0" w:space="0" w:color="auto"/>
                  </w:divBdr>
                  <w:divsChild>
                    <w:div w:id="83963996">
                      <w:marLeft w:val="0"/>
                      <w:marRight w:val="0"/>
                      <w:marTop w:val="0"/>
                      <w:marBottom w:val="0"/>
                      <w:divBdr>
                        <w:top w:val="none" w:sz="0" w:space="0" w:color="auto"/>
                        <w:left w:val="none" w:sz="0" w:space="0" w:color="auto"/>
                        <w:bottom w:val="none" w:sz="0" w:space="0" w:color="auto"/>
                        <w:right w:val="none" w:sz="0" w:space="0" w:color="auto"/>
                      </w:divBdr>
                    </w:div>
                  </w:divsChild>
                </w:div>
                <w:div w:id="1558709526">
                  <w:marLeft w:val="0"/>
                  <w:marRight w:val="0"/>
                  <w:marTop w:val="0"/>
                  <w:marBottom w:val="0"/>
                  <w:divBdr>
                    <w:top w:val="none" w:sz="0" w:space="0" w:color="auto"/>
                    <w:left w:val="none" w:sz="0" w:space="0" w:color="auto"/>
                    <w:bottom w:val="none" w:sz="0" w:space="0" w:color="auto"/>
                    <w:right w:val="none" w:sz="0" w:space="0" w:color="auto"/>
                  </w:divBdr>
                  <w:divsChild>
                    <w:div w:id="1547376587">
                      <w:marLeft w:val="0"/>
                      <w:marRight w:val="0"/>
                      <w:marTop w:val="0"/>
                      <w:marBottom w:val="0"/>
                      <w:divBdr>
                        <w:top w:val="none" w:sz="0" w:space="0" w:color="auto"/>
                        <w:left w:val="none" w:sz="0" w:space="0" w:color="auto"/>
                        <w:bottom w:val="none" w:sz="0" w:space="0" w:color="auto"/>
                        <w:right w:val="none" w:sz="0" w:space="0" w:color="auto"/>
                      </w:divBdr>
                    </w:div>
                  </w:divsChild>
                </w:div>
                <w:div w:id="221138795">
                  <w:marLeft w:val="0"/>
                  <w:marRight w:val="0"/>
                  <w:marTop w:val="0"/>
                  <w:marBottom w:val="0"/>
                  <w:divBdr>
                    <w:top w:val="none" w:sz="0" w:space="0" w:color="auto"/>
                    <w:left w:val="none" w:sz="0" w:space="0" w:color="auto"/>
                    <w:bottom w:val="none" w:sz="0" w:space="0" w:color="auto"/>
                    <w:right w:val="none" w:sz="0" w:space="0" w:color="auto"/>
                  </w:divBdr>
                  <w:divsChild>
                    <w:div w:id="512720655">
                      <w:marLeft w:val="0"/>
                      <w:marRight w:val="0"/>
                      <w:marTop w:val="0"/>
                      <w:marBottom w:val="0"/>
                      <w:divBdr>
                        <w:top w:val="none" w:sz="0" w:space="0" w:color="auto"/>
                        <w:left w:val="none" w:sz="0" w:space="0" w:color="auto"/>
                        <w:bottom w:val="none" w:sz="0" w:space="0" w:color="auto"/>
                        <w:right w:val="none" w:sz="0" w:space="0" w:color="auto"/>
                      </w:divBdr>
                    </w:div>
                  </w:divsChild>
                </w:div>
                <w:div w:id="794102627">
                  <w:marLeft w:val="0"/>
                  <w:marRight w:val="0"/>
                  <w:marTop w:val="0"/>
                  <w:marBottom w:val="0"/>
                  <w:divBdr>
                    <w:top w:val="none" w:sz="0" w:space="0" w:color="auto"/>
                    <w:left w:val="none" w:sz="0" w:space="0" w:color="auto"/>
                    <w:bottom w:val="none" w:sz="0" w:space="0" w:color="auto"/>
                    <w:right w:val="none" w:sz="0" w:space="0" w:color="auto"/>
                  </w:divBdr>
                  <w:divsChild>
                    <w:div w:id="1666321670">
                      <w:marLeft w:val="0"/>
                      <w:marRight w:val="0"/>
                      <w:marTop w:val="0"/>
                      <w:marBottom w:val="0"/>
                      <w:divBdr>
                        <w:top w:val="none" w:sz="0" w:space="0" w:color="auto"/>
                        <w:left w:val="none" w:sz="0" w:space="0" w:color="auto"/>
                        <w:bottom w:val="none" w:sz="0" w:space="0" w:color="auto"/>
                        <w:right w:val="none" w:sz="0" w:space="0" w:color="auto"/>
                      </w:divBdr>
                    </w:div>
                  </w:divsChild>
                </w:div>
                <w:div w:id="1844316088">
                  <w:marLeft w:val="0"/>
                  <w:marRight w:val="0"/>
                  <w:marTop w:val="0"/>
                  <w:marBottom w:val="0"/>
                  <w:divBdr>
                    <w:top w:val="none" w:sz="0" w:space="0" w:color="auto"/>
                    <w:left w:val="none" w:sz="0" w:space="0" w:color="auto"/>
                    <w:bottom w:val="none" w:sz="0" w:space="0" w:color="auto"/>
                    <w:right w:val="none" w:sz="0" w:space="0" w:color="auto"/>
                  </w:divBdr>
                  <w:divsChild>
                    <w:div w:id="1914317983">
                      <w:marLeft w:val="0"/>
                      <w:marRight w:val="0"/>
                      <w:marTop w:val="0"/>
                      <w:marBottom w:val="0"/>
                      <w:divBdr>
                        <w:top w:val="none" w:sz="0" w:space="0" w:color="auto"/>
                        <w:left w:val="none" w:sz="0" w:space="0" w:color="auto"/>
                        <w:bottom w:val="none" w:sz="0" w:space="0" w:color="auto"/>
                        <w:right w:val="none" w:sz="0" w:space="0" w:color="auto"/>
                      </w:divBdr>
                    </w:div>
                  </w:divsChild>
                </w:div>
                <w:div w:id="1843162730">
                  <w:marLeft w:val="0"/>
                  <w:marRight w:val="0"/>
                  <w:marTop w:val="0"/>
                  <w:marBottom w:val="0"/>
                  <w:divBdr>
                    <w:top w:val="none" w:sz="0" w:space="0" w:color="auto"/>
                    <w:left w:val="none" w:sz="0" w:space="0" w:color="auto"/>
                    <w:bottom w:val="none" w:sz="0" w:space="0" w:color="auto"/>
                    <w:right w:val="none" w:sz="0" w:space="0" w:color="auto"/>
                  </w:divBdr>
                  <w:divsChild>
                    <w:div w:id="416948469">
                      <w:marLeft w:val="0"/>
                      <w:marRight w:val="0"/>
                      <w:marTop w:val="0"/>
                      <w:marBottom w:val="0"/>
                      <w:divBdr>
                        <w:top w:val="none" w:sz="0" w:space="0" w:color="auto"/>
                        <w:left w:val="none" w:sz="0" w:space="0" w:color="auto"/>
                        <w:bottom w:val="none" w:sz="0" w:space="0" w:color="auto"/>
                        <w:right w:val="none" w:sz="0" w:space="0" w:color="auto"/>
                      </w:divBdr>
                    </w:div>
                  </w:divsChild>
                </w:div>
                <w:div w:id="483275931">
                  <w:marLeft w:val="0"/>
                  <w:marRight w:val="0"/>
                  <w:marTop w:val="0"/>
                  <w:marBottom w:val="0"/>
                  <w:divBdr>
                    <w:top w:val="none" w:sz="0" w:space="0" w:color="auto"/>
                    <w:left w:val="none" w:sz="0" w:space="0" w:color="auto"/>
                    <w:bottom w:val="none" w:sz="0" w:space="0" w:color="auto"/>
                    <w:right w:val="none" w:sz="0" w:space="0" w:color="auto"/>
                  </w:divBdr>
                  <w:divsChild>
                    <w:div w:id="172577882">
                      <w:marLeft w:val="0"/>
                      <w:marRight w:val="0"/>
                      <w:marTop w:val="0"/>
                      <w:marBottom w:val="0"/>
                      <w:divBdr>
                        <w:top w:val="none" w:sz="0" w:space="0" w:color="auto"/>
                        <w:left w:val="none" w:sz="0" w:space="0" w:color="auto"/>
                        <w:bottom w:val="none" w:sz="0" w:space="0" w:color="auto"/>
                        <w:right w:val="none" w:sz="0" w:space="0" w:color="auto"/>
                      </w:divBdr>
                    </w:div>
                  </w:divsChild>
                </w:div>
                <w:div w:id="574975312">
                  <w:marLeft w:val="0"/>
                  <w:marRight w:val="0"/>
                  <w:marTop w:val="0"/>
                  <w:marBottom w:val="0"/>
                  <w:divBdr>
                    <w:top w:val="none" w:sz="0" w:space="0" w:color="auto"/>
                    <w:left w:val="none" w:sz="0" w:space="0" w:color="auto"/>
                    <w:bottom w:val="none" w:sz="0" w:space="0" w:color="auto"/>
                    <w:right w:val="none" w:sz="0" w:space="0" w:color="auto"/>
                  </w:divBdr>
                  <w:divsChild>
                    <w:div w:id="1175263288">
                      <w:marLeft w:val="0"/>
                      <w:marRight w:val="0"/>
                      <w:marTop w:val="0"/>
                      <w:marBottom w:val="0"/>
                      <w:divBdr>
                        <w:top w:val="none" w:sz="0" w:space="0" w:color="auto"/>
                        <w:left w:val="none" w:sz="0" w:space="0" w:color="auto"/>
                        <w:bottom w:val="none" w:sz="0" w:space="0" w:color="auto"/>
                        <w:right w:val="none" w:sz="0" w:space="0" w:color="auto"/>
                      </w:divBdr>
                    </w:div>
                  </w:divsChild>
                </w:div>
                <w:div w:id="1637756487">
                  <w:marLeft w:val="0"/>
                  <w:marRight w:val="0"/>
                  <w:marTop w:val="0"/>
                  <w:marBottom w:val="0"/>
                  <w:divBdr>
                    <w:top w:val="none" w:sz="0" w:space="0" w:color="auto"/>
                    <w:left w:val="none" w:sz="0" w:space="0" w:color="auto"/>
                    <w:bottom w:val="none" w:sz="0" w:space="0" w:color="auto"/>
                    <w:right w:val="none" w:sz="0" w:space="0" w:color="auto"/>
                  </w:divBdr>
                  <w:divsChild>
                    <w:div w:id="777024442">
                      <w:marLeft w:val="0"/>
                      <w:marRight w:val="0"/>
                      <w:marTop w:val="0"/>
                      <w:marBottom w:val="0"/>
                      <w:divBdr>
                        <w:top w:val="none" w:sz="0" w:space="0" w:color="auto"/>
                        <w:left w:val="none" w:sz="0" w:space="0" w:color="auto"/>
                        <w:bottom w:val="none" w:sz="0" w:space="0" w:color="auto"/>
                        <w:right w:val="none" w:sz="0" w:space="0" w:color="auto"/>
                      </w:divBdr>
                    </w:div>
                  </w:divsChild>
                </w:div>
                <w:div w:id="1646205591">
                  <w:marLeft w:val="0"/>
                  <w:marRight w:val="0"/>
                  <w:marTop w:val="0"/>
                  <w:marBottom w:val="0"/>
                  <w:divBdr>
                    <w:top w:val="none" w:sz="0" w:space="0" w:color="auto"/>
                    <w:left w:val="none" w:sz="0" w:space="0" w:color="auto"/>
                    <w:bottom w:val="none" w:sz="0" w:space="0" w:color="auto"/>
                    <w:right w:val="none" w:sz="0" w:space="0" w:color="auto"/>
                  </w:divBdr>
                  <w:divsChild>
                    <w:div w:id="2136554539">
                      <w:marLeft w:val="0"/>
                      <w:marRight w:val="0"/>
                      <w:marTop w:val="0"/>
                      <w:marBottom w:val="0"/>
                      <w:divBdr>
                        <w:top w:val="none" w:sz="0" w:space="0" w:color="auto"/>
                        <w:left w:val="none" w:sz="0" w:space="0" w:color="auto"/>
                        <w:bottom w:val="none" w:sz="0" w:space="0" w:color="auto"/>
                        <w:right w:val="none" w:sz="0" w:space="0" w:color="auto"/>
                      </w:divBdr>
                    </w:div>
                  </w:divsChild>
                </w:div>
                <w:div w:id="1360669719">
                  <w:marLeft w:val="0"/>
                  <w:marRight w:val="0"/>
                  <w:marTop w:val="0"/>
                  <w:marBottom w:val="0"/>
                  <w:divBdr>
                    <w:top w:val="none" w:sz="0" w:space="0" w:color="auto"/>
                    <w:left w:val="none" w:sz="0" w:space="0" w:color="auto"/>
                    <w:bottom w:val="none" w:sz="0" w:space="0" w:color="auto"/>
                    <w:right w:val="none" w:sz="0" w:space="0" w:color="auto"/>
                  </w:divBdr>
                  <w:divsChild>
                    <w:div w:id="633946649">
                      <w:marLeft w:val="0"/>
                      <w:marRight w:val="0"/>
                      <w:marTop w:val="0"/>
                      <w:marBottom w:val="0"/>
                      <w:divBdr>
                        <w:top w:val="none" w:sz="0" w:space="0" w:color="auto"/>
                        <w:left w:val="none" w:sz="0" w:space="0" w:color="auto"/>
                        <w:bottom w:val="none" w:sz="0" w:space="0" w:color="auto"/>
                        <w:right w:val="none" w:sz="0" w:space="0" w:color="auto"/>
                      </w:divBdr>
                    </w:div>
                  </w:divsChild>
                </w:div>
                <w:div w:id="1936018743">
                  <w:marLeft w:val="0"/>
                  <w:marRight w:val="0"/>
                  <w:marTop w:val="0"/>
                  <w:marBottom w:val="0"/>
                  <w:divBdr>
                    <w:top w:val="none" w:sz="0" w:space="0" w:color="auto"/>
                    <w:left w:val="none" w:sz="0" w:space="0" w:color="auto"/>
                    <w:bottom w:val="none" w:sz="0" w:space="0" w:color="auto"/>
                    <w:right w:val="none" w:sz="0" w:space="0" w:color="auto"/>
                  </w:divBdr>
                  <w:divsChild>
                    <w:div w:id="105738468">
                      <w:marLeft w:val="0"/>
                      <w:marRight w:val="0"/>
                      <w:marTop w:val="0"/>
                      <w:marBottom w:val="0"/>
                      <w:divBdr>
                        <w:top w:val="none" w:sz="0" w:space="0" w:color="auto"/>
                        <w:left w:val="none" w:sz="0" w:space="0" w:color="auto"/>
                        <w:bottom w:val="none" w:sz="0" w:space="0" w:color="auto"/>
                        <w:right w:val="none" w:sz="0" w:space="0" w:color="auto"/>
                      </w:divBdr>
                    </w:div>
                  </w:divsChild>
                </w:div>
                <w:div w:id="942880521">
                  <w:marLeft w:val="0"/>
                  <w:marRight w:val="0"/>
                  <w:marTop w:val="0"/>
                  <w:marBottom w:val="0"/>
                  <w:divBdr>
                    <w:top w:val="none" w:sz="0" w:space="0" w:color="auto"/>
                    <w:left w:val="none" w:sz="0" w:space="0" w:color="auto"/>
                    <w:bottom w:val="none" w:sz="0" w:space="0" w:color="auto"/>
                    <w:right w:val="none" w:sz="0" w:space="0" w:color="auto"/>
                  </w:divBdr>
                  <w:divsChild>
                    <w:div w:id="1592159755">
                      <w:marLeft w:val="0"/>
                      <w:marRight w:val="0"/>
                      <w:marTop w:val="0"/>
                      <w:marBottom w:val="0"/>
                      <w:divBdr>
                        <w:top w:val="none" w:sz="0" w:space="0" w:color="auto"/>
                        <w:left w:val="none" w:sz="0" w:space="0" w:color="auto"/>
                        <w:bottom w:val="none" w:sz="0" w:space="0" w:color="auto"/>
                        <w:right w:val="none" w:sz="0" w:space="0" w:color="auto"/>
                      </w:divBdr>
                    </w:div>
                  </w:divsChild>
                </w:div>
                <w:div w:id="393041055">
                  <w:marLeft w:val="0"/>
                  <w:marRight w:val="0"/>
                  <w:marTop w:val="0"/>
                  <w:marBottom w:val="0"/>
                  <w:divBdr>
                    <w:top w:val="none" w:sz="0" w:space="0" w:color="auto"/>
                    <w:left w:val="none" w:sz="0" w:space="0" w:color="auto"/>
                    <w:bottom w:val="none" w:sz="0" w:space="0" w:color="auto"/>
                    <w:right w:val="none" w:sz="0" w:space="0" w:color="auto"/>
                  </w:divBdr>
                  <w:divsChild>
                    <w:div w:id="1886409207">
                      <w:marLeft w:val="0"/>
                      <w:marRight w:val="0"/>
                      <w:marTop w:val="0"/>
                      <w:marBottom w:val="0"/>
                      <w:divBdr>
                        <w:top w:val="none" w:sz="0" w:space="0" w:color="auto"/>
                        <w:left w:val="none" w:sz="0" w:space="0" w:color="auto"/>
                        <w:bottom w:val="none" w:sz="0" w:space="0" w:color="auto"/>
                        <w:right w:val="none" w:sz="0" w:space="0" w:color="auto"/>
                      </w:divBdr>
                    </w:div>
                  </w:divsChild>
                </w:div>
                <w:div w:id="1196892508">
                  <w:marLeft w:val="0"/>
                  <w:marRight w:val="0"/>
                  <w:marTop w:val="0"/>
                  <w:marBottom w:val="0"/>
                  <w:divBdr>
                    <w:top w:val="none" w:sz="0" w:space="0" w:color="auto"/>
                    <w:left w:val="none" w:sz="0" w:space="0" w:color="auto"/>
                    <w:bottom w:val="none" w:sz="0" w:space="0" w:color="auto"/>
                    <w:right w:val="none" w:sz="0" w:space="0" w:color="auto"/>
                  </w:divBdr>
                  <w:divsChild>
                    <w:div w:id="1776293287">
                      <w:marLeft w:val="0"/>
                      <w:marRight w:val="0"/>
                      <w:marTop w:val="0"/>
                      <w:marBottom w:val="0"/>
                      <w:divBdr>
                        <w:top w:val="none" w:sz="0" w:space="0" w:color="auto"/>
                        <w:left w:val="none" w:sz="0" w:space="0" w:color="auto"/>
                        <w:bottom w:val="none" w:sz="0" w:space="0" w:color="auto"/>
                        <w:right w:val="none" w:sz="0" w:space="0" w:color="auto"/>
                      </w:divBdr>
                    </w:div>
                  </w:divsChild>
                </w:div>
                <w:div w:id="1744568983">
                  <w:marLeft w:val="0"/>
                  <w:marRight w:val="0"/>
                  <w:marTop w:val="0"/>
                  <w:marBottom w:val="0"/>
                  <w:divBdr>
                    <w:top w:val="none" w:sz="0" w:space="0" w:color="auto"/>
                    <w:left w:val="none" w:sz="0" w:space="0" w:color="auto"/>
                    <w:bottom w:val="none" w:sz="0" w:space="0" w:color="auto"/>
                    <w:right w:val="none" w:sz="0" w:space="0" w:color="auto"/>
                  </w:divBdr>
                  <w:divsChild>
                    <w:div w:id="1489980064">
                      <w:marLeft w:val="0"/>
                      <w:marRight w:val="0"/>
                      <w:marTop w:val="0"/>
                      <w:marBottom w:val="0"/>
                      <w:divBdr>
                        <w:top w:val="none" w:sz="0" w:space="0" w:color="auto"/>
                        <w:left w:val="none" w:sz="0" w:space="0" w:color="auto"/>
                        <w:bottom w:val="none" w:sz="0" w:space="0" w:color="auto"/>
                        <w:right w:val="none" w:sz="0" w:space="0" w:color="auto"/>
                      </w:divBdr>
                    </w:div>
                  </w:divsChild>
                </w:div>
                <w:div w:id="727728125">
                  <w:marLeft w:val="0"/>
                  <w:marRight w:val="0"/>
                  <w:marTop w:val="0"/>
                  <w:marBottom w:val="0"/>
                  <w:divBdr>
                    <w:top w:val="none" w:sz="0" w:space="0" w:color="auto"/>
                    <w:left w:val="none" w:sz="0" w:space="0" w:color="auto"/>
                    <w:bottom w:val="none" w:sz="0" w:space="0" w:color="auto"/>
                    <w:right w:val="none" w:sz="0" w:space="0" w:color="auto"/>
                  </w:divBdr>
                  <w:divsChild>
                    <w:div w:id="1459760439">
                      <w:marLeft w:val="0"/>
                      <w:marRight w:val="0"/>
                      <w:marTop w:val="0"/>
                      <w:marBottom w:val="0"/>
                      <w:divBdr>
                        <w:top w:val="none" w:sz="0" w:space="0" w:color="auto"/>
                        <w:left w:val="none" w:sz="0" w:space="0" w:color="auto"/>
                        <w:bottom w:val="none" w:sz="0" w:space="0" w:color="auto"/>
                        <w:right w:val="none" w:sz="0" w:space="0" w:color="auto"/>
                      </w:divBdr>
                    </w:div>
                  </w:divsChild>
                </w:div>
                <w:div w:id="738601687">
                  <w:marLeft w:val="0"/>
                  <w:marRight w:val="0"/>
                  <w:marTop w:val="0"/>
                  <w:marBottom w:val="0"/>
                  <w:divBdr>
                    <w:top w:val="none" w:sz="0" w:space="0" w:color="auto"/>
                    <w:left w:val="none" w:sz="0" w:space="0" w:color="auto"/>
                    <w:bottom w:val="none" w:sz="0" w:space="0" w:color="auto"/>
                    <w:right w:val="none" w:sz="0" w:space="0" w:color="auto"/>
                  </w:divBdr>
                  <w:divsChild>
                    <w:div w:id="1748260584">
                      <w:marLeft w:val="0"/>
                      <w:marRight w:val="0"/>
                      <w:marTop w:val="0"/>
                      <w:marBottom w:val="0"/>
                      <w:divBdr>
                        <w:top w:val="none" w:sz="0" w:space="0" w:color="auto"/>
                        <w:left w:val="none" w:sz="0" w:space="0" w:color="auto"/>
                        <w:bottom w:val="none" w:sz="0" w:space="0" w:color="auto"/>
                        <w:right w:val="none" w:sz="0" w:space="0" w:color="auto"/>
                      </w:divBdr>
                    </w:div>
                  </w:divsChild>
                </w:div>
                <w:div w:id="2026517561">
                  <w:marLeft w:val="0"/>
                  <w:marRight w:val="0"/>
                  <w:marTop w:val="0"/>
                  <w:marBottom w:val="0"/>
                  <w:divBdr>
                    <w:top w:val="none" w:sz="0" w:space="0" w:color="auto"/>
                    <w:left w:val="none" w:sz="0" w:space="0" w:color="auto"/>
                    <w:bottom w:val="none" w:sz="0" w:space="0" w:color="auto"/>
                    <w:right w:val="none" w:sz="0" w:space="0" w:color="auto"/>
                  </w:divBdr>
                  <w:divsChild>
                    <w:div w:id="12266726">
                      <w:marLeft w:val="0"/>
                      <w:marRight w:val="0"/>
                      <w:marTop w:val="0"/>
                      <w:marBottom w:val="0"/>
                      <w:divBdr>
                        <w:top w:val="none" w:sz="0" w:space="0" w:color="auto"/>
                        <w:left w:val="none" w:sz="0" w:space="0" w:color="auto"/>
                        <w:bottom w:val="none" w:sz="0" w:space="0" w:color="auto"/>
                        <w:right w:val="none" w:sz="0" w:space="0" w:color="auto"/>
                      </w:divBdr>
                    </w:div>
                  </w:divsChild>
                </w:div>
                <w:div w:id="1167283179">
                  <w:marLeft w:val="0"/>
                  <w:marRight w:val="0"/>
                  <w:marTop w:val="0"/>
                  <w:marBottom w:val="0"/>
                  <w:divBdr>
                    <w:top w:val="none" w:sz="0" w:space="0" w:color="auto"/>
                    <w:left w:val="none" w:sz="0" w:space="0" w:color="auto"/>
                    <w:bottom w:val="none" w:sz="0" w:space="0" w:color="auto"/>
                    <w:right w:val="none" w:sz="0" w:space="0" w:color="auto"/>
                  </w:divBdr>
                  <w:divsChild>
                    <w:div w:id="2006516544">
                      <w:marLeft w:val="0"/>
                      <w:marRight w:val="0"/>
                      <w:marTop w:val="0"/>
                      <w:marBottom w:val="0"/>
                      <w:divBdr>
                        <w:top w:val="none" w:sz="0" w:space="0" w:color="auto"/>
                        <w:left w:val="none" w:sz="0" w:space="0" w:color="auto"/>
                        <w:bottom w:val="none" w:sz="0" w:space="0" w:color="auto"/>
                        <w:right w:val="none" w:sz="0" w:space="0" w:color="auto"/>
                      </w:divBdr>
                    </w:div>
                  </w:divsChild>
                </w:div>
                <w:div w:id="2110814762">
                  <w:marLeft w:val="0"/>
                  <w:marRight w:val="0"/>
                  <w:marTop w:val="0"/>
                  <w:marBottom w:val="0"/>
                  <w:divBdr>
                    <w:top w:val="none" w:sz="0" w:space="0" w:color="auto"/>
                    <w:left w:val="none" w:sz="0" w:space="0" w:color="auto"/>
                    <w:bottom w:val="none" w:sz="0" w:space="0" w:color="auto"/>
                    <w:right w:val="none" w:sz="0" w:space="0" w:color="auto"/>
                  </w:divBdr>
                  <w:divsChild>
                    <w:div w:id="51661339">
                      <w:marLeft w:val="0"/>
                      <w:marRight w:val="0"/>
                      <w:marTop w:val="0"/>
                      <w:marBottom w:val="0"/>
                      <w:divBdr>
                        <w:top w:val="none" w:sz="0" w:space="0" w:color="auto"/>
                        <w:left w:val="none" w:sz="0" w:space="0" w:color="auto"/>
                        <w:bottom w:val="none" w:sz="0" w:space="0" w:color="auto"/>
                        <w:right w:val="none" w:sz="0" w:space="0" w:color="auto"/>
                      </w:divBdr>
                    </w:div>
                  </w:divsChild>
                </w:div>
                <w:div w:id="1599021926">
                  <w:marLeft w:val="0"/>
                  <w:marRight w:val="0"/>
                  <w:marTop w:val="0"/>
                  <w:marBottom w:val="0"/>
                  <w:divBdr>
                    <w:top w:val="none" w:sz="0" w:space="0" w:color="auto"/>
                    <w:left w:val="none" w:sz="0" w:space="0" w:color="auto"/>
                    <w:bottom w:val="none" w:sz="0" w:space="0" w:color="auto"/>
                    <w:right w:val="none" w:sz="0" w:space="0" w:color="auto"/>
                  </w:divBdr>
                  <w:divsChild>
                    <w:div w:id="1001547088">
                      <w:marLeft w:val="0"/>
                      <w:marRight w:val="0"/>
                      <w:marTop w:val="0"/>
                      <w:marBottom w:val="0"/>
                      <w:divBdr>
                        <w:top w:val="none" w:sz="0" w:space="0" w:color="auto"/>
                        <w:left w:val="none" w:sz="0" w:space="0" w:color="auto"/>
                        <w:bottom w:val="none" w:sz="0" w:space="0" w:color="auto"/>
                        <w:right w:val="none" w:sz="0" w:space="0" w:color="auto"/>
                      </w:divBdr>
                    </w:div>
                  </w:divsChild>
                </w:div>
                <w:div w:id="366948998">
                  <w:marLeft w:val="0"/>
                  <w:marRight w:val="0"/>
                  <w:marTop w:val="0"/>
                  <w:marBottom w:val="0"/>
                  <w:divBdr>
                    <w:top w:val="none" w:sz="0" w:space="0" w:color="auto"/>
                    <w:left w:val="none" w:sz="0" w:space="0" w:color="auto"/>
                    <w:bottom w:val="none" w:sz="0" w:space="0" w:color="auto"/>
                    <w:right w:val="none" w:sz="0" w:space="0" w:color="auto"/>
                  </w:divBdr>
                  <w:divsChild>
                    <w:div w:id="476455445">
                      <w:marLeft w:val="0"/>
                      <w:marRight w:val="0"/>
                      <w:marTop w:val="0"/>
                      <w:marBottom w:val="0"/>
                      <w:divBdr>
                        <w:top w:val="none" w:sz="0" w:space="0" w:color="auto"/>
                        <w:left w:val="none" w:sz="0" w:space="0" w:color="auto"/>
                        <w:bottom w:val="none" w:sz="0" w:space="0" w:color="auto"/>
                        <w:right w:val="none" w:sz="0" w:space="0" w:color="auto"/>
                      </w:divBdr>
                    </w:div>
                  </w:divsChild>
                </w:div>
                <w:div w:id="1613514348">
                  <w:marLeft w:val="0"/>
                  <w:marRight w:val="0"/>
                  <w:marTop w:val="0"/>
                  <w:marBottom w:val="0"/>
                  <w:divBdr>
                    <w:top w:val="none" w:sz="0" w:space="0" w:color="auto"/>
                    <w:left w:val="none" w:sz="0" w:space="0" w:color="auto"/>
                    <w:bottom w:val="none" w:sz="0" w:space="0" w:color="auto"/>
                    <w:right w:val="none" w:sz="0" w:space="0" w:color="auto"/>
                  </w:divBdr>
                  <w:divsChild>
                    <w:div w:id="1455515828">
                      <w:marLeft w:val="0"/>
                      <w:marRight w:val="0"/>
                      <w:marTop w:val="0"/>
                      <w:marBottom w:val="0"/>
                      <w:divBdr>
                        <w:top w:val="none" w:sz="0" w:space="0" w:color="auto"/>
                        <w:left w:val="none" w:sz="0" w:space="0" w:color="auto"/>
                        <w:bottom w:val="none" w:sz="0" w:space="0" w:color="auto"/>
                        <w:right w:val="none" w:sz="0" w:space="0" w:color="auto"/>
                      </w:divBdr>
                    </w:div>
                  </w:divsChild>
                </w:div>
                <w:div w:id="1907297962">
                  <w:marLeft w:val="0"/>
                  <w:marRight w:val="0"/>
                  <w:marTop w:val="0"/>
                  <w:marBottom w:val="0"/>
                  <w:divBdr>
                    <w:top w:val="none" w:sz="0" w:space="0" w:color="auto"/>
                    <w:left w:val="none" w:sz="0" w:space="0" w:color="auto"/>
                    <w:bottom w:val="none" w:sz="0" w:space="0" w:color="auto"/>
                    <w:right w:val="none" w:sz="0" w:space="0" w:color="auto"/>
                  </w:divBdr>
                  <w:divsChild>
                    <w:div w:id="687173749">
                      <w:marLeft w:val="0"/>
                      <w:marRight w:val="0"/>
                      <w:marTop w:val="0"/>
                      <w:marBottom w:val="0"/>
                      <w:divBdr>
                        <w:top w:val="none" w:sz="0" w:space="0" w:color="auto"/>
                        <w:left w:val="none" w:sz="0" w:space="0" w:color="auto"/>
                        <w:bottom w:val="none" w:sz="0" w:space="0" w:color="auto"/>
                        <w:right w:val="none" w:sz="0" w:space="0" w:color="auto"/>
                      </w:divBdr>
                    </w:div>
                  </w:divsChild>
                </w:div>
                <w:div w:id="483737708">
                  <w:marLeft w:val="0"/>
                  <w:marRight w:val="0"/>
                  <w:marTop w:val="0"/>
                  <w:marBottom w:val="0"/>
                  <w:divBdr>
                    <w:top w:val="none" w:sz="0" w:space="0" w:color="auto"/>
                    <w:left w:val="none" w:sz="0" w:space="0" w:color="auto"/>
                    <w:bottom w:val="none" w:sz="0" w:space="0" w:color="auto"/>
                    <w:right w:val="none" w:sz="0" w:space="0" w:color="auto"/>
                  </w:divBdr>
                  <w:divsChild>
                    <w:div w:id="789127695">
                      <w:marLeft w:val="0"/>
                      <w:marRight w:val="0"/>
                      <w:marTop w:val="0"/>
                      <w:marBottom w:val="0"/>
                      <w:divBdr>
                        <w:top w:val="none" w:sz="0" w:space="0" w:color="auto"/>
                        <w:left w:val="none" w:sz="0" w:space="0" w:color="auto"/>
                        <w:bottom w:val="none" w:sz="0" w:space="0" w:color="auto"/>
                        <w:right w:val="none" w:sz="0" w:space="0" w:color="auto"/>
                      </w:divBdr>
                    </w:div>
                  </w:divsChild>
                </w:div>
                <w:div w:id="43213569">
                  <w:marLeft w:val="0"/>
                  <w:marRight w:val="0"/>
                  <w:marTop w:val="0"/>
                  <w:marBottom w:val="0"/>
                  <w:divBdr>
                    <w:top w:val="none" w:sz="0" w:space="0" w:color="auto"/>
                    <w:left w:val="none" w:sz="0" w:space="0" w:color="auto"/>
                    <w:bottom w:val="none" w:sz="0" w:space="0" w:color="auto"/>
                    <w:right w:val="none" w:sz="0" w:space="0" w:color="auto"/>
                  </w:divBdr>
                  <w:divsChild>
                    <w:div w:id="197594900">
                      <w:marLeft w:val="0"/>
                      <w:marRight w:val="0"/>
                      <w:marTop w:val="0"/>
                      <w:marBottom w:val="0"/>
                      <w:divBdr>
                        <w:top w:val="none" w:sz="0" w:space="0" w:color="auto"/>
                        <w:left w:val="none" w:sz="0" w:space="0" w:color="auto"/>
                        <w:bottom w:val="none" w:sz="0" w:space="0" w:color="auto"/>
                        <w:right w:val="none" w:sz="0" w:space="0" w:color="auto"/>
                      </w:divBdr>
                    </w:div>
                  </w:divsChild>
                </w:div>
                <w:div w:id="1560242060">
                  <w:marLeft w:val="0"/>
                  <w:marRight w:val="0"/>
                  <w:marTop w:val="0"/>
                  <w:marBottom w:val="0"/>
                  <w:divBdr>
                    <w:top w:val="none" w:sz="0" w:space="0" w:color="auto"/>
                    <w:left w:val="none" w:sz="0" w:space="0" w:color="auto"/>
                    <w:bottom w:val="none" w:sz="0" w:space="0" w:color="auto"/>
                    <w:right w:val="none" w:sz="0" w:space="0" w:color="auto"/>
                  </w:divBdr>
                  <w:divsChild>
                    <w:div w:id="130373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7038677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918710257">
      <w:bodyDiv w:val="1"/>
      <w:marLeft w:val="0"/>
      <w:marRight w:val="0"/>
      <w:marTop w:val="0"/>
      <w:marBottom w:val="0"/>
      <w:divBdr>
        <w:top w:val="none" w:sz="0" w:space="0" w:color="auto"/>
        <w:left w:val="none" w:sz="0" w:space="0" w:color="auto"/>
        <w:bottom w:val="none" w:sz="0" w:space="0" w:color="auto"/>
        <w:right w:val="none" w:sz="0" w:space="0" w:color="auto"/>
      </w:divBdr>
      <w:divsChild>
        <w:div w:id="941692147">
          <w:marLeft w:val="0"/>
          <w:marRight w:val="0"/>
          <w:marTop w:val="0"/>
          <w:marBottom w:val="0"/>
          <w:divBdr>
            <w:top w:val="none" w:sz="0" w:space="0" w:color="auto"/>
            <w:left w:val="none" w:sz="0" w:space="0" w:color="auto"/>
            <w:bottom w:val="none" w:sz="0" w:space="0" w:color="auto"/>
            <w:right w:val="none" w:sz="0" w:space="0" w:color="auto"/>
          </w:divBdr>
        </w:div>
      </w:divsChild>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219703285">
      <w:bodyDiv w:val="1"/>
      <w:marLeft w:val="0"/>
      <w:marRight w:val="0"/>
      <w:marTop w:val="0"/>
      <w:marBottom w:val="0"/>
      <w:divBdr>
        <w:top w:val="none" w:sz="0" w:space="0" w:color="auto"/>
        <w:left w:val="none" w:sz="0" w:space="0" w:color="auto"/>
        <w:bottom w:val="none" w:sz="0" w:space="0" w:color="auto"/>
        <w:right w:val="none" w:sz="0" w:space="0" w:color="auto"/>
      </w:divBdr>
    </w:div>
    <w:div w:id="1248925419">
      <w:bodyDiv w:val="1"/>
      <w:marLeft w:val="0"/>
      <w:marRight w:val="0"/>
      <w:marTop w:val="0"/>
      <w:marBottom w:val="0"/>
      <w:divBdr>
        <w:top w:val="none" w:sz="0" w:space="0" w:color="auto"/>
        <w:left w:val="none" w:sz="0" w:space="0" w:color="auto"/>
        <w:bottom w:val="none" w:sz="0" w:space="0" w:color="auto"/>
        <w:right w:val="none" w:sz="0" w:space="0" w:color="auto"/>
      </w:divBdr>
    </w:div>
    <w:div w:id="1276592500">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08264745">
      <w:bodyDiv w:val="1"/>
      <w:marLeft w:val="0"/>
      <w:marRight w:val="0"/>
      <w:marTop w:val="0"/>
      <w:marBottom w:val="0"/>
      <w:divBdr>
        <w:top w:val="none" w:sz="0" w:space="0" w:color="auto"/>
        <w:left w:val="none" w:sz="0" w:space="0" w:color="auto"/>
        <w:bottom w:val="none" w:sz="0" w:space="0" w:color="auto"/>
        <w:right w:val="none" w:sz="0" w:space="0" w:color="auto"/>
      </w:divBdr>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09369094">
      <w:bodyDiv w:val="1"/>
      <w:marLeft w:val="0"/>
      <w:marRight w:val="0"/>
      <w:marTop w:val="0"/>
      <w:marBottom w:val="0"/>
      <w:divBdr>
        <w:top w:val="none" w:sz="0" w:space="0" w:color="auto"/>
        <w:left w:val="none" w:sz="0" w:space="0" w:color="auto"/>
        <w:bottom w:val="none" w:sz="0" w:space="0" w:color="auto"/>
        <w:right w:val="none" w:sz="0" w:space="0" w:color="auto"/>
      </w:divBdr>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669014757">
      <w:bodyDiv w:val="1"/>
      <w:marLeft w:val="0"/>
      <w:marRight w:val="0"/>
      <w:marTop w:val="0"/>
      <w:marBottom w:val="0"/>
      <w:divBdr>
        <w:top w:val="none" w:sz="0" w:space="0" w:color="auto"/>
        <w:left w:val="none" w:sz="0" w:space="0" w:color="auto"/>
        <w:bottom w:val="none" w:sz="0" w:space="0" w:color="auto"/>
        <w:right w:val="none" w:sz="0" w:space="0" w:color="auto"/>
      </w:divBdr>
    </w:div>
    <w:div w:id="1720519041">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886914733">
      <w:bodyDiv w:val="1"/>
      <w:marLeft w:val="0"/>
      <w:marRight w:val="0"/>
      <w:marTop w:val="0"/>
      <w:marBottom w:val="0"/>
      <w:divBdr>
        <w:top w:val="none" w:sz="0" w:space="0" w:color="auto"/>
        <w:left w:val="none" w:sz="0" w:space="0" w:color="auto"/>
        <w:bottom w:val="none" w:sz="0" w:space="0" w:color="auto"/>
        <w:right w:val="none" w:sz="0" w:space="0" w:color="auto"/>
      </w:divBdr>
      <w:divsChild>
        <w:div w:id="502815254">
          <w:marLeft w:val="0"/>
          <w:marRight w:val="0"/>
          <w:marTop w:val="0"/>
          <w:marBottom w:val="0"/>
          <w:divBdr>
            <w:top w:val="none" w:sz="0" w:space="0" w:color="auto"/>
            <w:left w:val="none" w:sz="0" w:space="0" w:color="auto"/>
            <w:bottom w:val="none" w:sz="0" w:space="0" w:color="auto"/>
            <w:right w:val="none" w:sz="0" w:space="0" w:color="auto"/>
          </w:divBdr>
          <w:divsChild>
            <w:div w:id="1961257369">
              <w:marLeft w:val="0"/>
              <w:marRight w:val="0"/>
              <w:marTop w:val="0"/>
              <w:marBottom w:val="0"/>
              <w:divBdr>
                <w:top w:val="none" w:sz="0" w:space="0" w:color="auto"/>
                <w:left w:val="none" w:sz="0" w:space="0" w:color="auto"/>
                <w:bottom w:val="none" w:sz="0" w:space="0" w:color="auto"/>
                <w:right w:val="none" w:sz="0" w:space="0" w:color="auto"/>
              </w:divBdr>
            </w:div>
            <w:div w:id="935021707">
              <w:marLeft w:val="0"/>
              <w:marRight w:val="0"/>
              <w:marTop w:val="0"/>
              <w:marBottom w:val="0"/>
              <w:divBdr>
                <w:top w:val="none" w:sz="0" w:space="0" w:color="auto"/>
                <w:left w:val="none" w:sz="0" w:space="0" w:color="auto"/>
                <w:bottom w:val="none" w:sz="0" w:space="0" w:color="auto"/>
                <w:right w:val="none" w:sz="0" w:space="0" w:color="auto"/>
              </w:divBdr>
            </w:div>
          </w:divsChild>
        </w:div>
        <w:div w:id="1306818468">
          <w:marLeft w:val="0"/>
          <w:marRight w:val="0"/>
          <w:marTop w:val="0"/>
          <w:marBottom w:val="0"/>
          <w:divBdr>
            <w:top w:val="none" w:sz="0" w:space="0" w:color="auto"/>
            <w:left w:val="none" w:sz="0" w:space="0" w:color="auto"/>
            <w:bottom w:val="none" w:sz="0" w:space="0" w:color="auto"/>
            <w:right w:val="none" w:sz="0" w:space="0" w:color="auto"/>
          </w:divBdr>
          <w:divsChild>
            <w:div w:id="141968665">
              <w:marLeft w:val="0"/>
              <w:marRight w:val="0"/>
              <w:marTop w:val="0"/>
              <w:marBottom w:val="0"/>
              <w:divBdr>
                <w:top w:val="none" w:sz="0" w:space="0" w:color="auto"/>
                <w:left w:val="none" w:sz="0" w:space="0" w:color="auto"/>
                <w:bottom w:val="none" w:sz="0" w:space="0" w:color="auto"/>
                <w:right w:val="none" w:sz="0" w:space="0" w:color="auto"/>
              </w:divBdr>
            </w:div>
            <w:div w:id="1667130527">
              <w:marLeft w:val="0"/>
              <w:marRight w:val="0"/>
              <w:marTop w:val="0"/>
              <w:marBottom w:val="0"/>
              <w:divBdr>
                <w:top w:val="none" w:sz="0" w:space="0" w:color="auto"/>
                <w:left w:val="none" w:sz="0" w:space="0" w:color="auto"/>
                <w:bottom w:val="none" w:sz="0" w:space="0" w:color="auto"/>
                <w:right w:val="none" w:sz="0" w:space="0" w:color="auto"/>
              </w:divBdr>
            </w:div>
            <w:div w:id="1151867926">
              <w:marLeft w:val="0"/>
              <w:marRight w:val="0"/>
              <w:marTop w:val="0"/>
              <w:marBottom w:val="0"/>
              <w:divBdr>
                <w:top w:val="none" w:sz="0" w:space="0" w:color="auto"/>
                <w:left w:val="none" w:sz="0" w:space="0" w:color="auto"/>
                <w:bottom w:val="none" w:sz="0" w:space="0" w:color="auto"/>
                <w:right w:val="none" w:sz="0" w:space="0" w:color="auto"/>
              </w:divBdr>
            </w:div>
            <w:div w:id="1486316513">
              <w:marLeft w:val="0"/>
              <w:marRight w:val="0"/>
              <w:marTop w:val="0"/>
              <w:marBottom w:val="0"/>
              <w:divBdr>
                <w:top w:val="none" w:sz="0" w:space="0" w:color="auto"/>
                <w:left w:val="none" w:sz="0" w:space="0" w:color="auto"/>
                <w:bottom w:val="none" w:sz="0" w:space="0" w:color="auto"/>
                <w:right w:val="none" w:sz="0" w:space="0" w:color="auto"/>
              </w:divBdr>
            </w:div>
          </w:divsChild>
        </w:div>
        <w:div w:id="939798194">
          <w:marLeft w:val="0"/>
          <w:marRight w:val="0"/>
          <w:marTop w:val="0"/>
          <w:marBottom w:val="0"/>
          <w:divBdr>
            <w:top w:val="none" w:sz="0" w:space="0" w:color="auto"/>
            <w:left w:val="none" w:sz="0" w:space="0" w:color="auto"/>
            <w:bottom w:val="none" w:sz="0" w:space="0" w:color="auto"/>
            <w:right w:val="none" w:sz="0" w:space="0" w:color="auto"/>
          </w:divBdr>
          <w:divsChild>
            <w:div w:id="1192114185">
              <w:marLeft w:val="0"/>
              <w:marRight w:val="0"/>
              <w:marTop w:val="0"/>
              <w:marBottom w:val="0"/>
              <w:divBdr>
                <w:top w:val="none" w:sz="0" w:space="0" w:color="auto"/>
                <w:left w:val="none" w:sz="0" w:space="0" w:color="auto"/>
                <w:bottom w:val="none" w:sz="0" w:space="0" w:color="auto"/>
                <w:right w:val="none" w:sz="0" w:space="0" w:color="auto"/>
              </w:divBdr>
            </w:div>
            <w:div w:id="973802097">
              <w:marLeft w:val="0"/>
              <w:marRight w:val="0"/>
              <w:marTop w:val="0"/>
              <w:marBottom w:val="0"/>
              <w:divBdr>
                <w:top w:val="none" w:sz="0" w:space="0" w:color="auto"/>
                <w:left w:val="none" w:sz="0" w:space="0" w:color="auto"/>
                <w:bottom w:val="none" w:sz="0" w:space="0" w:color="auto"/>
                <w:right w:val="none" w:sz="0" w:space="0" w:color="auto"/>
              </w:divBdr>
            </w:div>
            <w:div w:id="1330057527">
              <w:marLeft w:val="0"/>
              <w:marRight w:val="0"/>
              <w:marTop w:val="0"/>
              <w:marBottom w:val="0"/>
              <w:divBdr>
                <w:top w:val="none" w:sz="0" w:space="0" w:color="auto"/>
                <w:left w:val="none" w:sz="0" w:space="0" w:color="auto"/>
                <w:bottom w:val="none" w:sz="0" w:space="0" w:color="auto"/>
                <w:right w:val="none" w:sz="0" w:space="0" w:color="auto"/>
              </w:divBdr>
            </w:div>
            <w:div w:id="141192136">
              <w:marLeft w:val="0"/>
              <w:marRight w:val="0"/>
              <w:marTop w:val="0"/>
              <w:marBottom w:val="0"/>
              <w:divBdr>
                <w:top w:val="none" w:sz="0" w:space="0" w:color="auto"/>
                <w:left w:val="none" w:sz="0" w:space="0" w:color="auto"/>
                <w:bottom w:val="none" w:sz="0" w:space="0" w:color="auto"/>
                <w:right w:val="none" w:sz="0" w:space="0" w:color="auto"/>
              </w:divBdr>
            </w:div>
            <w:div w:id="243999067">
              <w:marLeft w:val="0"/>
              <w:marRight w:val="0"/>
              <w:marTop w:val="0"/>
              <w:marBottom w:val="0"/>
              <w:divBdr>
                <w:top w:val="none" w:sz="0" w:space="0" w:color="auto"/>
                <w:left w:val="none" w:sz="0" w:space="0" w:color="auto"/>
                <w:bottom w:val="none" w:sz="0" w:space="0" w:color="auto"/>
                <w:right w:val="none" w:sz="0" w:space="0" w:color="auto"/>
              </w:divBdr>
            </w:div>
          </w:divsChild>
        </w:div>
        <w:div w:id="1016233203">
          <w:marLeft w:val="0"/>
          <w:marRight w:val="0"/>
          <w:marTop w:val="0"/>
          <w:marBottom w:val="0"/>
          <w:divBdr>
            <w:top w:val="none" w:sz="0" w:space="0" w:color="auto"/>
            <w:left w:val="none" w:sz="0" w:space="0" w:color="auto"/>
            <w:bottom w:val="none" w:sz="0" w:space="0" w:color="auto"/>
            <w:right w:val="none" w:sz="0" w:space="0" w:color="auto"/>
          </w:divBdr>
          <w:divsChild>
            <w:div w:id="138350869">
              <w:marLeft w:val="0"/>
              <w:marRight w:val="0"/>
              <w:marTop w:val="0"/>
              <w:marBottom w:val="0"/>
              <w:divBdr>
                <w:top w:val="none" w:sz="0" w:space="0" w:color="auto"/>
                <w:left w:val="none" w:sz="0" w:space="0" w:color="auto"/>
                <w:bottom w:val="none" w:sz="0" w:space="0" w:color="auto"/>
                <w:right w:val="none" w:sz="0" w:space="0" w:color="auto"/>
              </w:divBdr>
            </w:div>
            <w:div w:id="1103570942">
              <w:marLeft w:val="0"/>
              <w:marRight w:val="0"/>
              <w:marTop w:val="0"/>
              <w:marBottom w:val="0"/>
              <w:divBdr>
                <w:top w:val="none" w:sz="0" w:space="0" w:color="auto"/>
                <w:left w:val="none" w:sz="0" w:space="0" w:color="auto"/>
                <w:bottom w:val="none" w:sz="0" w:space="0" w:color="auto"/>
                <w:right w:val="none" w:sz="0" w:space="0" w:color="auto"/>
              </w:divBdr>
            </w:div>
            <w:div w:id="2050181299">
              <w:marLeft w:val="0"/>
              <w:marRight w:val="0"/>
              <w:marTop w:val="0"/>
              <w:marBottom w:val="0"/>
              <w:divBdr>
                <w:top w:val="none" w:sz="0" w:space="0" w:color="auto"/>
                <w:left w:val="none" w:sz="0" w:space="0" w:color="auto"/>
                <w:bottom w:val="none" w:sz="0" w:space="0" w:color="auto"/>
                <w:right w:val="none" w:sz="0" w:space="0" w:color="auto"/>
              </w:divBdr>
            </w:div>
            <w:div w:id="1190029843">
              <w:marLeft w:val="0"/>
              <w:marRight w:val="0"/>
              <w:marTop w:val="0"/>
              <w:marBottom w:val="0"/>
              <w:divBdr>
                <w:top w:val="none" w:sz="0" w:space="0" w:color="auto"/>
                <w:left w:val="none" w:sz="0" w:space="0" w:color="auto"/>
                <w:bottom w:val="none" w:sz="0" w:space="0" w:color="auto"/>
                <w:right w:val="none" w:sz="0" w:space="0" w:color="auto"/>
              </w:divBdr>
            </w:div>
            <w:div w:id="1120803967">
              <w:marLeft w:val="0"/>
              <w:marRight w:val="0"/>
              <w:marTop w:val="0"/>
              <w:marBottom w:val="0"/>
              <w:divBdr>
                <w:top w:val="none" w:sz="0" w:space="0" w:color="auto"/>
                <w:left w:val="none" w:sz="0" w:space="0" w:color="auto"/>
                <w:bottom w:val="none" w:sz="0" w:space="0" w:color="auto"/>
                <w:right w:val="none" w:sz="0" w:space="0" w:color="auto"/>
              </w:divBdr>
            </w:div>
          </w:divsChild>
        </w:div>
        <w:div w:id="73090425">
          <w:marLeft w:val="0"/>
          <w:marRight w:val="0"/>
          <w:marTop w:val="0"/>
          <w:marBottom w:val="0"/>
          <w:divBdr>
            <w:top w:val="none" w:sz="0" w:space="0" w:color="auto"/>
            <w:left w:val="none" w:sz="0" w:space="0" w:color="auto"/>
            <w:bottom w:val="none" w:sz="0" w:space="0" w:color="auto"/>
            <w:right w:val="none" w:sz="0" w:space="0" w:color="auto"/>
          </w:divBdr>
          <w:divsChild>
            <w:div w:id="823743195">
              <w:marLeft w:val="0"/>
              <w:marRight w:val="0"/>
              <w:marTop w:val="0"/>
              <w:marBottom w:val="0"/>
              <w:divBdr>
                <w:top w:val="none" w:sz="0" w:space="0" w:color="auto"/>
                <w:left w:val="none" w:sz="0" w:space="0" w:color="auto"/>
                <w:bottom w:val="none" w:sz="0" w:space="0" w:color="auto"/>
                <w:right w:val="none" w:sz="0" w:space="0" w:color="auto"/>
              </w:divBdr>
            </w:div>
            <w:div w:id="1158225456">
              <w:marLeft w:val="0"/>
              <w:marRight w:val="0"/>
              <w:marTop w:val="0"/>
              <w:marBottom w:val="0"/>
              <w:divBdr>
                <w:top w:val="none" w:sz="0" w:space="0" w:color="auto"/>
                <w:left w:val="none" w:sz="0" w:space="0" w:color="auto"/>
                <w:bottom w:val="none" w:sz="0" w:space="0" w:color="auto"/>
                <w:right w:val="none" w:sz="0" w:space="0" w:color="auto"/>
              </w:divBdr>
            </w:div>
            <w:div w:id="942808244">
              <w:marLeft w:val="0"/>
              <w:marRight w:val="0"/>
              <w:marTop w:val="0"/>
              <w:marBottom w:val="0"/>
              <w:divBdr>
                <w:top w:val="none" w:sz="0" w:space="0" w:color="auto"/>
                <w:left w:val="none" w:sz="0" w:space="0" w:color="auto"/>
                <w:bottom w:val="none" w:sz="0" w:space="0" w:color="auto"/>
                <w:right w:val="none" w:sz="0" w:space="0" w:color="auto"/>
              </w:divBdr>
            </w:div>
            <w:div w:id="684019559">
              <w:marLeft w:val="0"/>
              <w:marRight w:val="0"/>
              <w:marTop w:val="0"/>
              <w:marBottom w:val="0"/>
              <w:divBdr>
                <w:top w:val="none" w:sz="0" w:space="0" w:color="auto"/>
                <w:left w:val="none" w:sz="0" w:space="0" w:color="auto"/>
                <w:bottom w:val="none" w:sz="0" w:space="0" w:color="auto"/>
                <w:right w:val="none" w:sz="0" w:space="0" w:color="auto"/>
              </w:divBdr>
            </w:div>
            <w:div w:id="1437483957">
              <w:marLeft w:val="0"/>
              <w:marRight w:val="0"/>
              <w:marTop w:val="0"/>
              <w:marBottom w:val="0"/>
              <w:divBdr>
                <w:top w:val="none" w:sz="0" w:space="0" w:color="auto"/>
                <w:left w:val="none" w:sz="0" w:space="0" w:color="auto"/>
                <w:bottom w:val="none" w:sz="0" w:space="0" w:color="auto"/>
                <w:right w:val="none" w:sz="0" w:space="0" w:color="auto"/>
              </w:divBdr>
            </w:div>
          </w:divsChild>
        </w:div>
        <w:div w:id="356741169">
          <w:marLeft w:val="0"/>
          <w:marRight w:val="0"/>
          <w:marTop w:val="0"/>
          <w:marBottom w:val="0"/>
          <w:divBdr>
            <w:top w:val="none" w:sz="0" w:space="0" w:color="auto"/>
            <w:left w:val="none" w:sz="0" w:space="0" w:color="auto"/>
            <w:bottom w:val="none" w:sz="0" w:space="0" w:color="auto"/>
            <w:right w:val="none" w:sz="0" w:space="0" w:color="auto"/>
          </w:divBdr>
          <w:divsChild>
            <w:div w:id="636036225">
              <w:marLeft w:val="0"/>
              <w:marRight w:val="0"/>
              <w:marTop w:val="0"/>
              <w:marBottom w:val="0"/>
              <w:divBdr>
                <w:top w:val="none" w:sz="0" w:space="0" w:color="auto"/>
                <w:left w:val="none" w:sz="0" w:space="0" w:color="auto"/>
                <w:bottom w:val="none" w:sz="0" w:space="0" w:color="auto"/>
                <w:right w:val="none" w:sz="0" w:space="0" w:color="auto"/>
              </w:divBdr>
            </w:div>
            <w:div w:id="762802583">
              <w:marLeft w:val="0"/>
              <w:marRight w:val="0"/>
              <w:marTop w:val="0"/>
              <w:marBottom w:val="0"/>
              <w:divBdr>
                <w:top w:val="none" w:sz="0" w:space="0" w:color="auto"/>
                <w:left w:val="none" w:sz="0" w:space="0" w:color="auto"/>
                <w:bottom w:val="none" w:sz="0" w:space="0" w:color="auto"/>
                <w:right w:val="none" w:sz="0" w:space="0" w:color="auto"/>
              </w:divBdr>
            </w:div>
            <w:div w:id="1348407926">
              <w:marLeft w:val="0"/>
              <w:marRight w:val="0"/>
              <w:marTop w:val="0"/>
              <w:marBottom w:val="0"/>
              <w:divBdr>
                <w:top w:val="none" w:sz="0" w:space="0" w:color="auto"/>
                <w:left w:val="none" w:sz="0" w:space="0" w:color="auto"/>
                <w:bottom w:val="none" w:sz="0" w:space="0" w:color="auto"/>
                <w:right w:val="none" w:sz="0" w:space="0" w:color="auto"/>
              </w:divBdr>
            </w:div>
            <w:div w:id="1401630672">
              <w:marLeft w:val="0"/>
              <w:marRight w:val="0"/>
              <w:marTop w:val="0"/>
              <w:marBottom w:val="0"/>
              <w:divBdr>
                <w:top w:val="none" w:sz="0" w:space="0" w:color="auto"/>
                <w:left w:val="none" w:sz="0" w:space="0" w:color="auto"/>
                <w:bottom w:val="none" w:sz="0" w:space="0" w:color="auto"/>
                <w:right w:val="none" w:sz="0" w:space="0" w:color="auto"/>
              </w:divBdr>
            </w:div>
            <w:div w:id="1424187499">
              <w:marLeft w:val="0"/>
              <w:marRight w:val="0"/>
              <w:marTop w:val="0"/>
              <w:marBottom w:val="0"/>
              <w:divBdr>
                <w:top w:val="none" w:sz="0" w:space="0" w:color="auto"/>
                <w:left w:val="none" w:sz="0" w:space="0" w:color="auto"/>
                <w:bottom w:val="none" w:sz="0" w:space="0" w:color="auto"/>
                <w:right w:val="none" w:sz="0" w:space="0" w:color="auto"/>
              </w:divBdr>
            </w:div>
          </w:divsChild>
        </w:div>
        <w:div w:id="834564365">
          <w:marLeft w:val="0"/>
          <w:marRight w:val="0"/>
          <w:marTop w:val="0"/>
          <w:marBottom w:val="0"/>
          <w:divBdr>
            <w:top w:val="none" w:sz="0" w:space="0" w:color="auto"/>
            <w:left w:val="none" w:sz="0" w:space="0" w:color="auto"/>
            <w:bottom w:val="none" w:sz="0" w:space="0" w:color="auto"/>
            <w:right w:val="none" w:sz="0" w:space="0" w:color="auto"/>
          </w:divBdr>
          <w:divsChild>
            <w:div w:id="1723600352">
              <w:marLeft w:val="0"/>
              <w:marRight w:val="0"/>
              <w:marTop w:val="0"/>
              <w:marBottom w:val="0"/>
              <w:divBdr>
                <w:top w:val="none" w:sz="0" w:space="0" w:color="auto"/>
                <w:left w:val="none" w:sz="0" w:space="0" w:color="auto"/>
                <w:bottom w:val="none" w:sz="0" w:space="0" w:color="auto"/>
                <w:right w:val="none" w:sz="0" w:space="0" w:color="auto"/>
              </w:divBdr>
            </w:div>
            <w:div w:id="1596667559">
              <w:marLeft w:val="0"/>
              <w:marRight w:val="0"/>
              <w:marTop w:val="0"/>
              <w:marBottom w:val="0"/>
              <w:divBdr>
                <w:top w:val="none" w:sz="0" w:space="0" w:color="auto"/>
                <w:left w:val="none" w:sz="0" w:space="0" w:color="auto"/>
                <w:bottom w:val="none" w:sz="0" w:space="0" w:color="auto"/>
                <w:right w:val="none" w:sz="0" w:space="0" w:color="auto"/>
              </w:divBdr>
            </w:div>
            <w:div w:id="934750758">
              <w:marLeft w:val="0"/>
              <w:marRight w:val="0"/>
              <w:marTop w:val="0"/>
              <w:marBottom w:val="0"/>
              <w:divBdr>
                <w:top w:val="none" w:sz="0" w:space="0" w:color="auto"/>
                <w:left w:val="none" w:sz="0" w:space="0" w:color="auto"/>
                <w:bottom w:val="none" w:sz="0" w:space="0" w:color="auto"/>
                <w:right w:val="none" w:sz="0" w:space="0" w:color="auto"/>
              </w:divBdr>
            </w:div>
            <w:div w:id="1982924705">
              <w:marLeft w:val="0"/>
              <w:marRight w:val="0"/>
              <w:marTop w:val="0"/>
              <w:marBottom w:val="0"/>
              <w:divBdr>
                <w:top w:val="none" w:sz="0" w:space="0" w:color="auto"/>
                <w:left w:val="none" w:sz="0" w:space="0" w:color="auto"/>
                <w:bottom w:val="none" w:sz="0" w:space="0" w:color="auto"/>
                <w:right w:val="none" w:sz="0" w:space="0" w:color="auto"/>
              </w:divBdr>
            </w:div>
          </w:divsChild>
        </w:div>
        <w:div w:id="342829863">
          <w:marLeft w:val="0"/>
          <w:marRight w:val="0"/>
          <w:marTop w:val="0"/>
          <w:marBottom w:val="0"/>
          <w:divBdr>
            <w:top w:val="none" w:sz="0" w:space="0" w:color="auto"/>
            <w:left w:val="none" w:sz="0" w:space="0" w:color="auto"/>
            <w:bottom w:val="none" w:sz="0" w:space="0" w:color="auto"/>
            <w:right w:val="none" w:sz="0" w:space="0" w:color="auto"/>
          </w:divBdr>
          <w:divsChild>
            <w:div w:id="509103624">
              <w:marLeft w:val="0"/>
              <w:marRight w:val="0"/>
              <w:marTop w:val="0"/>
              <w:marBottom w:val="0"/>
              <w:divBdr>
                <w:top w:val="none" w:sz="0" w:space="0" w:color="auto"/>
                <w:left w:val="none" w:sz="0" w:space="0" w:color="auto"/>
                <w:bottom w:val="none" w:sz="0" w:space="0" w:color="auto"/>
                <w:right w:val="none" w:sz="0" w:space="0" w:color="auto"/>
              </w:divBdr>
            </w:div>
            <w:div w:id="2125539862">
              <w:marLeft w:val="0"/>
              <w:marRight w:val="0"/>
              <w:marTop w:val="0"/>
              <w:marBottom w:val="0"/>
              <w:divBdr>
                <w:top w:val="none" w:sz="0" w:space="0" w:color="auto"/>
                <w:left w:val="none" w:sz="0" w:space="0" w:color="auto"/>
                <w:bottom w:val="none" w:sz="0" w:space="0" w:color="auto"/>
                <w:right w:val="none" w:sz="0" w:space="0" w:color="auto"/>
              </w:divBdr>
            </w:div>
            <w:div w:id="664361205">
              <w:marLeft w:val="0"/>
              <w:marRight w:val="0"/>
              <w:marTop w:val="0"/>
              <w:marBottom w:val="0"/>
              <w:divBdr>
                <w:top w:val="none" w:sz="0" w:space="0" w:color="auto"/>
                <w:left w:val="none" w:sz="0" w:space="0" w:color="auto"/>
                <w:bottom w:val="none" w:sz="0" w:space="0" w:color="auto"/>
                <w:right w:val="none" w:sz="0" w:space="0" w:color="auto"/>
              </w:divBdr>
            </w:div>
            <w:div w:id="1298805396">
              <w:marLeft w:val="0"/>
              <w:marRight w:val="0"/>
              <w:marTop w:val="0"/>
              <w:marBottom w:val="0"/>
              <w:divBdr>
                <w:top w:val="none" w:sz="0" w:space="0" w:color="auto"/>
                <w:left w:val="none" w:sz="0" w:space="0" w:color="auto"/>
                <w:bottom w:val="none" w:sz="0" w:space="0" w:color="auto"/>
                <w:right w:val="none" w:sz="0" w:space="0" w:color="auto"/>
              </w:divBdr>
            </w:div>
            <w:div w:id="1647314398">
              <w:marLeft w:val="0"/>
              <w:marRight w:val="0"/>
              <w:marTop w:val="0"/>
              <w:marBottom w:val="0"/>
              <w:divBdr>
                <w:top w:val="none" w:sz="0" w:space="0" w:color="auto"/>
                <w:left w:val="none" w:sz="0" w:space="0" w:color="auto"/>
                <w:bottom w:val="none" w:sz="0" w:space="0" w:color="auto"/>
                <w:right w:val="none" w:sz="0" w:space="0" w:color="auto"/>
              </w:divBdr>
            </w:div>
          </w:divsChild>
        </w:div>
        <w:div w:id="343944393">
          <w:marLeft w:val="0"/>
          <w:marRight w:val="0"/>
          <w:marTop w:val="0"/>
          <w:marBottom w:val="0"/>
          <w:divBdr>
            <w:top w:val="none" w:sz="0" w:space="0" w:color="auto"/>
            <w:left w:val="none" w:sz="0" w:space="0" w:color="auto"/>
            <w:bottom w:val="none" w:sz="0" w:space="0" w:color="auto"/>
            <w:right w:val="none" w:sz="0" w:space="0" w:color="auto"/>
          </w:divBdr>
          <w:divsChild>
            <w:div w:id="489292173">
              <w:marLeft w:val="0"/>
              <w:marRight w:val="0"/>
              <w:marTop w:val="0"/>
              <w:marBottom w:val="0"/>
              <w:divBdr>
                <w:top w:val="none" w:sz="0" w:space="0" w:color="auto"/>
                <w:left w:val="none" w:sz="0" w:space="0" w:color="auto"/>
                <w:bottom w:val="none" w:sz="0" w:space="0" w:color="auto"/>
                <w:right w:val="none" w:sz="0" w:space="0" w:color="auto"/>
              </w:divBdr>
            </w:div>
            <w:div w:id="1505050572">
              <w:marLeft w:val="0"/>
              <w:marRight w:val="0"/>
              <w:marTop w:val="0"/>
              <w:marBottom w:val="0"/>
              <w:divBdr>
                <w:top w:val="none" w:sz="0" w:space="0" w:color="auto"/>
                <w:left w:val="none" w:sz="0" w:space="0" w:color="auto"/>
                <w:bottom w:val="none" w:sz="0" w:space="0" w:color="auto"/>
                <w:right w:val="none" w:sz="0" w:space="0" w:color="auto"/>
              </w:divBdr>
            </w:div>
            <w:div w:id="2018576466">
              <w:marLeft w:val="0"/>
              <w:marRight w:val="0"/>
              <w:marTop w:val="0"/>
              <w:marBottom w:val="0"/>
              <w:divBdr>
                <w:top w:val="none" w:sz="0" w:space="0" w:color="auto"/>
                <w:left w:val="none" w:sz="0" w:space="0" w:color="auto"/>
                <w:bottom w:val="none" w:sz="0" w:space="0" w:color="auto"/>
                <w:right w:val="none" w:sz="0" w:space="0" w:color="auto"/>
              </w:divBdr>
            </w:div>
            <w:div w:id="550314049">
              <w:marLeft w:val="0"/>
              <w:marRight w:val="0"/>
              <w:marTop w:val="0"/>
              <w:marBottom w:val="0"/>
              <w:divBdr>
                <w:top w:val="none" w:sz="0" w:space="0" w:color="auto"/>
                <w:left w:val="none" w:sz="0" w:space="0" w:color="auto"/>
                <w:bottom w:val="none" w:sz="0" w:space="0" w:color="auto"/>
                <w:right w:val="none" w:sz="0" w:space="0" w:color="auto"/>
              </w:divBdr>
            </w:div>
            <w:div w:id="1937130671">
              <w:marLeft w:val="0"/>
              <w:marRight w:val="0"/>
              <w:marTop w:val="0"/>
              <w:marBottom w:val="0"/>
              <w:divBdr>
                <w:top w:val="none" w:sz="0" w:space="0" w:color="auto"/>
                <w:left w:val="none" w:sz="0" w:space="0" w:color="auto"/>
                <w:bottom w:val="none" w:sz="0" w:space="0" w:color="auto"/>
                <w:right w:val="none" w:sz="0" w:space="0" w:color="auto"/>
              </w:divBdr>
            </w:div>
          </w:divsChild>
        </w:div>
        <w:div w:id="1214804606">
          <w:marLeft w:val="0"/>
          <w:marRight w:val="0"/>
          <w:marTop w:val="0"/>
          <w:marBottom w:val="0"/>
          <w:divBdr>
            <w:top w:val="none" w:sz="0" w:space="0" w:color="auto"/>
            <w:left w:val="none" w:sz="0" w:space="0" w:color="auto"/>
            <w:bottom w:val="none" w:sz="0" w:space="0" w:color="auto"/>
            <w:right w:val="none" w:sz="0" w:space="0" w:color="auto"/>
          </w:divBdr>
          <w:divsChild>
            <w:div w:id="702369141">
              <w:marLeft w:val="0"/>
              <w:marRight w:val="0"/>
              <w:marTop w:val="0"/>
              <w:marBottom w:val="0"/>
              <w:divBdr>
                <w:top w:val="none" w:sz="0" w:space="0" w:color="auto"/>
                <w:left w:val="none" w:sz="0" w:space="0" w:color="auto"/>
                <w:bottom w:val="none" w:sz="0" w:space="0" w:color="auto"/>
                <w:right w:val="none" w:sz="0" w:space="0" w:color="auto"/>
              </w:divBdr>
            </w:div>
            <w:div w:id="682896924">
              <w:marLeft w:val="0"/>
              <w:marRight w:val="0"/>
              <w:marTop w:val="0"/>
              <w:marBottom w:val="0"/>
              <w:divBdr>
                <w:top w:val="none" w:sz="0" w:space="0" w:color="auto"/>
                <w:left w:val="none" w:sz="0" w:space="0" w:color="auto"/>
                <w:bottom w:val="none" w:sz="0" w:space="0" w:color="auto"/>
                <w:right w:val="none" w:sz="0" w:space="0" w:color="auto"/>
              </w:divBdr>
            </w:div>
            <w:div w:id="1763380029">
              <w:marLeft w:val="0"/>
              <w:marRight w:val="0"/>
              <w:marTop w:val="0"/>
              <w:marBottom w:val="0"/>
              <w:divBdr>
                <w:top w:val="none" w:sz="0" w:space="0" w:color="auto"/>
                <w:left w:val="none" w:sz="0" w:space="0" w:color="auto"/>
                <w:bottom w:val="none" w:sz="0" w:space="0" w:color="auto"/>
                <w:right w:val="none" w:sz="0" w:space="0" w:color="auto"/>
              </w:divBdr>
            </w:div>
            <w:div w:id="1955332438">
              <w:marLeft w:val="0"/>
              <w:marRight w:val="0"/>
              <w:marTop w:val="0"/>
              <w:marBottom w:val="0"/>
              <w:divBdr>
                <w:top w:val="none" w:sz="0" w:space="0" w:color="auto"/>
                <w:left w:val="none" w:sz="0" w:space="0" w:color="auto"/>
                <w:bottom w:val="none" w:sz="0" w:space="0" w:color="auto"/>
                <w:right w:val="none" w:sz="0" w:space="0" w:color="auto"/>
              </w:divBdr>
            </w:div>
            <w:div w:id="121071171">
              <w:marLeft w:val="0"/>
              <w:marRight w:val="0"/>
              <w:marTop w:val="0"/>
              <w:marBottom w:val="0"/>
              <w:divBdr>
                <w:top w:val="none" w:sz="0" w:space="0" w:color="auto"/>
                <w:left w:val="none" w:sz="0" w:space="0" w:color="auto"/>
                <w:bottom w:val="none" w:sz="0" w:space="0" w:color="auto"/>
                <w:right w:val="none" w:sz="0" w:space="0" w:color="auto"/>
              </w:divBdr>
            </w:div>
          </w:divsChild>
        </w:div>
        <w:div w:id="234315255">
          <w:marLeft w:val="0"/>
          <w:marRight w:val="0"/>
          <w:marTop w:val="0"/>
          <w:marBottom w:val="0"/>
          <w:divBdr>
            <w:top w:val="none" w:sz="0" w:space="0" w:color="auto"/>
            <w:left w:val="none" w:sz="0" w:space="0" w:color="auto"/>
            <w:bottom w:val="none" w:sz="0" w:space="0" w:color="auto"/>
            <w:right w:val="none" w:sz="0" w:space="0" w:color="auto"/>
          </w:divBdr>
          <w:divsChild>
            <w:div w:id="1476995151">
              <w:marLeft w:val="0"/>
              <w:marRight w:val="0"/>
              <w:marTop w:val="0"/>
              <w:marBottom w:val="0"/>
              <w:divBdr>
                <w:top w:val="none" w:sz="0" w:space="0" w:color="auto"/>
                <w:left w:val="none" w:sz="0" w:space="0" w:color="auto"/>
                <w:bottom w:val="none" w:sz="0" w:space="0" w:color="auto"/>
                <w:right w:val="none" w:sz="0" w:space="0" w:color="auto"/>
              </w:divBdr>
            </w:div>
            <w:div w:id="9236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1995140541">
      <w:bodyDiv w:val="1"/>
      <w:marLeft w:val="0"/>
      <w:marRight w:val="0"/>
      <w:marTop w:val="0"/>
      <w:marBottom w:val="0"/>
      <w:divBdr>
        <w:top w:val="none" w:sz="0" w:space="0" w:color="auto"/>
        <w:left w:val="none" w:sz="0" w:space="0" w:color="auto"/>
        <w:bottom w:val="none" w:sz="0" w:space="0" w:color="auto"/>
        <w:right w:val="none" w:sz="0" w:space="0" w:color="auto"/>
      </w:divBdr>
      <w:divsChild>
        <w:div w:id="11565945">
          <w:marLeft w:val="0"/>
          <w:marRight w:val="0"/>
          <w:marTop w:val="0"/>
          <w:marBottom w:val="0"/>
          <w:divBdr>
            <w:top w:val="none" w:sz="0" w:space="0" w:color="auto"/>
            <w:left w:val="none" w:sz="0" w:space="0" w:color="auto"/>
            <w:bottom w:val="none" w:sz="0" w:space="0" w:color="auto"/>
            <w:right w:val="none" w:sz="0" w:space="0" w:color="auto"/>
          </w:divBdr>
          <w:divsChild>
            <w:div w:id="34675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 w:id="2139058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hyperlink" Target="http://jultika.oulu.fi/files/isbn9789526223544.pdf" TargetMode="External"/><Relationship Id="rId47" Type="http://schemas.openxmlformats.org/officeDocument/2006/relationships/hyperlink" Target="https://etno.eu/digital2030/people-planet-prosperity" TargetMode="External"/><Relationship Id="rId63" Type="http://schemas.openxmlformats.org/officeDocument/2006/relationships/hyperlink" Target="https://arxiv.org/abs/2004.14247" TargetMode="External"/><Relationship Id="rId68" Type="http://schemas.openxmlformats.org/officeDocument/2006/relationships/hyperlink" Target="http://www.cttc.es/people/Bbojovic/" TargetMode="External"/><Relationship Id="rId16" Type="http://schemas.openxmlformats.org/officeDocument/2006/relationships/image" Target="media/image8.png"/><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hyperlink" Target="https://uetoken.com" TargetMode="External"/><Relationship Id="rId40" Type="http://schemas.openxmlformats.org/officeDocument/2006/relationships/hyperlink" Target="https://www.regjeringen.no/no/dokumenter/meldst11_summary/id2699502/?ch=1" TargetMode="External"/><Relationship Id="rId45" Type="http://schemas.openxmlformats.org/officeDocument/2006/relationships/hyperlink" Target="https://ec.europa.eu/digital-single-market/en/policies/shaping-digital-single-market" TargetMode="External"/><Relationship Id="rId53" Type="http://schemas.openxmlformats.org/officeDocument/2006/relationships/hyperlink" Target="https://www.itu.int/en/itunews/Documents/2018/2018-04/2018_ITUNews04-en.pdf" TargetMode="External"/><Relationship Id="rId58" Type="http://schemas.openxmlformats.org/officeDocument/2006/relationships/hyperlink" Target="https://ec.europa.eu/digital-single-market/en/blog/speech-roberto-viola-director-general-dg-connect-european-commission" TargetMode="External"/><Relationship Id="rId66" Type="http://schemas.openxmlformats.org/officeDocument/2006/relationships/hyperlink" Target="http://www.cttc.es/people/lgiupponi/" TargetMode="External"/><Relationship Id="rId74" Type="http://schemas.openxmlformats.org/officeDocument/2006/relationships/hyperlink" Target="https://doi.org/10.1007/s12599-014-0334-4"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uropa.eu/rapid/attachment/SPEECH-17-3165/en/EN-FR-DE-Speech.pdf" TargetMode="External"/><Relationship Id="rId19" Type="http://schemas.openxmlformats.org/officeDocument/2006/relationships/image" Target="media/image1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lfedge.org/projects/akraino" TargetMode="External"/><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hyperlink" Target="http://documents.worldbank.org/curated/en/178701467988875888/pdf/102955-WP-Box394845B-PUBLIC-WDR16-BP-Exploring-the-Relationship-between-Broadband-and-Economic-Growth-Minges.pdf" TargetMode="External"/><Relationship Id="rId48" Type="http://schemas.openxmlformats.org/officeDocument/2006/relationships/hyperlink" Target="https://ieeexplore.ieee.org/document/7886994?ALU=LU1043073" TargetMode="External"/><Relationship Id="rId56" Type="http://schemas.openxmlformats.org/officeDocument/2006/relationships/hyperlink" Target="https://ec.europa.eu/info/sites/info/files/european-green-deal-communication_en.pdf" TargetMode="External"/><Relationship Id="rId64" Type="http://schemas.openxmlformats.org/officeDocument/2006/relationships/hyperlink" Target="http://www.green-algorithms.org/" TargetMode="External"/><Relationship Id="rId69" Type="http://schemas.openxmlformats.org/officeDocument/2006/relationships/hyperlink" Target="http://www.cttc.es/publication/new-radio-beam-based-access-to-unlicensed-spectrum-design-challenges-and-solutions/"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eur-lex.europa.eu/legal-content/EN/TXT/?uri=CELEX:52017SC0500" TargetMode="External"/><Relationship Id="rId72" Type="http://schemas.openxmlformats.org/officeDocument/2006/relationships/hyperlink" Target="http://www.worldometers.info/world-population/western-europe-population/" TargetMode="Externa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4.emf"/><Relationship Id="rId38" Type="http://schemas.openxmlformats.org/officeDocument/2006/relationships/hyperlink" Target="http://www.un.org/sustainabledevelopment/sustainable-development-goals/" TargetMode="External"/><Relationship Id="rId46" Type="http://schemas.openxmlformats.org/officeDocument/2006/relationships/hyperlink" Target="https://ec.europa.eu/transparency/regdoc/rep/10102/2017/EN/SWD-2017-160-F1-EN-MAIN-PART-27.PDF" TargetMode="External"/><Relationship Id="rId59" Type="http://schemas.openxmlformats.org/officeDocument/2006/relationships/hyperlink" Target="http://www.broadbandcommission.org/Documents/publications/wef2018.pdf" TargetMode="External"/><Relationship Id="rId67" Type="http://schemas.openxmlformats.org/officeDocument/2006/relationships/hyperlink" Target="http://www.cttc.es/people/npatriciello/" TargetMode="External"/><Relationship Id="rId20" Type="http://schemas.openxmlformats.org/officeDocument/2006/relationships/image" Target="media/image12.png"/><Relationship Id="rId41" Type="http://schemas.openxmlformats.org/officeDocument/2006/relationships/hyperlink" Target="https://unstats.un.org/sdgs/report/2019/The-Sustainable-Development-Goals-Report-2019.pdf" TargetMode="External"/><Relationship Id="rId54" Type="http://schemas.openxmlformats.org/officeDocument/2006/relationships/hyperlink" Target="https://www.itu.int/dms_pub/itu-d/opb/str/D-STR-DIGITAL.02-2019-PDF-E.pdf" TargetMode="External"/><Relationship Id="rId62" Type="http://schemas.openxmlformats.org/officeDocument/2006/relationships/hyperlink" Target="https://ec.europa.eu/commission/sites/beta-political/files/communication-modern-budget-may_2018_en.pdf" TargetMode="External"/><Relationship Id="rId70" Type="http://schemas.openxmlformats.org/officeDocument/2006/relationships/hyperlink" Target="javascript:void(0)" TargetMode="External"/><Relationship Id="rId75" Type="http://schemas.openxmlformats.org/officeDocument/2006/relationships/hyperlink" Target="https://www.ericsson.com/ourportfolio/products/expert-analytic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www.gs1.org/epcglobal" TargetMode="External"/><Relationship Id="rId49" Type="http://schemas.openxmlformats.org/officeDocument/2006/relationships/hyperlink" Target="https://high-performance-computing.cioreview.com/cxoinsight/networking-trends-in-highperformance-computing--nid-12770-cid-84.html" TargetMode="External"/><Relationship Id="rId57" Type="http://schemas.openxmlformats.org/officeDocument/2006/relationships/hyperlink" Target="http://www.osborneclarke.com/insights/next-generation-connectivity-jeremy-kingsley-the-economist-intelligence-unit/" TargetMode="External"/><Relationship Id="rId10" Type="http://schemas.openxmlformats.org/officeDocument/2006/relationships/hyperlink" Target="https://en.wikipedia.org/wiki/Euro_sign" TargetMode="External"/><Relationship Id="rId31" Type="http://schemas.openxmlformats.org/officeDocument/2006/relationships/image" Target="media/image22.png"/><Relationship Id="rId44" Type="http://schemas.openxmlformats.org/officeDocument/2006/relationships/hyperlink" Target="https://www.mckinsey.de/files/unlocking_the_potential_of_the_internet_of_things_full_report.pdf" TargetMode="External"/><Relationship Id="rId52" Type="http://schemas.openxmlformats.org/officeDocument/2006/relationships/hyperlink" Target="https://www.gsma.com/mobileeconomy/wp-content/uploads/2018/05/The-Mobile-Economy-2018.pdf" TargetMode="External"/><Relationship Id="rId60" Type="http://schemas.openxmlformats.org/officeDocument/2006/relationships/hyperlink" Target="https://ec.europa.eu/europeaid/policies/sustainable-development-goals_en" TargetMode="External"/><Relationship Id="rId65" Type="http://schemas.openxmlformats.org/officeDocument/2006/relationships/hyperlink" Target="https://arxiv.org/abs/2004.14247" TargetMode="External"/><Relationship Id="rId73" Type="http://schemas.openxmlformats.org/officeDocument/2006/relationships/hyperlink" Target="https://www.cisco.com/c/en/us/solutions/collateral/service-provider/visual-networking-index-vni/mobile-white-paper-c11-520862.html"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broadbandcommission.org/Documents/publications/wef2018.pdf" TargetMode="External"/><Relationship Id="rId34" Type="http://schemas.openxmlformats.org/officeDocument/2006/relationships/oleObject" Target="embeddings/oleObject1.bin"/><Relationship Id="rId50" Type="http://schemas.openxmlformats.org/officeDocument/2006/relationships/hyperlink" Target="https://eur-lex.europa.eu/legal-content/EN/TXT/PDF/?uri=CELEX:52017JC0450&amp;from=en" TargetMode="External"/><Relationship Id="rId55" Type="http://schemas.openxmlformats.org/officeDocument/2006/relationships/hyperlink" Target="https://ec.europa.eu/info/horizon-europe-next-research-and-innovation-framework-programme/missions-horizon-europe_en" TargetMode="External"/><Relationship Id="rId76" Type="http://schemas.openxmlformats.org/officeDocument/2006/relationships/hyperlink" Target="https://github.com/jgamblin/Mirai-Source-Code" TargetMode="External"/><Relationship Id="rId7" Type="http://schemas.openxmlformats.org/officeDocument/2006/relationships/endnotes" Target="endnotes.xml"/><Relationship Id="rId71" Type="http://schemas.openxmlformats.org/officeDocument/2006/relationships/hyperlink" Target="https://www.ericsson.com/TET/trafficView/loadBasicEditor.ericsson" TargetMode="External"/><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
    <b:Tag>Nguyen2020</b:Tag>
    <b:SourceType>JournalArticle</b:SourceType>
    <b:Guid>{A064CAE8-726C-4E90-9D87-DE908DF9D639}</b:Guid>
    <b:Title>Classification of Memory-Centric Computing</b:Title>
    <b:Year>2020</b:Year>
    <b:Author>
      <b:Author>
        <b:NameList>
          <b:Person>
            <b:Last>Du Nguyen</b:Last>
            <b:First>A</b:First>
            <b:Middle>H</b:Middle>
          </b:Person>
          <b:Person>
            <b:Last>Yu</b:Last>
            <b:First>Y</b:First>
          </b:Person>
          <b:Person>
            <b:Last>Abu Lebdeh</b:Last>
            <b:First>M</b:First>
          </b:Person>
          <b:Person>
            <b:Last>Taouil</b:Last>
            <b:First>M</b:First>
          </b:Person>
          <b:Person>
            <b:Last>Hamdioui</b:Last>
            <b:First>S</b:First>
          </b:Person>
          <b:Person>
            <b:Last>Catthoor</b:Last>
            <b:First>F</b:First>
          </b:Person>
        </b:NameList>
      </b:Author>
    </b:Author>
    <b:JournalName>ACM Emerging Technologies in Computing</b:JournalName>
    <b:Pages>1-26</b:Pages>
    <b:Volume>16</b:Volume>
    <b:Issue>2</b:Issue>
    <b:RefOrder>1</b:RefOrder>
  </b:Source>
  <b:Source>
    <b:Tag>Kim2011</b:Tag>
    <b:SourceType>ArticleInAPeriodical</b:SourceType>
    <b:Guid>{AE082A5A-ADD9-44BB-A6A9-F92B51B70AB5}</b:Guid>
    <b:Author>
      <b:Author>
        <b:NameList>
          <b:Person>
            <b:Last>Kim</b:Last>
            <b:First>K</b:First>
          </b:Person>
          <b:Person>
            <b:Last>Shin</b:Last>
            <b:First>S</b:First>
          </b:Person>
          <b:Person>
            <b:Last>Kang</b:Last>
            <b:First>S.M</b:First>
          </b:Person>
        </b:NameList>
      </b:Author>
    </b:Author>
    <b:Title>Stateful logic pipeline architecture</b:Title>
    <b:Year>2011</b:Year>
    <b:Pages>2497-2500</b:Pages>
    <b:ConferenceName>in 2011 IEEE International Symposium of Circuits and Systems (ISCAS</b:ConferenceName>
    <b:PeriodicalTitle>IEEE International Symposium of Circuits and Systems (ISCAS)</b:PeriodicalTitle>
    <b:RefOrder>2</b:RefOrder>
  </b:Source>
  <b:Source>
    <b:Tag>Xie1207</b:Tag>
    <b:SourceType>ArticleInAPeriodical</b:SourceType>
    <b:Guid>{1F4169CF-4D31-4AA1-9B4D-E13500D665D4}</b:Guid>
    <b:Author>
      <b:Author>
        <b:NameList>
          <b:Person>
            <b:Last>Xie</b:Last>
            <b:First>L</b:First>
          </b:Person>
          <b:Person>
            <b:Last>Du Nguyen</b:Last>
            <b:First>A</b:First>
            <b:Middle>H</b:Middle>
          </b:Person>
          <b:Person>
            <b:Last>Yu</b:Last>
            <b:First>J</b:First>
          </b:Person>
          <b:Person>
            <b:Last>Kaichouhi</b:Last>
            <b:First>A</b:First>
          </b:Person>
          <b:Person>
            <b:Last>Taouil</b:Last>
            <b:First>M</b:First>
          </b:Person>
          <b:Person>
            <b:Last>Al-Failakawi</b:Last>
            <b:First>M</b:First>
          </b:Person>
          <b:Person>
            <b:Last>Hamdiou</b:Last>
            <b:First>S</b:First>
          </b:Person>
        </b:NameList>
      </b:Author>
    </b:Author>
    <b:Title>Scouting logic: A novel memristor-based logic design for resistive computing</b:Title>
    <b:PeriodicalTitle>IEEE Computer Society Annual Symposium on VLSI (ISVLSI)</b:PeriodicalTitle>
    <b:Year>2017</b:Year>
    <b:Pages>335-340</b:Pages>
    <b:RefOrder>3</b:RefOrder>
  </b:Source>
</b:Sources>
</file>

<file path=customXml/itemProps1.xml><?xml version="1.0" encoding="utf-8"?>
<ds:datastoreItem xmlns:ds="http://schemas.openxmlformats.org/officeDocument/2006/customXml" ds:itemID="{68FC3B3E-D5D8-43F0-88CF-B4D05604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708</TotalTime>
  <Pages>235</Pages>
  <Words>124297</Words>
  <Characters>708498</Characters>
  <Application>Microsoft Office Word</Application>
  <DocSecurity>0</DocSecurity>
  <Lines>5904</Lines>
  <Paragraphs>1662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831133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DE/Munich);ruilaa@ua.pt</dc:creator>
  <cp:keywords/>
  <dc:description/>
  <cp:lastModifiedBy>Rui Aguiar</cp:lastModifiedBy>
  <cp:revision>43</cp:revision>
  <cp:lastPrinted>2020-06-04T07:34:00Z</cp:lastPrinted>
  <dcterms:created xsi:type="dcterms:W3CDTF">2020-05-26T06:03:00Z</dcterms:created>
  <dcterms:modified xsi:type="dcterms:W3CDTF">2020-06-18T08:39:00Z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12e00b9-34e2-4b26-a577-af1fd0f9f7ee_Enabled">
    <vt:lpwstr>True</vt:lpwstr>
  </property>
  <property fmtid="{D5CDD505-2E9C-101B-9397-08002B2CF9AE}" pid="3" name="MSIP_Label_112e00b9-34e2-4b26-a577-af1fd0f9f7ee_SiteId">
    <vt:lpwstr>33440fc6-b7c7-412c-bb73-0e70b0198d5a</vt:lpwstr>
  </property>
  <property fmtid="{D5CDD505-2E9C-101B-9397-08002B2CF9AE}" pid="4" name="MSIP_Label_112e00b9-34e2-4b26-a577-af1fd0f9f7ee_Owner">
    <vt:lpwstr>josep.martrat@atos.net</vt:lpwstr>
  </property>
  <property fmtid="{D5CDD505-2E9C-101B-9397-08002B2CF9AE}" pid="5" name="MSIP_Label_112e00b9-34e2-4b26-a577-af1fd0f9f7ee_SetDate">
    <vt:lpwstr>2020-05-25T15:12:36.3971021Z</vt:lpwstr>
  </property>
  <property fmtid="{D5CDD505-2E9C-101B-9397-08002B2CF9AE}" pid="6" name="MSIP_Label_112e00b9-34e2-4b26-a577-af1fd0f9f7ee_Name">
    <vt:lpwstr>Atos For Internal Use</vt:lpwstr>
  </property>
  <property fmtid="{D5CDD505-2E9C-101B-9397-08002B2CF9AE}" pid="7" name="MSIP_Label_112e00b9-34e2-4b26-a577-af1fd0f9f7ee_Application">
    <vt:lpwstr>Microsoft Azure Information Protection</vt:lpwstr>
  </property>
  <property fmtid="{D5CDD505-2E9C-101B-9397-08002B2CF9AE}" pid="8" name="MSIP_Label_112e00b9-34e2-4b26-a577-af1fd0f9f7ee_ActionId">
    <vt:lpwstr>73a35169-dc68-452a-8549-8e9648329e5b</vt:lpwstr>
  </property>
  <property fmtid="{D5CDD505-2E9C-101B-9397-08002B2CF9AE}" pid="9" name="MSIP_Label_112e00b9-34e2-4b26-a577-af1fd0f9f7ee_Extended_MSFT_Method">
    <vt:lpwstr>Automatic</vt:lpwstr>
  </property>
  <property fmtid="{D5CDD505-2E9C-101B-9397-08002B2CF9AE}" pid="10" name="MSIP_Label_e463cba9-5f6c-478d-9329-7b2295e4e8ed_Enabled">
    <vt:lpwstr>True</vt:lpwstr>
  </property>
  <property fmtid="{D5CDD505-2E9C-101B-9397-08002B2CF9AE}" pid="11" name="MSIP_Label_e463cba9-5f6c-478d-9329-7b2295e4e8ed_SiteId">
    <vt:lpwstr>33440fc6-b7c7-412c-bb73-0e70b0198d5a</vt:lpwstr>
  </property>
  <property fmtid="{D5CDD505-2E9C-101B-9397-08002B2CF9AE}" pid="12" name="MSIP_Label_e463cba9-5f6c-478d-9329-7b2295e4e8ed_Owner">
    <vt:lpwstr>josep.martrat@atos.net</vt:lpwstr>
  </property>
  <property fmtid="{D5CDD505-2E9C-101B-9397-08002B2CF9AE}" pid="13" name="MSIP_Label_e463cba9-5f6c-478d-9329-7b2295e4e8ed_SetDate">
    <vt:lpwstr>2020-05-25T15:12:36.3971021Z</vt:lpwstr>
  </property>
  <property fmtid="{D5CDD505-2E9C-101B-9397-08002B2CF9AE}" pid="14" name="MSIP_Label_e463cba9-5f6c-478d-9329-7b2295e4e8ed_Name">
    <vt:lpwstr>Atos For Internal Use - All Employees</vt:lpwstr>
  </property>
  <property fmtid="{D5CDD505-2E9C-101B-9397-08002B2CF9AE}" pid="15" name="MSIP_Label_e463cba9-5f6c-478d-9329-7b2295e4e8ed_Application">
    <vt:lpwstr>Microsoft Azure Information Protection</vt:lpwstr>
  </property>
  <property fmtid="{D5CDD505-2E9C-101B-9397-08002B2CF9AE}" pid="16" name="MSIP_Label_e463cba9-5f6c-478d-9329-7b2295e4e8ed_ActionId">
    <vt:lpwstr>73a35169-dc68-452a-8549-8e9648329e5b</vt:lpwstr>
  </property>
  <property fmtid="{D5CDD505-2E9C-101B-9397-08002B2CF9AE}" pid="17" name="MSIP_Label_e463cba9-5f6c-478d-9329-7b2295e4e8ed_Parent">
    <vt:lpwstr>112e00b9-34e2-4b26-a577-af1fd0f9f7ee</vt:lpwstr>
  </property>
  <property fmtid="{D5CDD505-2E9C-101B-9397-08002B2CF9AE}" pid="18" name="MSIP_Label_e463cba9-5f6c-478d-9329-7b2295e4e8ed_Extended_MSFT_Method">
    <vt:lpwstr>Automatic</vt:lpwstr>
  </property>
  <property fmtid="{D5CDD505-2E9C-101B-9397-08002B2CF9AE}" pid="19" name="MSIP_Label_b1aa2129-79ec-42c0-bfac-e5b7a0374572_Enabled">
    <vt:lpwstr>True</vt:lpwstr>
  </property>
  <property fmtid="{D5CDD505-2E9C-101B-9397-08002B2CF9AE}" pid="20" name="MSIP_Label_b1aa2129-79ec-42c0-bfac-e5b7a0374572_SiteId">
    <vt:lpwstr>5d471751-9675-428d-917b-70f44f9630b0</vt:lpwstr>
  </property>
  <property fmtid="{D5CDD505-2E9C-101B-9397-08002B2CF9AE}" pid="21" name="MSIP_Label_b1aa2129-79ec-42c0-bfac-e5b7a0374572_Owner">
    <vt:lpwstr>werner.mohr@nokia.com</vt:lpwstr>
  </property>
  <property fmtid="{D5CDD505-2E9C-101B-9397-08002B2CF9AE}" pid="22" name="MSIP_Label_b1aa2129-79ec-42c0-bfac-e5b7a0374572_SetDate">
    <vt:lpwstr>2018-09-23T09:17:09.9811967Z</vt:lpwstr>
  </property>
  <property fmtid="{D5CDD505-2E9C-101B-9397-08002B2CF9AE}" pid="23" name="MSIP_Label_b1aa2129-79ec-42c0-bfac-e5b7a0374572_Name">
    <vt:lpwstr>Public</vt:lpwstr>
  </property>
  <property fmtid="{D5CDD505-2E9C-101B-9397-08002B2CF9AE}" pid="24" name="MSIP_Label_b1aa2129-79ec-42c0-bfac-e5b7a0374572_Application">
    <vt:lpwstr>Microsoft Azure Information Protection</vt:lpwstr>
  </property>
  <property fmtid="{D5CDD505-2E9C-101B-9397-08002B2CF9AE}" pid="25" name="MSIP_Label_b1aa2129-79ec-42c0-bfac-e5b7a0374572_Extended_MSFT_Method">
    <vt:lpwstr>Manual</vt:lpwstr>
  </property>
  <property fmtid="{D5CDD505-2E9C-101B-9397-08002B2CF9AE}" pid="26" name="Sensitivity">
    <vt:lpwstr>Atos For Internal Use Atos For Internal Use - All Employees Public</vt:lpwstr>
  </property>
  <property fmtid="{D5CDD505-2E9C-101B-9397-08002B2CF9AE}" pid="27" name="_readonly">
    <vt:lpwstr/>
  </property>
  <property fmtid="{D5CDD505-2E9C-101B-9397-08002B2CF9AE}" pid="28" name="_change">
    <vt:lpwstr/>
  </property>
  <property fmtid="{D5CDD505-2E9C-101B-9397-08002B2CF9AE}" pid="29" name="_full-control">
    <vt:lpwstr/>
  </property>
  <property fmtid="{D5CDD505-2E9C-101B-9397-08002B2CF9AE}" pid="30" name="sflag">
    <vt:lpwstr>1590412725</vt:lpwstr>
  </property>
</Properties>
</file>